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第２号様式</w:t>
      </w:r>
      <w:r>
        <w:rPr>
          <w:rFonts w:hint="eastAsia"/>
        </w:rPr>
        <w:t>（第３条関係）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45720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8.35pt;mso-wrap-distance-top:0pt;width:14.15pt;mso-wrap-distance-left:5.65pt;margin-left:242.1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45720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8.35pt;mso-wrap-distance-top:0pt;width:14.15pt;mso-wrap-distance-left:5.65pt;margin-left:463.8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興行場営業（仮設）許可申請書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興行場法第２条第１項の興行場営業（仮設）の許可を受けたいので、高知県興行場法施行条例第３条の規定により下記のとおり関係書類を添えて申請します。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jc w:val="center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</w:rPr>
        <w:t>１　興行場の</w:t>
      </w:r>
      <w:bookmarkStart w:id="0" w:name="_GoBack"/>
      <w:bookmarkEnd w:id="0"/>
      <w:r>
        <w:rPr>
          <w:rFonts w:hint="eastAsia"/>
        </w:rPr>
        <w:t>設置の場所及び期間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興行の種別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３　興行場の構造設備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観覧席、喫煙所、便所、通路等を明らかにした各階の平面図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452" w:leftChars="100" w:hanging="226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工作物を新たに設け、又は他の施設を一時利用するものの場合は、その構造設備の仕様の概要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４　興行場の入場者の定員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869</TotalTime>
  <Pages>1</Pages>
  <Words>0</Words>
  <Characters>266</Characters>
  <Application>JUST Note</Application>
  <Lines>33</Lines>
  <Paragraphs>18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421777</cp:lastModifiedBy>
  <cp:lastPrinted>2021-05-15T14:46:32Z</cp:lastPrinted>
  <dcterms:created xsi:type="dcterms:W3CDTF">2020-12-03T05:05:00Z</dcterms:created>
  <dcterms:modified xsi:type="dcterms:W3CDTF">2023-11-30T12:08:42Z</dcterms:modified>
  <cp:revision>28</cp:revision>
</cp:coreProperties>
</file>