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6D" w:rsidRPr="009F7D6D" w:rsidRDefault="009F7D6D" w:rsidP="009F7D6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b/>
          <w:bCs/>
          <w:color w:val="333300"/>
          <w:kern w:val="0"/>
          <w:sz w:val="24"/>
          <w:szCs w:val="24"/>
        </w:rPr>
        <w:t>１　議題</w:t>
      </w:r>
    </w:p>
    <w:p w:rsidR="009F7D6D" w:rsidRPr="009F7D6D" w:rsidRDefault="009F7D6D" w:rsidP="009F7D6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2.25pt"/>
        </w:pict>
      </w:r>
      <w:r w:rsidRPr="009F7D6D">
        <w:rPr>
          <w:rFonts w:ascii="ＭＳ Ｐゴシック" w:eastAsia="ＭＳ Ｐゴシック" w:hAnsi="ＭＳ Ｐゴシック" w:cs="ＭＳ Ｐゴシック"/>
          <w:kern w:val="0"/>
          <w:sz w:val="24"/>
          <w:szCs w:val="24"/>
        </w:rPr>
        <w:t>(1)　環境配慮指針（案）について</w:t>
      </w:r>
      <w:r w:rsidRPr="009F7D6D">
        <w:rPr>
          <w:rFonts w:ascii="ＭＳ Ｐゴシック" w:eastAsia="ＭＳ Ｐゴシック" w:hAnsi="ＭＳ Ｐゴシック" w:cs="ＭＳ Ｐゴシック"/>
          <w:kern w:val="0"/>
          <w:sz w:val="24"/>
          <w:szCs w:val="24"/>
        </w:rPr>
        <w:br/>
      </w:r>
      <w:r w:rsidRPr="009F7D6D">
        <w:rPr>
          <w:rFonts w:ascii="ＭＳ Ｐゴシック" w:eastAsia="ＭＳ Ｐゴシック" w:hAnsi="ＭＳ Ｐゴシック" w:cs="ＭＳ Ｐゴシック"/>
          <w:kern w:val="0"/>
          <w:sz w:val="24"/>
          <w:szCs w:val="24"/>
        </w:rPr>
        <w:pict>
          <v:shape id="_x0000_i1026" type="#_x0000_t75" alt="" style="width:15pt;height:2.25pt"/>
        </w:pict>
      </w:r>
      <w:r w:rsidRPr="009F7D6D">
        <w:rPr>
          <w:rFonts w:ascii="ＭＳ Ｐゴシック" w:eastAsia="ＭＳ Ｐゴシック" w:hAnsi="ＭＳ Ｐゴシック" w:cs="ＭＳ Ｐゴシック"/>
          <w:kern w:val="0"/>
          <w:sz w:val="24"/>
          <w:szCs w:val="24"/>
        </w:rPr>
        <w:t>(2)　目標指標（案）について</w:t>
      </w:r>
      <w:r w:rsidRPr="009F7D6D">
        <w:rPr>
          <w:rFonts w:ascii="ＭＳ Ｐゴシック" w:eastAsia="ＭＳ Ｐゴシック" w:hAnsi="ＭＳ Ｐゴシック" w:cs="ＭＳ Ｐゴシック"/>
          <w:kern w:val="0"/>
          <w:sz w:val="24"/>
          <w:szCs w:val="24"/>
        </w:rPr>
        <w:br/>
      </w:r>
      <w:r w:rsidRPr="009F7D6D">
        <w:rPr>
          <w:rFonts w:ascii="ＭＳ Ｐゴシック" w:eastAsia="ＭＳ Ｐゴシック" w:hAnsi="ＭＳ Ｐゴシック" w:cs="ＭＳ Ｐゴシック"/>
          <w:kern w:val="0"/>
          <w:sz w:val="24"/>
          <w:szCs w:val="24"/>
        </w:rPr>
        <w:pict>
          <v:shape id="_x0000_i1027" type="#_x0000_t75" alt="" style="width:15pt;height:2.25pt"/>
        </w:pict>
      </w:r>
      <w:r w:rsidRPr="009F7D6D">
        <w:rPr>
          <w:rFonts w:ascii="ＭＳ Ｐゴシック" w:eastAsia="ＭＳ Ｐゴシック" w:hAnsi="ＭＳ Ｐゴシック" w:cs="ＭＳ Ｐゴシック"/>
          <w:kern w:val="0"/>
          <w:sz w:val="24"/>
          <w:szCs w:val="24"/>
        </w:rPr>
        <w:t>(3)　重点地域指定(案)について</w:t>
      </w:r>
      <w:r w:rsidRPr="009F7D6D">
        <w:rPr>
          <w:rFonts w:ascii="ＭＳ Ｐゴシック" w:eastAsia="ＭＳ Ｐゴシック" w:hAnsi="ＭＳ Ｐゴシック" w:cs="ＭＳ Ｐゴシック"/>
          <w:kern w:val="0"/>
          <w:sz w:val="24"/>
          <w:szCs w:val="24"/>
        </w:rPr>
        <w:br/>
      </w:r>
      <w:r w:rsidRPr="009F7D6D">
        <w:rPr>
          <w:rFonts w:ascii="ＭＳ Ｐゴシック" w:eastAsia="ＭＳ Ｐゴシック" w:hAnsi="ＭＳ Ｐゴシック" w:cs="ＭＳ Ｐゴシック"/>
          <w:kern w:val="0"/>
          <w:sz w:val="24"/>
          <w:szCs w:val="24"/>
        </w:rPr>
        <w:pict>
          <v:shape id="_x0000_i1028" type="#_x0000_t75" alt="" style="width:15pt;height:2.25pt"/>
        </w:pict>
      </w:r>
      <w:r w:rsidRPr="009F7D6D">
        <w:rPr>
          <w:rFonts w:ascii="ＭＳ Ｐゴシック" w:eastAsia="ＭＳ Ｐゴシック" w:hAnsi="ＭＳ Ｐゴシック" w:cs="ＭＳ Ｐゴシック"/>
          <w:kern w:val="0"/>
          <w:sz w:val="24"/>
          <w:szCs w:val="24"/>
        </w:rPr>
        <w:t>(4)　清流基準（案）について</w:t>
      </w:r>
    </w:p>
    <w:p w:rsidR="009F7D6D" w:rsidRPr="009F7D6D" w:rsidRDefault="009F7D6D" w:rsidP="009F7D6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b/>
          <w:bCs/>
          <w:color w:val="333300"/>
          <w:kern w:val="0"/>
          <w:sz w:val="24"/>
          <w:szCs w:val="24"/>
        </w:rPr>
        <w:t>２　審議概要</w:t>
      </w:r>
    </w:p>
    <w:p w:rsidR="009F7D6D" w:rsidRPr="009F7D6D" w:rsidRDefault="009F7D6D" w:rsidP="009F7D6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color w:val="666600"/>
          <w:kern w:val="0"/>
          <w:sz w:val="24"/>
          <w:szCs w:val="24"/>
        </w:rPr>
        <w:t>（１）環境配慮指針（案）について</w:t>
      </w:r>
      <w:r w:rsidRPr="009F7D6D">
        <w:rPr>
          <w:rFonts w:ascii="ＭＳ Ｐゴシック" w:eastAsia="ＭＳ Ｐゴシック" w:hAnsi="ＭＳ Ｐゴシック" w:cs="ＭＳ Ｐゴシック"/>
          <w:kern w:val="0"/>
          <w:sz w:val="24"/>
          <w:szCs w:val="24"/>
        </w:rPr>
        <w:br/>
        <w:t>1　 大きくなった水辺林については、伐採するなど一定の管理が必要ではないか。</w:t>
      </w:r>
    </w:p>
    <w:tbl>
      <w:tblPr>
        <w:tblW w:w="4500" w:type="pct"/>
        <w:jc w:val="center"/>
        <w:tblCellSpacing w:w="0" w:type="dxa"/>
        <w:tblCellMar>
          <w:left w:w="0" w:type="dxa"/>
          <w:right w:w="0" w:type="dxa"/>
        </w:tblCellMar>
        <w:tblLook w:val="04A0"/>
      </w:tblPr>
      <w:tblGrid>
        <w:gridCol w:w="300"/>
        <w:gridCol w:w="7354"/>
      </w:tblGrid>
      <w:tr w:rsidR="009F7D6D" w:rsidRPr="009F7D6D">
        <w:trPr>
          <w:tblCellSpacing w:w="0" w:type="dxa"/>
          <w:jc w:val="center"/>
        </w:trPr>
        <w:tc>
          <w:tcPr>
            <w:tcW w:w="300" w:type="dxa"/>
            <w:vAlign w:val="center"/>
            <w:hideMark/>
          </w:tcPr>
          <w:p w:rsidR="009F7D6D" w:rsidRPr="009F7D6D" w:rsidRDefault="009F7D6D" w:rsidP="009F7D6D">
            <w:pPr>
              <w:widowControl/>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pict>
                <v:shape id="_x0000_i1029" type="#_x0000_t75" alt="" style="width:15pt;height:15pt"/>
              </w:pict>
            </w:r>
          </w:p>
        </w:tc>
        <w:tc>
          <w:tcPr>
            <w:tcW w:w="7725" w:type="dxa"/>
            <w:vAlign w:val="center"/>
            <w:hideMark/>
          </w:tcPr>
          <w:p w:rsidR="009F7D6D" w:rsidRPr="009F7D6D" w:rsidRDefault="009F7D6D" w:rsidP="009F7D6D">
            <w:pPr>
              <w:widowControl/>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t>→水辺林はどうあるべきかといった点については、今よりもすばらしかった四万十川を取り戻すにはどうしたら良いのかといったことを検討する四万十ルネッサンス協議会やアドバイザー会議の場で議論していく。</w:t>
            </w:r>
          </w:p>
        </w:tc>
      </w:tr>
    </w:tbl>
    <w:p w:rsidR="009F7D6D" w:rsidRPr="009F7D6D" w:rsidRDefault="009F7D6D" w:rsidP="009F7D6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t>2　 河床間隙水域の項目など表現の難しいところが見られる。</w:t>
      </w:r>
    </w:p>
    <w:tbl>
      <w:tblPr>
        <w:tblW w:w="4500" w:type="pct"/>
        <w:jc w:val="center"/>
        <w:tblCellSpacing w:w="0" w:type="dxa"/>
        <w:tblCellMar>
          <w:left w:w="0" w:type="dxa"/>
          <w:right w:w="0" w:type="dxa"/>
        </w:tblCellMar>
        <w:tblLook w:val="04A0"/>
      </w:tblPr>
      <w:tblGrid>
        <w:gridCol w:w="300"/>
        <w:gridCol w:w="7354"/>
      </w:tblGrid>
      <w:tr w:rsidR="009F7D6D" w:rsidRPr="009F7D6D">
        <w:trPr>
          <w:tblCellSpacing w:w="0" w:type="dxa"/>
          <w:jc w:val="center"/>
        </w:trPr>
        <w:tc>
          <w:tcPr>
            <w:tcW w:w="300" w:type="dxa"/>
            <w:vAlign w:val="center"/>
            <w:hideMark/>
          </w:tcPr>
          <w:p w:rsidR="009F7D6D" w:rsidRPr="009F7D6D" w:rsidRDefault="009F7D6D" w:rsidP="009F7D6D">
            <w:pPr>
              <w:widowControl/>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pict>
                <v:shape id="_x0000_i1030" type="#_x0000_t75" alt="" style="width:15pt;height:15pt"/>
              </w:pict>
            </w:r>
          </w:p>
        </w:tc>
        <w:tc>
          <w:tcPr>
            <w:tcW w:w="7725" w:type="dxa"/>
            <w:vAlign w:val="center"/>
            <w:hideMark/>
          </w:tcPr>
          <w:p w:rsidR="009F7D6D" w:rsidRPr="009F7D6D" w:rsidRDefault="009F7D6D" w:rsidP="009F7D6D">
            <w:pPr>
              <w:widowControl/>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t>→専門的な用語等をわかりやすい表現に改める。</w:t>
            </w:r>
          </w:p>
        </w:tc>
      </w:tr>
    </w:tbl>
    <w:p w:rsidR="009F7D6D" w:rsidRPr="009F7D6D" w:rsidRDefault="009F7D6D" w:rsidP="009F7D6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t>3　 既設の堰堤でも、人命や財産に影響のない個所にある砂防ダムについては、スリット化を進め、河川へ土砂が供給されるよう努めて欲しい。</w:t>
      </w:r>
      <w:r w:rsidRPr="009F7D6D">
        <w:rPr>
          <w:rFonts w:ascii="ＭＳ Ｐゴシック" w:eastAsia="ＭＳ Ｐゴシック" w:hAnsi="ＭＳ Ｐゴシック" w:cs="ＭＳ Ｐゴシック"/>
          <w:kern w:val="0"/>
          <w:sz w:val="24"/>
          <w:szCs w:val="24"/>
        </w:rPr>
        <w:br/>
        <w:t>4　 工事の手法や環境への配慮について住民に説明する場が必要では。</w:t>
      </w:r>
    </w:p>
    <w:tbl>
      <w:tblPr>
        <w:tblW w:w="4500" w:type="pct"/>
        <w:jc w:val="center"/>
        <w:tblCellSpacing w:w="0" w:type="dxa"/>
        <w:tblCellMar>
          <w:left w:w="0" w:type="dxa"/>
          <w:right w:w="0" w:type="dxa"/>
        </w:tblCellMar>
        <w:tblLook w:val="04A0"/>
      </w:tblPr>
      <w:tblGrid>
        <w:gridCol w:w="300"/>
        <w:gridCol w:w="7354"/>
      </w:tblGrid>
      <w:tr w:rsidR="009F7D6D" w:rsidRPr="009F7D6D">
        <w:trPr>
          <w:tblCellSpacing w:w="0" w:type="dxa"/>
          <w:jc w:val="center"/>
        </w:trPr>
        <w:tc>
          <w:tcPr>
            <w:tcW w:w="300" w:type="dxa"/>
            <w:vAlign w:val="center"/>
            <w:hideMark/>
          </w:tcPr>
          <w:p w:rsidR="009F7D6D" w:rsidRPr="009F7D6D" w:rsidRDefault="009F7D6D" w:rsidP="009F7D6D">
            <w:pPr>
              <w:widowControl/>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pict>
                <v:shape id="_x0000_i1031" type="#_x0000_t75" alt="" style="width:15pt;height:15pt"/>
              </w:pict>
            </w:r>
          </w:p>
        </w:tc>
        <w:tc>
          <w:tcPr>
            <w:tcW w:w="7725" w:type="dxa"/>
            <w:vAlign w:val="center"/>
            <w:hideMark/>
          </w:tcPr>
          <w:p w:rsidR="009F7D6D" w:rsidRPr="009F7D6D" w:rsidRDefault="009F7D6D" w:rsidP="009F7D6D">
            <w:pPr>
              <w:widowControl/>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t>→事業の工程で住民の方々等の意見を取り入れていくこととしている。具体的な進め方については、公共事業の所管課等で構成する協議会で話し合っていく。</w:t>
            </w:r>
          </w:p>
        </w:tc>
      </w:tr>
    </w:tbl>
    <w:p w:rsidR="009F7D6D" w:rsidRPr="009F7D6D" w:rsidRDefault="009F7D6D" w:rsidP="009F7D6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t>5　 四万十川の保全には、広見川など愛媛県との連携が必要ではないか。</w:t>
      </w:r>
    </w:p>
    <w:tbl>
      <w:tblPr>
        <w:tblW w:w="4500" w:type="pct"/>
        <w:jc w:val="center"/>
        <w:tblCellSpacing w:w="0" w:type="dxa"/>
        <w:tblCellMar>
          <w:left w:w="0" w:type="dxa"/>
          <w:right w:w="0" w:type="dxa"/>
        </w:tblCellMar>
        <w:tblLook w:val="04A0"/>
      </w:tblPr>
      <w:tblGrid>
        <w:gridCol w:w="300"/>
        <w:gridCol w:w="7354"/>
      </w:tblGrid>
      <w:tr w:rsidR="009F7D6D" w:rsidRPr="009F7D6D">
        <w:trPr>
          <w:tblCellSpacing w:w="0" w:type="dxa"/>
          <w:jc w:val="center"/>
        </w:trPr>
        <w:tc>
          <w:tcPr>
            <w:tcW w:w="300" w:type="dxa"/>
            <w:vAlign w:val="center"/>
            <w:hideMark/>
          </w:tcPr>
          <w:p w:rsidR="009F7D6D" w:rsidRPr="009F7D6D" w:rsidRDefault="009F7D6D" w:rsidP="009F7D6D">
            <w:pPr>
              <w:widowControl/>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pict>
                <v:shape id="_x0000_i1032" type="#_x0000_t75" alt="" style="width:15pt;height:15pt"/>
              </w:pict>
            </w:r>
          </w:p>
        </w:tc>
        <w:tc>
          <w:tcPr>
            <w:tcW w:w="7725" w:type="dxa"/>
            <w:vAlign w:val="center"/>
            <w:hideMark/>
          </w:tcPr>
          <w:p w:rsidR="009F7D6D" w:rsidRPr="009F7D6D" w:rsidRDefault="009F7D6D" w:rsidP="009F7D6D">
            <w:pPr>
              <w:widowControl/>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t>→愛媛県や鬼北4町村には、委員会後、この指針をもって協力への働きかけを行っていく。</w:t>
            </w:r>
          </w:p>
        </w:tc>
      </w:tr>
    </w:tbl>
    <w:p w:rsidR="009F7D6D" w:rsidRPr="009F7D6D" w:rsidRDefault="009F7D6D" w:rsidP="009F7D6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color w:val="666600"/>
          <w:kern w:val="0"/>
          <w:sz w:val="24"/>
          <w:szCs w:val="24"/>
        </w:rPr>
        <w:t>（２）目標指標（案）について</w:t>
      </w:r>
      <w:r w:rsidRPr="009F7D6D">
        <w:rPr>
          <w:rFonts w:ascii="ＭＳ Ｐゴシック" w:eastAsia="ＭＳ Ｐゴシック" w:hAnsi="ＭＳ Ｐゴシック" w:cs="ＭＳ Ｐゴシック"/>
          <w:kern w:val="0"/>
          <w:sz w:val="24"/>
          <w:szCs w:val="24"/>
        </w:rPr>
        <w:br/>
        <w:t>1　 冬の青海苔を取っているところや干しているところ、柴づけ漁の柴をあげる光景は四万十川の一つの風物詩となっている。</w:t>
      </w:r>
      <w:r w:rsidRPr="009F7D6D">
        <w:rPr>
          <w:rFonts w:ascii="ＭＳ Ｐゴシック" w:eastAsia="ＭＳ Ｐゴシック" w:hAnsi="ＭＳ Ｐゴシック" w:cs="ＭＳ Ｐゴシック"/>
          <w:kern w:val="0"/>
          <w:sz w:val="24"/>
          <w:szCs w:val="24"/>
        </w:rPr>
        <w:br/>
        <w:t>2　 最後の清流四万十川の特徴は、魚の種類が豊富な汽水域における川の恵みと生活とが一緒になっているところにあるのではないか。</w:t>
      </w:r>
    </w:p>
    <w:p w:rsidR="009F7D6D" w:rsidRPr="009F7D6D" w:rsidRDefault="009F7D6D" w:rsidP="009F7D6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color w:val="666600"/>
          <w:kern w:val="0"/>
          <w:sz w:val="24"/>
          <w:szCs w:val="24"/>
        </w:rPr>
        <w:lastRenderedPageBreak/>
        <w:t>（４）清流基準（案）について</w:t>
      </w:r>
      <w:r w:rsidRPr="009F7D6D">
        <w:rPr>
          <w:rFonts w:ascii="ＭＳ Ｐゴシック" w:eastAsia="ＭＳ Ｐゴシック" w:hAnsi="ＭＳ Ｐゴシック" w:cs="ＭＳ Ｐゴシック"/>
          <w:kern w:val="0"/>
          <w:sz w:val="24"/>
          <w:szCs w:val="24"/>
        </w:rPr>
        <w:br/>
        <w:t>目標を達成するための手段や方法など、具体的な周知徹底が必要。今後どのように進めていくのか。</w:t>
      </w:r>
    </w:p>
    <w:tbl>
      <w:tblPr>
        <w:tblW w:w="4500" w:type="pct"/>
        <w:jc w:val="center"/>
        <w:tblCellSpacing w:w="0" w:type="dxa"/>
        <w:tblCellMar>
          <w:left w:w="0" w:type="dxa"/>
          <w:right w:w="0" w:type="dxa"/>
        </w:tblCellMar>
        <w:tblLook w:val="04A0"/>
      </w:tblPr>
      <w:tblGrid>
        <w:gridCol w:w="300"/>
        <w:gridCol w:w="7354"/>
      </w:tblGrid>
      <w:tr w:rsidR="009F7D6D" w:rsidRPr="009F7D6D">
        <w:trPr>
          <w:tblCellSpacing w:w="0" w:type="dxa"/>
          <w:jc w:val="center"/>
        </w:trPr>
        <w:tc>
          <w:tcPr>
            <w:tcW w:w="300" w:type="dxa"/>
            <w:vAlign w:val="center"/>
            <w:hideMark/>
          </w:tcPr>
          <w:p w:rsidR="009F7D6D" w:rsidRPr="009F7D6D" w:rsidRDefault="009F7D6D" w:rsidP="009F7D6D">
            <w:pPr>
              <w:widowControl/>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pict>
                <v:shape id="_x0000_i1033" type="#_x0000_t75" alt="" style="width:15pt;height:15pt"/>
              </w:pict>
            </w:r>
          </w:p>
        </w:tc>
        <w:tc>
          <w:tcPr>
            <w:tcW w:w="7725" w:type="dxa"/>
            <w:vAlign w:val="center"/>
            <w:hideMark/>
          </w:tcPr>
          <w:p w:rsidR="009F7D6D" w:rsidRPr="009F7D6D" w:rsidRDefault="009F7D6D" w:rsidP="009F7D6D">
            <w:pPr>
              <w:widowControl/>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t>→今回項目が絞られたので、次の春以降の施行時期に向け、どういったことをやったらいいのかといった点について今後詰めていく。</w:t>
            </w:r>
          </w:p>
        </w:tc>
      </w:tr>
    </w:tbl>
    <w:p w:rsidR="009F7D6D" w:rsidRPr="009F7D6D" w:rsidRDefault="009F7D6D" w:rsidP="009F7D6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9F7D6D">
        <w:rPr>
          <w:rFonts w:ascii="ＭＳ Ｐゴシック" w:eastAsia="ＭＳ Ｐゴシック" w:hAnsi="ＭＳ Ｐゴシック" w:cs="ＭＳ Ｐゴシック"/>
          <w:kern w:val="0"/>
          <w:sz w:val="24"/>
          <w:szCs w:val="24"/>
        </w:rPr>
        <w:t>以上の討議、意見を経て、環境配慮指針、目標指標、重点地域指定、清流基準の４つの案については、了承。</w:t>
      </w:r>
    </w:p>
    <w:p w:rsidR="00590729" w:rsidRPr="009F7D6D" w:rsidRDefault="009F7D6D" w:rsidP="009F7D6D">
      <w:pPr>
        <w:widowControl/>
        <w:spacing w:before="100" w:beforeAutospacing="1" w:after="100" w:afterAutospacing="1"/>
        <w:jc w:val="left"/>
      </w:pPr>
      <w:r w:rsidRPr="009F7D6D">
        <w:rPr>
          <w:rFonts w:ascii="ＭＳ Ｐゴシック" w:eastAsia="ＭＳ Ｐゴシック" w:hAnsi="ＭＳ Ｐゴシック" w:cs="ＭＳ Ｐゴシック"/>
          <w:kern w:val="0"/>
          <w:sz w:val="24"/>
          <w:szCs w:val="24"/>
        </w:rPr>
        <w:t>その他</w:t>
      </w:r>
      <w:r w:rsidRPr="009F7D6D">
        <w:rPr>
          <w:rFonts w:ascii="ＭＳ Ｐゴシック" w:eastAsia="ＭＳ Ｐゴシック" w:hAnsi="ＭＳ Ｐゴシック" w:cs="ＭＳ Ｐゴシック"/>
          <w:kern w:val="0"/>
          <w:sz w:val="24"/>
          <w:szCs w:val="24"/>
        </w:rPr>
        <w:br/>
        <w:t>中越委員から、文化庁の「農林水産業に関連する文化的景観の保護に関する調査研究」において、四万十川は、伝統的な漁業・農業・集落及び祭り等が美しい四万十川を背景として一連の景観を形成しているものとして、502の候補の一つとして挙げられているとの報告があった。</w:t>
      </w:r>
    </w:p>
    <w:sectPr w:rsidR="00590729" w:rsidRPr="009F7D6D" w:rsidSect="00745D94">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7D6D"/>
    <w:rsid w:val="003F2755"/>
    <w:rsid w:val="00745D94"/>
    <w:rsid w:val="009D623F"/>
    <w:rsid w:val="009F7D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D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ze10">
    <w:name w:val="size10"/>
    <w:basedOn w:val="a"/>
    <w:rsid w:val="009F7D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9F7D6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cp:revision>
  <dcterms:created xsi:type="dcterms:W3CDTF">2013-05-15T09:24:00Z</dcterms:created>
  <dcterms:modified xsi:type="dcterms:W3CDTF">2013-05-15T09:26:00Z</dcterms:modified>
</cp:coreProperties>
</file>