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別表第２（第５条関係）</w:t>
      </w:r>
    </w:p>
    <w:p>
      <w:pPr>
        <w:pStyle w:val="0"/>
        <w:jc w:val="center"/>
        <w:rPr>
          <w:rFonts w:hint="eastAsia" w:asciiTheme="minorEastAsia" w:hAnsiTheme="minorEastAsia" w:eastAsiaTheme="minorEastAsia"/>
          <w:sz w:val="22"/>
        </w:rPr>
      </w:pP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事前協議を要する区域</w:t>
      </w:r>
    </w:p>
    <w:p>
      <w:pPr>
        <w:pStyle w:val="0"/>
        <w:rPr>
          <w:rFonts w:hint="eastAsia" w:asciiTheme="minorEastAsia" w:hAnsiTheme="minorEastAsia" w:eastAsiaTheme="minorEastAsia"/>
          <w:sz w:val="22"/>
        </w:rPr>
      </w:pPr>
      <w:bookmarkStart w:id="0" w:name="_GoBack"/>
      <w:bookmarkEnd w:id="0"/>
    </w:p>
    <w:p>
      <w:pPr>
        <w:pStyle w:val="0"/>
        <w:ind w:left="453" w:hanging="453" w:hangingChars="200"/>
        <w:rPr>
          <w:rFonts w:hint="eastAsia" w:asciiTheme="minorEastAsia" w:hAnsiTheme="minorEastAsia" w:eastAsiaTheme="minorEastAsia"/>
          <w:sz w:val="22"/>
        </w:rPr>
      </w:pPr>
      <w:r>
        <w:rPr>
          <w:rFonts w:hint="eastAsia" w:asciiTheme="minorEastAsia" w:hAnsiTheme="minorEastAsia" w:eastAsiaTheme="minorEastAsia"/>
          <w:sz w:val="22"/>
        </w:rPr>
        <w:t>　対象とする区域は、次に掲げる区域であり、施設整備を予定する土地の全部又は一部が</w:t>
      </w:r>
    </w:p>
    <w:p>
      <w:pPr>
        <w:pStyle w:val="0"/>
        <w:ind w:left="453" w:hanging="453" w:hangingChars="200"/>
        <w:rPr>
          <w:rFonts w:hint="eastAsia" w:asciiTheme="minorEastAsia" w:hAnsiTheme="minorEastAsia" w:eastAsiaTheme="minorEastAsia"/>
          <w:sz w:val="22"/>
        </w:rPr>
      </w:pPr>
      <w:r>
        <w:rPr>
          <w:rFonts w:hint="eastAsia" w:asciiTheme="minorEastAsia" w:hAnsiTheme="minorEastAsia" w:eastAsiaTheme="minorEastAsia"/>
          <w:sz w:val="22"/>
        </w:rPr>
        <w:t>区域内にある場合とする。</w:t>
      </w:r>
    </w:p>
    <w:tbl>
      <w:tblPr>
        <w:tblStyle w:val="24"/>
        <w:tblW w:w="9214" w:type="dxa"/>
        <w:tblInd w:w="108" w:type="dxa"/>
        <w:tblLayout w:type="fixed"/>
        <w:tblLook w:firstRow="1" w:lastRow="0" w:firstColumn="1" w:lastColumn="0" w:noHBand="0" w:noVBand="1" w:val="04A0"/>
      </w:tblPr>
      <w:tblGrid>
        <w:gridCol w:w="2552"/>
        <w:gridCol w:w="6662"/>
      </w:tblGrid>
      <w:tr>
        <w:trPr/>
        <w:tc>
          <w:tcPr>
            <w:tcW w:w="2552" w:type="dxa"/>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区域名</w:t>
            </w:r>
          </w:p>
        </w:tc>
        <w:tc>
          <w:tcPr>
            <w:tcW w:w="6662" w:type="dxa"/>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内容</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土砂災害警戒区域</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土砂災害警戒区域等における土砂災害防止対策の推進に関する法律（平成</w:t>
            </w:r>
            <w:r>
              <w:rPr>
                <w:rFonts w:hint="eastAsia" w:asciiTheme="minorEastAsia" w:hAnsiTheme="minorEastAsia" w:eastAsiaTheme="minorEastAsia"/>
                <w:sz w:val="22"/>
              </w:rPr>
              <w:t>12</w:t>
            </w:r>
            <w:r>
              <w:rPr>
                <w:rFonts w:hint="eastAsia" w:asciiTheme="minorEastAsia" w:hAnsiTheme="minorEastAsia" w:eastAsiaTheme="minorEastAsia"/>
                <w:sz w:val="22"/>
              </w:rPr>
              <w:t>年法律第</w:t>
            </w:r>
            <w:r>
              <w:rPr>
                <w:rFonts w:hint="eastAsia" w:asciiTheme="minorEastAsia" w:hAnsiTheme="minorEastAsia" w:eastAsiaTheme="minorEastAsia"/>
                <w:sz w:val="22"/>
              </w:rPr>
              <w:t>57</w:t>
            </w:r>
            <w:r>
              <w:rPr>
                <w:rFonts w:hint="eastAsia" w:asciiTheme="minorEastAsia" w:hAnsiTheme="minorEastAsia" w:eastAsiaTheme="minorEastAsia"/>
                <w:sz w:val="22"/>
              </w:rPr>
              <w:t>号。以下「土砂災害防止法」という。）第７条第１項により別途定めた区域</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土砂災害特別警戒区域</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土砂災害防止法第９条第１項により別途定めた区域</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急傾斜地崩壊危険区域</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急傾斜地の崩壊による災害の防止に関する法律（昭和</w:t>
            </w:r>
            <w:r>
              <w:rPr>
                <w:rFonts w:hint="eastAsia" w:asciiTheme="minorEastAsia" w:hAnsiTheme="minorEastAsia" w:eastAsiaTheme="minorEastAsia"/>
                <w:sz w:val="22"/>
              </w:rPr>
              <w:t>44</w:t>
            </w:r>
            <w:r>
              <w:rPr>
                <w:rFonts w:hint="eastAsia" w:asciiTheme="minorEastAsia" w:hAnsiTheme="minorEastAsia" w:eastAsiaTheme="minorEastAsia"/>
                <w:sz w:val="22"/>
              </w:rPr>
              <w:t>年法律第</w:t>
            </w:r>
            <w:r>
              <w:rPr>
                <w:rFonts w:hint="eastAsia" w:asciiTheme="minorEastAsia" w:hAnsiTheme="minorEastAsia" w:eastAsiaTheme="minorEastAsia"/>
                <w:sz w:val="22"/>
              </w:rPr>
              <w:t>57</w:t>
            </w:r>
            <w:r>
              <w:rPr>
                <w:rFonts w:hint="eastAsia" w:asciiTheme="minorEastAsia" w:hAnsiTheme="minorEastAsia" w:eastAsiaTheme="minorEastAsia"/>
                <w:sz w:val="22"/>
              </w:rPr>
              <w:t>号）第３条第１項により別途定めた区域</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砂防指定地</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砂防法（明治</w:t>
            </w:r>
            <w:r>
              <w:rPr>
                <w:rFonts w:hint="eastAsia" w:asciiTheme="minorEastAsia" w:hAnsiTheme="minorEastAsia" w:eastAsiaTheme="minorEastAsia"/>
                <w:sz w:val="22"/>
              </w:rPr>
              <w:t>30</w:t>
            </w:r>
            <w:r>
              <w:rPr>
                <w:rFonts w:hint="eastAsia" w:asciiTheme="minorEastAsia" w:hAnsiTheme="minorEastAsia" w:eastAsiaTheme="minorEastAsia"/>
                <w:sz w:val="22"/>
              </w:rPr>
              <w:t>年法律第</w:t>
            </w:r>
            <w:r>
              <w:rPr>
                <w:rFonts w:hint="eastAsia" w:asciiTheme="minorEastAsia" w:hAnsiTheme="minorEastAsia" w:eastAsiaTheme="minorEastAsia"/>
                <w:sz w:val="22"/>
              </w:rPr>
              <w:t>29</w:t>
            </w:r>
            <w:r>
              <w:rPr>
                <w:rFonts w:hint="eastAsia" w:asciiTheme="minorEastAsia" w:hAnsiTheme="minorEastAsia" w:eastAsiaTheme="minorEastAsia"/>
                <w:sz w:val="22"/>
              </w:rPr>
              <w:t>号）第２条により別途定めた区域</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地すべり防止区域</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地すべり等防止法（昭和</w:t>
            </w:r>
            <w:r>
              <w:rPr>
                <w:rFonts w:hint="eastAsia" w:asciiTheme="minorEastAsia" w:hAnsiTheme="minorEastAsia" w:eastAsiaTheme="minorEastAsia"/>
                <w:sz w:val="22"/>
              </w:rPr>
              <w:t>33</w:t>
            </w:r>
            <w:r>
              <w:rPr>
                <w:rFonts w:hint="eastAsia" w:asciiTheme="minorEastAsia" w:hAnsiTheme="minorEastAsia" w:eastAsiaTheme="minorEastAsia"/>
                <w:sz w:val="22"/>
              </w:rPr>
              <w:t>年法律第</w:t>
            </w:r>
            <w:r>
              <w:rPr>
                <w:rFonts w:hint="eastAsia" w:asciiTheme="minorEastAsia" w:hAnsiTheme="minorEastAsia" w:eastAsiaTheme="minorEastAsia"/>
                <w:sz w:val="22"/>
              </w:rPr>
              <w:t>30</w:t>
            </w:r>
            <w:r>
              <w:rPr>
                <w:rFonts w:hint="eastAsia" w:asciiTheme="minorEastAsia" w:hAnsiTheme="minorEastAsia" w:eastAsiaTheme="minorEastAsia"/>
                <w:sz w:val="22"/>
              </w:rPr>
              <w:t>号）第３条第１項により別途定めた区域</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津波浸水想定区域</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津波防災地域づくりに関する法律（平成</w:t>
            </w:r>
            <w:r>
              <w:rPr>
                <w:rFonts w:hint="eastAsia" w:asciiTheme="minorEastAsia" w:hAnsiTheme="minorEastAsia" w:eastAsiaTheme="minorEastAsia"/>
                <w:sz w:val="22"/>
              </w:rPr>
              <w:t>23</w:t>
            </w:r>
            <w:r>
              <w:rPr>
                <w:rFonts w:hint="eastAsia" w:asciiTheme="minorEastAsia" w:hAnsiTheme="minorEastAsia" w:eastAsiaTheme="minorEastAsia"/>
                <w:sz w:val="22"/>
              </w:rPr>
              <w:t>年法律第</w:t>
            </w:r>
            <w:r>
              <w:rPr>
                <w:rFonts w:hint="eastAsia" w:asciiTheme="minorEastAsia" w:hAnsiTheme="minorEastAsia" w:eastAsiaTheme="minorEastAsia"/>
                <w:sz w:val="22"/>
              </w:rPr>
              <w:t>123</w:t>
            </w:r>
            <w:r>
              <w:rPr>
                <w:rFonts w:hint="eastAsia" w:asciiTheme="minorEastAsia" w:hAnsiTheme="minorEastAsia" w:eastAsiaTheme="minorEastAsia"/>
                <w:sz w:val="22"/>
              </w:rPr>
              <w:t>号）第８条第１項により別途定めた区域</w:t>
            </w:r>
          </w:p>
        </w:tc>
      </w:tr>
      <w:tr>
        <w:trPr/>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洪水浸水想定区域</w:t>
            </w:r>
          </w:p>
        </w:tc>
        <w:tc>
          <w:tcPr>
            <w:tcW w:w="6662"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水防法（昭和</w:t>
            </w:r>
            <w:r>
              <w:rPr>
                <w:rFonts w:hint="eastAsia" w:asciiTheme="minorEastAsia" w:hAnsiTheme="minorEastAsia" w:eastAsiaTheme="minorEastAsia"/>
                <w:sz w:val="22"/>
              </w:rPr>
              <w:t>24</w:t>
            </w:r>
            <w:r>
              <w:rPr>
                <w:rFonts w:hint="eastAsia" w:asciiTheme="minorEastAsia" w:hAnsiTheme="minorEastAsia" w:eastAsiaTheme="minorEastAsia"/>
                <w:sz w:val="22"/>
              </w:rPr>
              <w:t>年法律第</w:t>
            </w:r>
            <w:r>
              <w:rPr>
                <w:rFonts w:hint="eastAsia" w:asciiTheme="minorEastAsia" w:hAnsiTheme="minorEastAsia" w:eastAsiaTheme="minorEastAsia"/>
                <w:sz w:val="22"/>
              </w:rPr>
              <w:t>193</w:t>
            </w:r>
            <w:r>
              <w:rPr>
                <w:rFonts w:hint="eastAsia" w:asciiTheme="minorEastAsia" w:hAnsiTheme="minorEastAsia" w:eastAsiaTheme="minorEastAsia"/>
                <w:sz w:val="22"/>
              </w:rPr>
              <w:t>号）第</w:t>
            </w:r>
            <w:r>
              <w:rPr>
                <w:rFonts w:hint="eastAsia" w:asciiTheme="minorEastAsia" w:hAnsiTheme="minorEastAsia" w:eastAsiaTheme="minorEastAsia"/>
                <w:sz w:val="22"/>
              </w:rPr>
              <w:t>14</w:t>
            </w:r>
            <w:r>
              <w:rPr>
                <w:rFonts w:hint="eastAsia" w:asciiTheme="minorEastAsia" w:hAnsiTheme="minorEastAsia" w:eastAsiaTheme="minorEastAsia"/>
                <w:sz w:val="22"/>
              </w:rPr>
              <w:t>条第１</w:t>
            </w:r>
            <w:r>
              <w:rPr>
                <w:rFonts w:hint="eastAsia" w:asciiTheme="minorEastAsia" w:hAnsiTheme="minorEastAsia" w:eastAsiaTheme="minorEastAsia"/>
                <w:color w:val="auto"/>
                <w:sz w:val="22"/>
                <w:u w:val="none"/>
              </w:rPr>
              <w:t>項</w:t>
            </w:r>
            <w:r>
              <w:rPr>
                <w:rFonts w:hint="eastAsia" w:asciiTheme="minorEastAsia" w:hAnsiTheme="minorEastAsia" w:eastAsiaTheme="minorEastAsia"/>
                <w:color w:val="auto"/>
                <w:sz w:val="22"/>
                <w:u w:val="none" w:color="auto"/>
              </w:rPr>
              <w:t>又は第２項</w:t>
            </w:r>
            <w:r>
              <w:rPr>
                <w:rFonts w:hint="eastAsia" w:asciiTheme="minorEastAsia" w:hAnsiTheme="minorEastAsia" w:eastAsiaTheme="minorEastAsia"/>
                <w:sz w:val="22"/>
              </w:rPr>
              <w:t>により別途定めた区域</w:t>
            </w:r>
          </w:p>
        </w:tc>
      </w:tr>
    </w:tbl>
    <w:p>
      <w:pPr>
        <w:pStyle w:val="0"/>
        <w:ind w:left="453" w:hanging="453" w:hangingChars="200"/>
        <w:rPr>
          <w:rFonts w:hint="eastAsia" w:asciiTheme="minorEastAsia" w:hAnsiTheme="minorEastAsia" w:eastAsiaTheme="minorEastAsia"/>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eastAsia" w:asciiTheme="minorEastAsia" w:hAnsiTheme="minorEastAsia" w:eastAsiaTheme="minorEastAsia"/>
          <w:kern w:val="0"/>
          <w:sz w:val="22"/>
        </w:rPr>
      </w:pPr>
    </w:p>
    <w:p>
      <w:pPr>
        <w:pStyle w:val="0"/>
        <w:widowControl w:val="1"/>
        <w:jc w:val="left"/>
        <w:rPr>
          <w:rFonts w:hint="default" w:asciiTheme="minorEastAsia" w:hAnsiTheme="minorEastAsia" w:eastAsiaTheme="minorEastAsia"/>
          <w:kern w:val="0"/>
          <w:sz w:val="22"/>
        </w:rPr>
      </w:pPr>
    </w:p>
    <w:p>
      <w:pPr>
        <w:pStyle w:val="0"/>
        <w:widowControl w:val="1"/>
        <w:jc w:val="left"/>
        <w:rPr>
          <w:rFonts w:hint="default" w:asciiTheme="minorEastAsia" w:hAnsiTheme="minorEastAsia" w:eastAsiaTheme="minorEastAsia"/>
          <w:kern w:val="0"/>
          <w:sz w:val="22"/>
        </w:rPr>
      </w:pPr>
    </w:p>
    <w:p>
      <w:pPr>
        <w:pStyle w:val="0"/>
        <w:widowControl w:val="1"/>
        <w:jc w:val="left"/>
        <w:rPr>
          <w:rFonts w:hint="default" w:asciiTheme="minorEastAsia" w:hAnsiTheme="minorEastAsia" w:eastAsiaTheme="minorEastAsia"/>
          <w:kern w:val="0"/>
          <w:sz w:val="22"/>
        </w:rPr>
      </w:pPr>
    </w:p>
    <w:p>
      <w:pPr>
        <w:pStyle w:val="0"/>
        <w:widowControl w:val="1"/>
        <w:jc w:val="left"/>
        <w:rPr>
          <w:rFonts w:hint="default" w:asciiTheme="minorEastAsia" w:hAnsiTheme="minorEastAsia" w:eastAsiaTheme="minorEastAsia"/>
          <w:kern w:val="0"/>
          <w:sz w:val="22"/>
        </w:rPr>
      </w:pPr>
    </w:p>
    <w:sectPr>
      <w:headerReference r:id="rId5" w:type="default"/>
      <w:pgSz w:w="11906" w:h="16838"/>
      <w:pgMar w:top="1134" w:right="1274" w:bottom="1135" w:left="1418" w:header="851" w:footer="992" w:gutter="0"/>
      <w:cols w:space="720"/>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wordWrap w:val="0"/>
      <w:jc w:val="right"/>
      <w:rPr>
        <w:rFonts w:hint="default" w:ascii="ＭＳ ゴシック" w:hAnsi="ＭＳ ゴシック" w:eastAsia="ＭＳ 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13</Words>
  <Characters>432</Characters>
  <Application>JUST Note</Application>
  <Lines>48</Lines>
  <Paragraphs>20</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714646</cp:lastModifiedBy>
  <cp:lastPrinted>2023-07-03T06:37:04Z</cp:lastPrinted>
  <dcterms:created xsi:type="dcterms:W3CDTF">2017-05-29T04:44:00Z</dcterms:created>
  <dcterms:modified xsi:type="dcterms:W3CDTF">2023-07-03T07:49:14Z</dcterms:modified>
  <cp:revision>3</cp:revision>
</cp:coreProperties>
</file>