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embeddings/oleObject1.xlsx" ContentType="application/vnd.openxmlformats-officedocument.spreadsheetml.sheet"/>
  <Override PartName="/word/embeddings/oleObject2.xlsx" ContentType="application/vnd.openxmlformats-officedocument.spreadsheetml.sheet"/>
  <Override PartName="/word/embeddings/oleObject3.xlsx" ContentType="application/vnd.openxmlformats-officedocument.spreadsheetml.sheet"/>
  <Override PartName="/word/charts/chart2.xml" ContentType="application/vnd.openxmlformats-officedocument.drawingml.chart+xml"/>
  <Override PartName="/word/charts/colors2.xml" ContentType="application/vnd.ms-office.chartcolorstyle+xml"/>
  <Override PartName="/word/charts/style2.xml" ContentType="application/vnd.ms-office.chartstyle+xml"/>
  <Override PartName="/word/charts/chart3.xml" ContentType="application/vnd.openxmlformats-officedocument.drawingml.chart+xml"/>
  <Override PartName="/word/charts/colors3.xml" ContentType="application/vnd.ms-office.chartcolorstyle+xml"/>
  <Override PartName="/word/charts/style3.xml" ContentType="application/vnd.ms-office.chartstyle+xml"/>
  <Override PartName="/word/charts/chart4.xml" ContentType="application/vnd.openxmlformats-officedocument.drawingml.chart+xml"/>
  <Override PartName="/word/charts/colors4.xml" ContentType="application/vnd.ms-office.chartcolorstyle+xml"/>
  <Override PartName="/word/charts/style4.xml" ContentType="application/vnd.ms-office.chartstyle+xml"/>
  <Override PartName="/word/charts/chart5.xml" ContentType="application/vnd.openxmlformats-officedocument.drawingml.chart+xml"/>
  <Override PartName="/word/charts/colors5.xml" ContentType="application/vnd.ms-office.chartcolorstyle+xml"/>
  <Override PartName="/word/charts/style5.xml" ContentType="application/vnd.ms-office.chartstyle+xml"/>
  <Override PartName="/word/charts/chart6.xml" ContentType="application/vnd.openxmlformats-officedocument.drawingml.chart+xml"/>
  <Override PartName="/word/charts/colors6.xml" ContentType="application/vnd.ms-office.chartcolorstyle+xml"/>
  <Override PartName="/word/charts/style6.xml" ContentType="application/vnd.ms-office.chartstyle+xml"/>
  <Override PartName="/word/charts/chart7.xml" ContentType="application/vnd.openxmlformats-officedocument.drawingml.chart+xml"/>
  <Override PartName="/word/charts/colors7.xml" ContentType="application/vnd.ms-office.chartcolorstyle+xml"/>
  <Override PartName="/word/charts/style7.xml" ContentType="application/vnd.ms-office.chartstyle+xml"/>
  <Override PartName="/word/embeddings/oleObject4.xlsx" ContentType="application/vnd.openxmlformats-officedocument.spreadsheetml.sheet"/>
  <Override PartName="/word/charts/chart8.xml" ContentType="application/vnd.openxmlformats-officedocument.drawingml.chart+xml"/>
  <Override PartName="/word/drawings/drawing2.xml" ContentType="application/vnd.openxmlformats-officedocument.drawingml.chartshapes+xml"/>
  <Override PartName="/word/charts/colors8.xml" ContentType="application/vnd.ms-office.chartcolorstyle+xml"/>
  <Override PartName="/word/charts/style8.xml" ContentType="application/vnd.ms-office.chartstyle+xml"/>
  <Override PartName="/word/embeddings/oleObject5.xlsx" ContentType="application/vnd.openxmlformats-officedocument.spreadsheetml.sheet"/>
  <Override PartName="/word/embeddings/oleObject6.xlsx" ContentType="application/vnd.openxmlformats-officedocument.spreadsheetml.sheet"/>
  <Override PartName="/word/embeddings/oleObject7.xlsx" ContentType="application/vnd.openxmlformats-officedocument.spreadsheetml.sheet"/>
  <Override PartName="/word/embeddings/oleObject8.xlsx" ContentType="application/vnd.openxmlformats-officedocument.spreadsheetml.sheet"/>
  <Override PartName="/word/embeddings/oleObject9.xlsx" ContentType="application/vnd.openxmlformats-officedocument.spreadsheetml.sheet"/>
  <Override PartName="/word/embeddings/oleObject10.xlsx" ContentType="application/vnd.openxmlformats-officedocument.spreadsheetml.sheet"/>
  <Override PartName="/word/embeddings/oleObject11.xlsx" ContentType="application/vnd.openxmlformats-officedocument.spreadsheetml.sheet"/>
  <Override PartName="/word/embeddings/oleObject12.xlsx" ContentType="application/vnd.openxmlformats-officedocument.spreadsheetml.sheet"/>
  <Override PartName="/word/embeddings/oleObject13.xlsx" ContentType="application/vnd.openxmlformats-officedocument.spreadsheetml.sheet"/>
  <Override PartName="/word/embeddings/oleObject14.xlsx" ContentType="application/vnd.openxmlformats-officedocument.spreadsheetml.sheet"/>
  <Override PartName="/word/embeddings/oleObject15.xlsx" ContentType="application/vnd.openxmlformats-officedocument.spreadsheetml.sheet"/>
  <Override PartName="/word/embeddings/oleObject16.xlsx" ContentType="application/vnd.openxmlformats-officedocument.spreadsheetml.sheet"/>
  <Override PartName="/word/embeddings/oleObject17.xlsx" ContentType="application/vnd.openxmlformats-officedocument.spreadsheetml.sheet"/>
  <Override PartName="/word/embeddings/oleObject18.xlsx" ContentType="application/vnd.openxmlformats-officedocument.spreadsheetml.sheet"/>
  <Override PartName="/word/embeddings/oleObject19.xlsx" ContentType="application/vnd.openxmlformats-officedocument.spreadsheetml.sheet"/>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b w:val="1"/>
        </w:rPr>
      </w:pPr>
      <w:bookmarkStart w:id="0" w:name="_GoBack"/>
      <w:bookmarkEnd w:id="0"/>
    </w:p>
    <w:p>
      <w:pPr>
        <w:pStyle w:val="0"/>
        <w:rPr>
          <w:rFonts w:hint="default"/>
          <w:b w:val="1"/>
        </w:rPr>
      </w:pPr>
      <w:r>
        <w:rPr>
          <w:rFonts w:hint="default"/>
          <w:b w:val="0"/>
        </w:rPr>
        <mc:AlternateContent>
          <mc:Choice Requires="wps">
            <w:drawing>
              <wp:anchor simplePos="0" relativeHeight="2" behindDoc="0" locked="0" layoutInCell="1" hidden="0" allowOverlap="1">
                <wp:simplePos x="0" y="0"/>
                <wp:positionH relativeFrom="column">
                  <wp:posOffset>13970</wp:posOffset>
                </wp:positionH>
                <wp:positionV relativeFrom="paragraph">
                  <wp:posOffset>219075</wp:posOffset>
                </wp:positionV>
                <wp:extent cx="2352675" cy="361315"/>
                <wp:effectExtent l="635" t="635" r="29845" b="10795"/>
                <wp:wrapNone/>
                <wp:docPr id="1026" name="オブジェクト 0"/>
                <a:graphic xmlns:a="http://schemas.openxmlformats.org/drawingml/2006/main">
                  <a:graphicData uri="http://schemas.microsoft.com/office/word/2010/wordprocessingShape">
                    <wps:wsp>
                      <wps:cNvPr id="1026" name="オブジェクト 0"/>
                      <wps:cNvSpPr txBox="1">
                        <a:spLocks noChangeArrowheads="1"/>
                      </wps:cNvSpPr>
                      <wps:spPr>
                        <a:xfrm>
                          <a:off x="0" y="0"/>
                          <a:ext cx="2352675" cy="361315"/>
                        </a:xfrm>
                        <a:prstGeom prst="rect">
                          <a:avLst/>
                        </a:prstGeom>
                        <a:solidFill>
                          <a:srgbClr val="FFFFFF"/>
                        </a:solidFill>
                        <a:ln w="9525">
                          <a:solidFill>
                            <a:sysClr val="windowText" lastClr="000000"/>
                          </a:solidFill>
                          <a:miter/>
                        </a:ln>
                      </wps:spPr>
                      <wps:txbx>
                        <w:txbxContent>
                          <w:p>
                            <w:pPr>
                              <w:pStyle w:val="0"/>
                              <w:jc w:val="center"/>
                              <w:rPr>
                                <w:rFonts w:hint="default" w:ascii="ＭＳ ゴシック" w:hAnsi="ＭＳ ゴシック" w:eastAsia="ＭＳ ゴシック"/>
                                <w:sz w:val="24"/>
                              </w:rPr>
                            </w:pPr>
                            <w:r>
                              <w:rPr>
                                <w:rFonts w:hint="eastAsia" w:ascii="ＭＳ ゴシック" w:hAnsi="ＭＳ ゴシック" w:eastAsia="ＭＳ ゴシック"/>
                                <w:sz w:val="24"/>
                              </w:rPr>
                              <w:t>高知県保健医療計画（別冊）</w:t>
                            </w: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7.25pt;mso-position-vertical-relative:text;mso-position-horizontal-relative:text;position:absolute;height:28.45pt;width:185.25pt;margin-left:1.1000000000000001pt;z-index:2;" o:spid="_x0000_s1026" o:allowincell="t" o:allowoverlap="t" filled="t" fillcolor="#ffffff" stroked="t" strokecolor="#000000" strokeweight="0.75pt" o:spt="202" type="#_x0000_t202">
                <v:fill/>
                <v:stroke filltype="solid"/>
                <v:textbox style="layout-flow:horizontal;">
                  <w:txbxContent>
                    <w:p>
                      <w:pPr>
                        <w:pStyle w:val="0"/>
                        <w:jc w:val="center"/>
                        <w:rPr>
                          <w:rFonts w:hint="default" w:ascii="ＭＳ ゴシック" w:hAnsi="ＭＳ ゴシック" w:eastAsia="ＭＳ ゴシック"/>
                          <w:sz w:val="24"/>
                        </w:rPr>
                      </w:pPr>
                      <w:r>
                        <w:rPr>
                          <w:rFonts w:hint="eastAsia" w:ascii="ＭＳ ゴシック" w:hAnsi="ＭＳ ゴシック" w:eastAsia="ＭＳ ゴシック"/>
                          <w:sz w:val="24"/>
                        </w:rPr>
                        <w:t>高知県保健医療計画（別冊）</w:t>
                      </w:r>
                    </w:p>
                  </w:txbxContent>
                </v:textbox>
                <v:imagedata o:title=""/>
                <w10:wrap type="none" anchorx="text" anchory="text"/>
              </v:shape>
            </w:pict>
          </mc:Fallback>
        </mc:AlternateContent>
      </w:r>
    </w:p>
    <w:p>
      <w:pPr>
        <w:pStyle w:val="0"/>
        <w:rPr>
          <w:rFonts w:hint="default"/>
          <w:b w:val="1"/>
        </w:rPr>
      </w:pPr>
    </w:p>
    <w:p>
      <w:pPr>
        <w:pStyle w:val="0"/>
        <w:rPr>
          <w:rFonts w:hint="eastAsia"/>
          <w:b w:val="1"/>
        </w:rPr>
      </w:pPr>
    </w:p>
    <w:p>
      <w:pPr>
        <w:pStyle w:val="0"/>
        <w:rPr>
          <w:rFonts w:hint="eastAsia"/>
          <w:b w:val="1"/>
        </w:rPr>
      </w:pPr>
    </w:p>
    <w:p>
      <w:pPr>
        <w:pStyle w:val="0"/>
        <w:rPr>
          <w:rFonts w:hint="eastAsia"/>
          <w:b w:val="1"/>
        </w:rPr>
      </w:pPr>
    </w:p>
    <w:p>
      <w:pPr>
        <w:pStyle w:val="0"/>
        <w:rPr>
          <w:rFonts w:hint="eastAsia"/>
          <w:b w:val="1"/>
        </w:rPr>
      </w:pPr>
    </w:p>
    <w:p>
      <w:pPr>
        <w:pStyle w:val="0"/>
        <w:rPr>
          <w:rFonts w:hint="default"/>
          <w:b w:val="1"/>
        </w:rPr>
      </w:pPr>
    </w:p>
    <w:p>
      <w:pPr>
        <w:pStyle w:val="0"/>
        <w:jc w:val="center"/>
        <w:rPr>
          <w:rFonts w:hint="default" w:ascii="ＭＳ ゴシック" w:hAnsi="ＭＳ ゴシック" w:eastAsia="ＭＳ ゴシック"/>
          <w:sz w:val="64"/>
        </w:rPr>
      </w:pPr>
      <w:r>
        <w:rPr>
          <w:rFonts w:hint="eastAsia" w:ascii="ＭＳ ゴシック" w:hAnsi="ＭＳ ゴシック" w:eastAsia="ＭＳ ゴシック"/>
          <w:spacing w:val="120"/>
          <w:sz w:val="64"/>
          <w:fitText w:val="7680" w:id="1"/>
        </w:rPr>
        <w:t>高知県外来医療計</w:t>
      </w:r>
      <w:r>
        <w:rPr>
          <w:rFonts w:hint="eastAsia" w:ascii="ＭＳ ゴシック" w:hAnsi="ＭＳ ゴシック" w:eastAsia="ＭＳ ゴシック"/>
          <w:spacing w:val="71"/>
          <w:sz w:val="64"/>
          <w:fitText w:val="7680" w:id="1"/>
        </w:rPr>
        <w:t>画</w:t>
      </w:r>
    </w:p>
    <w:p>
      <w:pPr>
        <w:pStyle w:val="0"/>
        <w:jc w:val="center"/>
        <w:rPr>
          <w:rFonts w:hint="eastAsia" w:ascii="ＭＳ ゴシック" w:hAnsi="ＭＳ ゴシック" w:eastAsia="ＭＳ ゴシック"/>
          <w:sz w:val="44"/>
        </w:rPr>
      </w:pPr>
    </w:p>
    <w:p>
      <w:pPr>
        <w:pStyle w:val="0"/>
        <w:jc w:val="center"/>
        <w:rPr>
          <w:rFonts w:hint="default"/>
          <w:b w:val="1"/>
          <w:sz w:val="36"/>
        </w:rPr>
      </w:pPr>
    </w:p>
    <w:p>
      <w:pPr>
        <w:pStyle w:val="0"/>
        <w:jc w:val="center"/>
        <w:rPr>
          <w:rFonts w:hint="default"/>
          <w:b w:val="1"/>
          <w:sz w:val="36"/>
        </w:rPr>
      </w:pPr>
    </w:p>
    <w:p>
      <w:pPr>
        <w:pStyle w:val="0"/>
        <w:jc w:val="center"/>
        <w:rPr>
          <w:rFonts w:hint="default"/>
          <w:b w:val="1"/>
          <w:sz w:val="36"/>
        </w:rPr>
      </w:pPr>
    </w:p>
    <w:p>
      <w:pPr>
        <w:pStyle w:val="0"/>
        <w:jc w:val="center"/>
        <w:rPr>
          <w:rFonts w:hint="default"/>
          <w:b w:val="1"/>
          <w:sz w:val="36"/>
        </w:rPr>
      </w:pPr>
    </w:p>
    <w:p>
      <w:pPr>
        <w:pStyle w:val="0"/>
        <w:jc w:val="center"/>
        <w:rPr>
          <w:rFonts w:hint="default"/>
          <w:b w:val="1"/>
          <w:sz w:val="36"/>
        </w:rPr>
      </w:pPr>
    </w:p>
    <w:p>
      <w:pPr>
        <w:pStyle w:val="0"/>
        <w:jc w:val="center"/>
        <w:rPr>
          <w:rFonts w:hint="default"/>
          <w:b w:val="1"/>
          <w:sz w:val="36"/>
        </w:rPr>
      </w:pPr>
    </w:p>
    <w:p>
      <w:pPr>
        <w:pStyle w:val="0"/>
        <w:jc w:val="center"/>
        <w:rPr>
          <w:rFonts w:hint="default"/>
          <w:b w:val="1"/>
          <w:sz w:val="36"/>
        </w:rPr>
      </w:pPr>
    </w:p>
    <w:p>
      <w:pPr>
        <w:pStyle w:val="0"/>
        <w:jc w:val="center"/>
        <w:rPr>
          <w:rFonts w:hint="default"/>
          <w:b w:val="1"/>
          <w:sz w:val="36"/>
        </w:rPr>
      </w:pPr>
    </w:p>
    <w:p>
      <w:pPr>
        <w:pStyle w:val="0"/>
        <w:jc w:val="center"/>
        <w:rPr>
          <w:rFonts w:hint="default" w:ascii="ＭＳ ゴシック" w:hAnsi="ＭＳ ゴシック" w:eastAsia="ＭＳ ゴシック"/>
          <w:sz w:val="48"/>
        </w:rPr>
      </w:pPr>
      <w:r>
        <w:rPr>
          <w:rFonts w:hint="eastAsia" w:ascii="ＭＳ ゴシック" w:hAnsi="ＭＳ ゴシック" w:eastAsia="ＭＳ ゴシック"/>
          <w:sz w:val="48"/>
        </w:rPr>
        <w:t>令和２年４月</w:t>
      </w:r>
    </w:p>
    <w:p>
      <w:pPr>
        <w:pStyle w:val="0"/>
        <w:jc w:val="center"/>
        <w:rPr>
          <w:rFonts w:hint="default" w:ascii="ＭＳ ゴシック" w:hAnsi="ＭＳ ゴシック" w:eastAsia="ＭＳ ゴシック"/>
          <w:sz w:val="48"/>
        </w:rPr>
      </w:pPr>
      <w:r>
        <w:rPr>
          <w:rFonts w:hint="eastAsia" w:ascii="ＭＳ ゴシック" w:hAnsi="ＭＳ ゴシック" w:eastAsia="ＭＳ ゴシック"/>
          <w:sz w:val="48"/>
        </w:rPr>
        <w:t>高　知　県</w:t>
      </w:r>
    </w:p>
    <w:p>
      <w:pPr>
        <w:pStyle w:val="0"/>
        <w:widowControl w:val="1"/>
        <w:spacing w:line="300" w:lineRule="auto"/>
        <w:jc w:val="left"/>
        <w:rPr>
          <w:rFonts w:hint="default"/>
          <w:sz w:val="28"/>
        </w:rPr>
      </w:pPr>
    </w:p>
    <w:p>
      <w:pPr>
        <w:pStyle w:val="0"/>
        <w:spacing w:line="0" w:lineRule="atLeast"/>
        <w:jc w:val="center"/>
        <w:rPr>
          <w:rFonts w:hint="default"/>
          <w:sz w:val="28"/>
        </w:rPr>
      </w:pPr>
      <w:r>
        <w:rPr>
          <w:rFonts w:hint="default"/>
          <w:b w:val="0"/>
          <w:sz w:val="28"/>
        </w:rPr>
        <mc:AlternateContent>
          <mc:Choice Requires="wps">
            <w:drawing>
              <wp:anchor simplePos="0" relativeHeight="3" behindDoc="0" locked="0" layoutInCell="1" hidden="0" allowOverlap="1">
                <wp:simplePos x="0" y="0"/>
                <wp:positionH relativeFrom="column">
                  <wp:posOffset>2576195</wp:posOffset>
                </wp:positionH>
                <wp:positionV relativeFrom="paragraph">
                  <wp:posOffset>504825</wp:posOffset>
                </wp:positionV>
                <wp:extent cx="677545" cy="349885"/>
                <wp:effectExtent l="0" t="0" r="635" b="635"/>
                <wp:wrapNone/>
                <wp:docPr id="1027" name="オブジェクト 0"/>
                <a:graphic xmlns:a="http://schemas.openxmlformats.org/drawingml/2006/main">
                  <a:graphicData uri="http://schemas.microsoft.com/office/word/2010/wordprocessingShape">
                    <wps:wsp>
                      <wps:cNvPr id="1027" name="オブジェクト 0"/>
                      <wps:cNvSpPr txBox="1">
                        <a:spLocks noChangeArrowheads="1"/>
                      </wps:cNvSpPr>
                      <wps:spPr>
                        <a:xfrm>
                          <a:off x="0" y="0"/>
                          <a:ext cx="677545" cy="349885"/>
                        </a:xfrm>
                        <a:prstGeom prst="rect">
                          <a:avLst/>
                        </a:prstGeom>
                        <a:solidFill>
                          <a:srgbClr val="FFFFFF"/>
                        </a:solidFill>
                        <a:ln>
                          <a:miter/>
                        </a:ln>
                      </wps:spPr>
                      <wps:txbx>
                        <w:txbxContent>
                          <w:p>
                            <w:pPr>
                              <w:pStyle w:val="0"/>
                              <w:rPr>
                                <w:rFonts w:hint="default"/>
                              </w:rPr>
                            </w:pP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39.75pt;mso-position-vertical-relative:text;mso-position-horizontal-relative:text;position:absolute;height:27.55pt;width:53.35pt;margin-left:202.85pt;z-index:3;" o:spid="_x0000_s1027" o:allowincell="t" o:allowoverlap="t" filled="t" fillcolor="#ffffff" stroked="f" o:spt="202" type="#_x0000_t202">
                <v:fill/>
                <v:textbox style="layout-flow:horizontal;">
                  <w:txbxContent>
                    <w:p>
                      <w:pPr>
                        <w:pStyle w:val="0"/>
                        <w:rPr>
                          <w:rFonts w:hint="default"/>
                        </w:rPr>
                      </w:pPr>
                    </w:p>
                  </w:txbxContent>
                </v:textbox>
                <v:imagedata o:title=""/>
                <w10:wrap type="none" anchorx="text" anchory="text"/>
              </v:shape>
            </w:pict>
          </mc:Fallback>
        </mc:AlternateContent>
      </w:r>
    </w:p>
    <w:p>
      <w:pPr>
        <w:rPr>
          <w:rFonts w:hint="default"/>
          <w:b w:val="1"/>
          <w:color w:val="auto"/>
          <w:sz w:val="28"/>
        </w:rPr>
        <w:sectPr>
          <w:footerReference r:id="rId5" w:type="even"/>
          <w:footerReference r:id="rId6" w:type="default"/>
          <w:footnotePr>
            <w:numFmt w:val="decimalFullWidth"/>
          </w:footnotePr>
          <w:pgSz w:w="11906" w:h="16838"/>
          <w:pgMar w:top="1418" w:right="1418" w:bottom="1418" w:left="1418" w:header="720" w:footer="720" w:gutter="0"/>
          <w:pgNumType w:fmt="numberInDash" w:start="1"/>
          <w:cols w:space="720"/>
          <w:noEndnote w:val="1"/>
          <w:textDirection w:val="lrTb"/>
          <w:docGrid w:type="linesAndChars" w:linePitch="388" w:charSpace="1382"/>
        </w:sectPr>
      </w:pPr>
    </w:p>
    <w:p>
      <w:pPr>
        <w:pStyle w:val="0"/>
        <w:jc w:val="center"/>
        <w:rPr>
          <w:rFonts w:hint="default"/>
          <w:b w:val="1"/>
          <w:sz w:val="32"/>
        </w:rPr>
      </w:pPr>
      <w:r>
        <w:rPr>
          <w:rFonts w:hint="eastAsia"/>
          <w:b w:val="1"/>
          <w:sz w:val="32"/>
        </w:rPr>
        <w:t>目　　　　次</w:t>
      </w:r>
    </w:p>
    <w:p>
      <w:pPr>
        <w:pStyle w:val="0"/>
        <w:jc w:val="center"/>
        <w:rPr>
          <w:rFonts w:hint="eastAsia"/>
          <w:b w:val="1"/>
          <w:sz w:val="28"/>
        </w:rPr>
      </w:pPr>
    </w:p>
    <w:p>
      <w:pPr>
        <w:pStyle w:val="0"/>
        <w:jc w:val="center"/>
        <w:rPr>
          <w:rFonts w:hint="default"/>
          <w:b w:val="1"/>
          <w:sz w:val="28"/>
        </w:rPr>
      </w:pPr>
    </w:p>
    <w:p>
      <w:pPr>
        <w:pStyle w:val="0"/>
        <w:ind w:firstLine="247" w:firstLineChars="100"/>
        <w:rPr>
          <w:rFonts w:hint="default"/>
          <w:b w:val="1"/>
          <w:color w:val="000000" w:themeColor="text1"/>
        </w:rPr>
      </w:pPr>
      <w:r>
        <w:rPr>
          <w:rFonts w:hint="eastAsia"/>
          <w:b w:val="1"/>
          <w:color w:val="000000" w:themeColor="text1"/>
          <w:sz w:val="24"/>
        </w:rPr>
        <w:t>第１章　外来医療計画の基本的事項</w:t>
      </w:r>
      <w:r>
        <w:rPr>
          <w:rFonts w:hint="eastAsia"/>
          <w:b w:val="1"/>
          <w:color w:val="000000" w:themeColor="text1"/>
        </w:rPr>
        <w:t>　　　　　　　　</w:t>
      </w:r>
      <w:r>
        <w:rPr>
          <w:rFonts w:hint="eastAsia"/>
          <w:b w:val="1"/>
          <w:color w:val="000000" w:themeColor="text1"/>
        </w:rPr>
        <w:t xml:space="preserve"> </w:t>
      </w:r>
      <w:r>
        <w:rPr>
          <w:rFonts w:hint="eastAsia"/>
          <w:b w:val="1"/>
          <w:color w:val="000000" w:themeColor="text1"/>
        </w:rPr>
        <w:t>　　　　　　</w:t>
      </w:r>
      <w:r>
        <w:rPr>
          <w:rFonts w:hint="eastAsia"/>
          <w:b w:val="1"/>
          <w:color w:val="000000" w:themeColor="text1"/>
        </w:rPr>
        <w:t xml:space="preserve"> </w:t>
      </w:r>
      <w:r>
        <w:rPr>
          <w:rFonts w:hint="eastAsia"/>
          <w:b w:val="1"/>
          <w:color w:val="000000" w:themeColor="text1"/>
        </w:rPr>
        <w:t>　　　　</w:t>
      </w:r>
      <w:r>
        <w:rPr>
          <w:rFonts w:hint="eastAsia"/>
          <w:b w:val="1"/>
          <w:color w:val="000000" w:themeColor="text1"/>
        </w:rPr>
        <w:t xml:space="preserve"> </w:t>
      </w:r>
      <w:r>
        <w:rPr>
          <w:rFonts w:hint="eastAsia"/>
          <w:color w:val="000000" w:themeColor="text1"/>
        </w:rPr>
        <w:t>頁</w:t>
      </w:r>
    </w:p>
    <w:p>
      <w:pPr>
        <w:pStyle w:val="0"/>
        <w:rPr>
          <w:rFonts w:hint="default"/>
          <w:color w:val="000000" w:themeColor="text1"/>
        </w:rPr>
      </w:pPr>
      <w:r>
        <w:rPr>
          <w:rFonts w:hint="eastAsia"/>
          <w:color w:val="000000" w:themeColor="text1"/>
        </w:rPr>
        <w:t>　　　１　計画策定の趣旨・・・・・・・・・・・・・・・・・・・・・・・・・・</w:t>
      </w:r>
      <w:r>
        <w:rPr>
          <w:rFonts w:hint="eastAsia"/>
          <w:color w:val="000000" w:themeColor="text1"/>
        </w:rPr>
        <w:t xml:space="preserve"> 1</w:t>
      </w:r>
    </w:p>
    <w:p>
      <w:pPr>
        <w:pStyle w:val="0"/>
        <w:ind w:firstLine="680" w:firstLineChars="300"/>
        <w:rPr>
          <w:rFonts w:hint="default"/>
          <w:color w:val="000000" w:themeColor="text1"/>
        </w:rPr>
      </w:pPr>
      <w:r>
        <w:rPr>
          <w:rFonts w:hint="eastAsia"/>
          <w:color w:val="000000" w:themeColor="text1"/>
        </w:rPr>
        <w:t>２　計画の位置づけ・・・・・・・・・・・・・・・・・・・・・・・・・・</w:t>
      </w:r>
      <w:r>
        <w:rPr>
          <w:rFonts w:hint="eastAsia"/>
          <w:color w:val="000000" w:themeColor="text1"/>
        </w:rPr>
        <w:t xml:space="preserve"> 1</w:t>
      </w:r>
    </w:p>
    <w:p>
      <w:pPr>
        <w:pStyle w:val="0"/>
        <w:ind w:firstLine="680" w:firstLineChars="300"/>
        <w:rPr>
          <w:rFonts w:hint="default"/>
          <w:color w:val="000000" w:themeColor="text1"/>
        </w:rPr>
      </w:pPr>
      <w:r>
        <w:rPr>
          <w:rFonts w:hint="eastAsia"/>
          <w:color w:val="000000" w:themeColor="text1"/>
        </w:rPr>
        <w:t>３　計画の期間・・・・・・・・・・・・・・・・・・・・・・・・・・・・</w:t>
      </w:r>
      <w:r>
        <w:rPr>
          <w:rFonts w:hint="eastAsia"/>
          <w:color w:val="000000" w:themeColor="text1"/>
        </w:rPr>
        <w:t xml:space="preserve"> 1</w:t>
      </w:r>
    </w:p>
    <w:p>
      <w:pPr>
        <w:pStyle w:val="0"/>
        <w:ind w:firstLine="680" w:firstLineChars="300"/>
        <w:rPr>
          <w:rFonts w:hint="default"/>
          <w:color w:val="000000" w:themeColor="text1"/>
        </w:rPr>
      </w:pPr>
      <w:r>
        <w:rPr>
          <w:rFonts w:hint="eastAsia"/>
          <w:color w:val="000000" w:themeColor="text1"/>
        </w:rPr>
        <w:t>４　圏域の設定・・・・・・・・・・・・・・・・・・・・・・・・・・・・</w:t>
      </w:r>
      <w:r>
        <w:rPr>
          <w:rFonts w:hint="eastAsia"/>
          <w:color w:val="000000" w:themeColor="text1"/>
        </w:rPr>
        <w:t xml:space="preserve"> 1</w:t>
      </w:r>
    </w:p>
    <w:p>
      <w:pPr>
        <w:pStyle w:val="0"/>
        <w:ind w:firstLine="227" w:firstLineChars="100"/>
        <w:rPr>
          <w:rFonts w:hint="default"/>
          <w:b w:val="1"/>
          <w:color w:val="000000" w:themeColor="text1"/>
        </w:rPr>
      </w:pPr>
    </w:p>
    <w:p>
      <w:pPr>
        <w:pStyle w:val="0"/>
        <w:ind w:firstLine="247" w:firstLineChars="100"/>
        <w:rPr>
          <w:rFonts w:hint="default"/>
          <w:b w:val="1"/>
          <w:color w:val="000000" w:themeColor="text1"/>
          <w:sz w:val="24"/>
        </w:rPr>
      </w:pPr>
      <w:r>
        <w:rPr>
          <w:rFonts w:hint="eastAsia"/>
          <w:b w:val="1"/>
          <w:color w:val="000000" w:themeColor="text1"/>
          <w:sz w:val="24"/>
        </w:rPr>
        <w:t>第２章　外来医療提供体制の現状について</w:t>
      </w:r>
    </w:p>
    <w:p>
      <w:pPr>
        <w:pStyle w:val="0"/>
        <w:rPr>
          <w:rFonts w:hint="default"/>
          <w:color w:val="000000" w:themeColor="text1"/>
        </w:rPr>
      </w:pPr>
      <w:r>
        <w:rPr>
          <w:rFonts w:hint="eastAsia"/>
          <w:color w:val="000000" w:themeColor="text1"/>
        </w:rPr>
        <w:t>　　　１　医療機関の状況・・・・・・・・・・・・・・・・・・・・・・・・・</w:t>
      </w:r>
      <w:r>
        <w:rPr>
          <w:rFonts w:hint="eastAsia"/>
          <w:color w:val="000000" w:themeColor="text1"/>
        </w:rPr>
        <w:t xml:space="preserve"> 2</w:t>
      </w:r>
      <w:r>
        <w:rPr>
          <w:rFonts w:hint="eastAsia"/>
          <w:color w:val="000000" w:themeColor="text1"/>
        </w:rPr>
        <w:t>～</w:t>
      </w:r>
      <w:r>
        <w:rPr>
          <w:rFonts w:hint="eastAsia"/>
          <w:color w:val="000000" w:themeColor="text1"/>
        </w:rPr>
        <w:t>4</w:t>
      </w:r>
    </w:p>
    <w:p>
      <w:pPr>
        <w:pStyle w:val="0"/>
        <w:ind w:right="-2" w:firstLine="680" w:firstLineChars="300"/>
        <w:rPr>
          <w:rFonts w:hint="default"/>
          <w:color w:val="000000" w:themeColor="text1"/>
        </w:rPr>
      </w:pPr>
      <w:r>
        <w:rPr>
          <w:rFonts w:hint="eastAsia"/>
          <w:color w:val="000000" w:themeColor="text1"/>
        </w:rPr>
        <w:t>２　医師の状況・・・・・・・・・・・・・・・・・・・・・・・・・・・</w:t>
      </w:r>
      <w:r>
        <w:rPr>
          <w:rFonts w:hint="eastAsia"/>
          <w:color w:val="000000" w:themeColor="text1"/>
        </w:rPr>
        <w:t xml:space="preserve"> 5</w:t>
      </w:r>
      <w:r>
        <w:rPr>
          <w:rFonts w:hint="eastAsia"/>
          <w:color w:val="000000" w:themeColor="text1"/>
        </w:rPr>
        <w:t>～</w:t>
      </w:r>
      <w:r>
        <w:rPr>
          <w:rFonts w:hint="eastAsia"/>
          <w:color w:val="000000" w:themeColor="text1"/>
        </w:rPr>
        <w:t>11</w:t>
      </w:r>
    </w:p>
    <w:p>
      <w:pPr>
        <w:pStyle w:val="0"/>
        <w:ind w:firstLine="680" w:firstLineChars="300"/>
        <w:rPr>
          <w:rFonts w:hint="default"/>
          <w:color w:val="000000" w:themeColor="text1"/>
        </w:rPr>
      </w:pPr>
      <w:r>
        <w:rPr>
          <w:rFonts w:hint="eastAsia"/>
          <w:color w:val="000000" w:themeColor="text1"/>
        </w:rPr>
        <w:t>３　患者の状況・・・・・・・・・・・・・・・・・・・・・・・・・・・</w:t>
      </w:r>
      <w:r>
        <w:rPr>
          <w:rFonts w:hint="eastAsia"/>
          <w:color w:val="000000" w:themeColor="text1"/>
        </w:rPr>
        <w:t>12</w:t>
      </w:r>
      <w:r>
        <w:rPr>
          <w:rFonts w:hint="eastAsia"/>
          <w:color w:val="000000" w:themeColor="text1"/>
        </w:rPr>
        <w:t>～</w:t>
      </w:r>
      <w:r>
        <w:rPr>
          <w:rFonts w:hint="eastAsia"/>
          <w:color w:val="000000" w:themeColor="text1"/>
        </w:rPr>
        <w:t>13</w:t>
      </w:r>
    </w:p>
    <w:p>
      <w:pPr>
        <w:pStyle w:val="0"/>
        <w:ind w:firstLine="680" w:firstLineChars="300"/>
        <w:rPr>
          <w:rFonts w:hint="default"/>
          <w:color w:val="000000" w:themeColor="text1"/>
        </w:rPr>
      </w:pPr>
      <w:r>
        <w:rPr>
          <w:rFonts w:hint="eastAsia"/>
          <w:color w:val="000000" w:themeColor="text1"/>
        </w:rPr>
        <w:t>４　初期救急医療体制・・・・・・・・・・・・・・・・・・・・・・・・</w:t>
      </w:r>
      <w:r>
        <w:rPr>
          <w:rFonts w:hint="eastAsia"/>
          <w:color w:val="000000" w:themeColor="text1"/>
        </w:rPr>
        <w:t>14</w:t>
      </w:r>
      <w:r>
        <w:rPr>
          <w:rFonts w:hint="eastAsia"/>
          <w:color w:val="000000" w:themeColor="text1"/>
        </w:rPr>
        <w:t>～</w:t>
      </w:r>
      <w:r>
        <w:rPr>
          <w:rFonts w:hint="eastAsia"/>
          <w:color w:val="000000" w:themeColor="text1"/>
        </w:rPr>
        <w:t>15</w:t>
      </w:r>
    </w:p>
    <w:p>
      <w:pPr>
        <w:pStyle w:val="0"/>
        <w:ind w:firstLine="680" w:firstLineChars="300"/>
        <w:rPr>
          <w:rFonts w:hint="default"/>
          <w:color w:val="000000" w:themeColor="text1"/>
        </w:rPr>
      </w:pPr>
      <w:r>
        <w:rPr>
          <w:rFonts w:hint="eastAsia"/>
          <w:color w:val="000000" w:themeColor="text1"/>
        </w:rPr>
        <w:t>５　在宅医療・・・・・・・・・・・・・・・・・・・・・・・・・・・・</w:t>
      </w:r>
      <w:r>
        <w:rPr>
          <w:rFonts w:hint="eastAsia"/>
          <w:color w:val="000000" w:themeColor="text1"/>
        </w:rPr>
        <w:t>15</w:t>
      </w:r>
      <w:r>
        <w:rPr>
          <w:rFonts w:hint="eastAsia"/>
          <w:color w:val="000000" w:themeColor="text1"/>
        </w:rPr>
        <w:t>～</w:t>
      </w:r>
      <w:r>
        <w:rPr>
          <w:rFonts w:hint="eastAsia"/>
          <w:color w:val="000000" w:themeColor="text1"/>
        </w:rPr>
        <w:t>17</w:t>
      </w:r>
    </w:p>
    <w:p>
      <w:pPr>
        <w:pStyle w:val="0"/>
        <w:ind w:firstLine="680" w:firstLineChars="300"/>
        <w:rPr>
          <w:rFonts w:hint="default"/>
          <w:color w:val="000000" w:themeColor="text1"/>
        </w:rPr>
      </w:pPr>
      <w:r>
        <w:rPr>
          <w:rFonts w:hint="eastAsia"/>
          <w:color w:val="000000" w:themeColor="text1"/>
        </w:rPr>
        <w:t>６　公衆衛生・・・・・・・・・・・・・・・・・・・・・・・・・・・・</w:t>
      </w:r>
      <w:r>
        <w:rPr>
          <w:rFonts w:hint="eastAsia"/>
          <w:color w:val="000000" w:themeColor="text1"/>
        </w:rPr>
        <w:t>17</w:t>
      </w:r>
      <w:r>
        <w:rPr>
          <w:rFonts w:hint="eastAsia"/>
          <w:color w:val="000000" w:themeColor="text1"/>
        </w:rPr>
        <w:t>～</w:t>
      </w:r>
      <w:r>
        <w:rPr>
          <w:rFonts w:hint="eastAsia"/>
          <w:color w:val="000000" w:themeColor="text1"/>
        </w:rPr>
        <w:t>19</w:t>
      </w:r>
    </w:p>
    <w:p>
      <w:pPr>
        <w:pStyle w:val="0"/>
        <w:ind w:firstLine="227" w:firstLineChars="100"/>
        <w:rPr>
          <w:rFonts w:hint="default"/>
          <w:b w:val="1"/>
          <w:color w:val="000000" w:themeColor="text1"/>
        </w:rPr>
      </w:pPr>
    </w:p>
    <w:p>
      <w:pPr>
        <w:pStyle w:val="0"/>
        <w:ind w:firstLine="247" w:firstLineChars="100"/>
        <w:rPr>
          <w:rFonts w:hint="default"/>
          <w:b w:val="1"/>
          <w:color w:val="000000" w:themeColor="text1"/>
          <w:sz w:val="24"/>
          <w:u w:val="none" w:color="auto"/>
        </w:rPr>
      </w:pPr>
      <w:r>
        <w:rPr>
          <w:rFonts w:hint="eastAsia"/>
          <w:b w:val="1"/>
          <w:color w:val="000000" w:themeColor="text1"/>
          <w:sz w:val="24"/>
          <w:u w:val="none" w:color="auto"/>
        </w:rPr>
        <w:t>第３章　外来医師の偏在状況等について</w:t>
      </w:r>
    </w:p>
    <w:p>
      <w:pPr>
        <w:pStyle w:val="0"/>
        <w:ind w:firstLine="680" w:firstLineChars="300"/>
        <w:rPr>
          <w:rFonts w:hint="default"/>
          <w:b w:val="0"/>
          <w:color w:val="000000" w:themeColor="text1"/>
          <w:sz w:val="22"/>
          <w:u w:val="none" w:color="auto"/>
        </w:rPr>
      </w:pPr>
      <w:r>
        <w:rPr>
          <w:rFonts w:hint="eastAsia"/>
          <w:b w:val="0"/>
          <w:color w:val="000000" w:themeColor="text1"/>
          <w:sz w:val="22"/>
          <w:u w:val="none" w:color="auto"/>
        </w:rPr>
        <w:t>１　外来医師偏在指標及び外来医師多数区域・・・・・・・・・・・・・・</w:t>
      </w:r>
      <w:r>
        <w:rPr>
          <w:rFonts w:hint="eastAsia"/>
          <w:b w:val="0"/>
          <w:color w:val="000000" w:themeColor="text1"/>
          <w:sz w:val="22"/>
          <w:u w:val="none" w:color="auto"/>
        </w:rPr>
        <w:t>19</w:t>
      </w:r>
      <w:r>
        <w:rPr>
          <w:rFonts w:hint="eastAsia"/>
          <w:b w:val="0"/>
          <w:color w:val="000000" w:themeColor="text1"/>
          <w:sz w:val="22"/>
          <w:u w:val="none" w:color="auto"/>
        </w:rPr>
        <w:t>～</w:t>
      </w:r>
      <w:r>
        <w:rPr>
          <w:rFonts w:hint="eastAsia"/>
          <w:b w:val="0"/>
          <w:color w:val="000000" w:themeColor="text1"/>
          <w:sz w:val="22"/>
          <w:u w:val="none" w:color="auto"/>
        </w:rPr>
        <w:t>20</w:t>
      </w:r>
    </w:p>
    <w:p>
      <w:pPr>
        <w:pStyle w:val="0"/>
        <w:ind w:firstLine="680" w:firstLineChars="300"/>
        <w:rPr>
          <w:rFonts w:hint="default"/>
          <w:b w:val="0"/>
          <w:color w:val="000000" w:themeColor="text1"/>
          <w:sz w:val="22"/>
        </w:rPr>
      </w:pPr>
      <w:r>
        <w:rPr>
          <w:rFonts w:hint="eastAsia"/>
          <w:b w:val="0"/>
          <w:color w:val="000000" w:themeColor="text1"/>
          <w:sz w:val="22"/>
          <w:u w:val="none" w:color="auto"/>
        </w:rPr>
        <w:t>２　地域で不足する機能</w:t>
      </w:r>
      <w:r>
        <w:rPr>
          <w:rFonts w:hint="eastAsia"/>
          <w:b w:val="0"/>
          <w:color w:val="000000" w:themeColor="text1"/>
          <w:sz w:val="22"/>
        </w:rPr>
        <w:t>・・・・・・・・・・・・・・・・・・・・・・・</w:t>
      </w:r>
      <w:r>
        <w:rPr>
          <w:rFonts w:hint="eastAsia"/>
          <w:b w:val="0"/>
          <w:color w:val="000000" w:themeColor="text1"/>
          <w:sz w:val="22"/>
        </w:rPr>
        <w:t>20</w:t>
      </w:r>
      <w:r>
        <w:rPr>
          <w:rFonts w:hint="eastAsia"/>
          <w:b w:val="0"/>
          <w:color w:val="000000" w:themeColor="text1"/>
          <w:sz w:val="22"/>
        </w:rPr>
        <w:t>～</w:t>
      </w:r>
      <w:r>
        <w:rPr>
          <w:rFonts w:hint="eastAsia"/>
          <w:b w:val="0"/>
          <w:color w:val="000000" w:themeColor="text1"/>
          <w:sz w:val="22"/>
        </w:rPr>
        <w:t>21</w:t>
      </w:r>
    </w:p>
    <w:p>
      <w:pPr>
        <w:pStyle w:val="0"/>
        <w:rPr>
          <w:rFonts w:hint="default"/>
          <w:b w:val="0"/>
          <w:color w:val="000000" w:themeColor="text1"/>
          <w:sz w:val="22"/>
        </w:rPr>
      </w:pPr>
      <w:r>
        <w:rPr>
          <w:rFonts w:hint="eastAsia"/>
          <w:b w:val="0"/>
          <w:color w:val="000000" w:themeColor="text1"/>
          <w:sz w:val="22"/>
        </w:rPr>
        <w:t>　</w:t>
      </w:r>
    </w:p>
    <w:p>
      <w:pPr>
        <w:pStyle w:val="0"/>
        <w:rPr>
          <w:rFonts w:hint="default"/>
          <w:b w:val="1"/>
          <w:color w:val="000000" w:themeColor="text1"/>
          <w:sz w:val="24"/>
          <w:u w:val="none" w:color="auto"/>
        </w:rPr>
      </w:pPr>
      <w:r>
        <w:rPr>
          <w:rFonts w:hint="eastAsia"/>
          <w:b w:val="0"/>
          <w:color w:val="000000" w:themeColor="text1"/>
          <w:sz w:val="22"/>
          <w:u w:val="none" w:color="auto"/>
        </w:rPr>
        <w:t>　</w:t>
      </w:r>
      <w:r>
        <w:rPr>
          <w:rFonts w:hint="eastAsia"/>
          <w:b w:val="1"/>
          <w:color w:val="000000" w:themeColor="text1"/>
          <w:sz w:val="24"/>
          <w:u w:val="none" w:color="auto"/>
        </w:rPr>
        <w:t>第４章　外来医療体制の確保に向けた取組について</w:t>
      </w:r>
    </w:p>
    <w:p>
      <w:pPr>
        <w:pStyle w:val="0"/>
        <w:ind w:left="0" w:leftChars="0" w:firstLine="680" w:firstLineChars="300"/>
        <w:rPr>
          <w:rFonts w:hint="default"/>
          <w:b w:val="0"/>
          <w:color w:val="auto"/>
          <w:sz w:val="22"/>
          <w:u w:val="none" w:color="auto"/>
        </w:rPr>
      </w:pPr>
      <w:r>
        <w:rPr>
          <w:rFonts w:hint="eastAsia"/>
          <w:b w:val="0"/>
          <w:color w:val="000000" w:themeColor="text1"/>
          <w:sz w:val="22"/>
          <w:u w:val="none" w:color="auto"/>
        </w:rPr>
        <w:t>１　協議の場の設置及び協議内容・・・・・・・・・・・・・・・・・・・</w:t>
      </w:r>
      <w:r>
        <w:rPr>
          <w:rFonts w:hint="eastAsia"/>
          <w:b w:val="0"/>
          <w:color w:val="auto"/>
          <w:sz w:val="22"/>
          <w:u w:val="none" w:color="auto"/>
        </w:rPr>
        <w:t>21</w:t>
      </w:r>
      <w:r>
        <w:rPr>
          <w:rFonts w:hint="eastAsia"/>
          <w:b w:val="0"/>
          <w:color w:val="auto"/>
          <w:sz w:val="22"/>
          <w:u w:val="none" w:color="auto"/>
        </w:rPr>
        <w:t>～</w:t>
      </w:r>
      <w:r>
        <w:rPr>
          <w:rFonts w:hint="eastAsia"/>
          <w:b w:val="0"/>
          <w:color w:val="auto"/>
          <w:sz w:val="22"/>
          <w:u w:val="none" w:color="auto"/>
        </w:rPr>
        <w:t>22</w:t>
      </w:r>
    </w:p>
    <w:p>
      <w:pPr>
        <w:pStyle w:val="0"/>
        <w:ind w:left="0" w:leftChars="0" w:firstLine="680" w:firstLineChars="300"/>
        <w:rPr>
          <w:rFonts w:hint="default"/>
          <w:b w:val="0"/>
          <w:color w:val="auto"/>
          <w:sz w:val="22"/>
        </w:rPr>
      </w:pPr>
      <w:r>
        <w:rPr>
          <w:rFonts w:hint="eastAsia"/>
          <w:b w:val="0"/>
          <w:color w:val="auto"/>
          <w:sz w:val="22"/>
          <w:u w:val="none" w:color="auto"/>
        </w:rPr>
        <w:t>２　その他の取組・</w:t>
      </w:r>
      <w:r>
        <w:rPr>
          <w:rFonts w:hint="eastAsia"/>
          <w:b w:val="0"/>
          <w:color w:val="auto"/>
          <w:sz w:val="22"/>
        </w:rPr>
        <w:t>・・・・・・・・・・・・・・・・・・・・・・・・・・</w:t>
      </w:r>
      <w:r>
        <w:rPr>
          <w:rFonts w:hint="eastAsia"/>
          <w:b w:val="0"/>
          <w:color w:val="auto"/>
          <w:sz w:val="22"/>
        </w:rPr>
        <w:t>22</w:t>
      </w:r>
    </w:p>
    <w:p>
      <w:pPr>
        <w:pStyle w:val="0"/>
        <w:rPr>
          <w:rFonts w:hint="default"/>
          <w:b w:val="1"/>
          <w:color w:val="auto"/>
        </w:rPr>
      </w:pPr>
      <w:r>
        <w:rPr>
          <w:rFonts w:hint="eastAsia"/>
          <w:color w:val="FF0000"/>
        </w:rPr>
        <w:t>　</w:t>
      </w:r>
    </w:p>
    <w:p>
      <w:pPr>
        <w:pStyle w:val="0"/>
        <w:rPr>
          <w:rFonts w:hint="default"/>
          <w:b w:val="1"/>
          <w:color w:val="auto"/>
          <w:sz w:val="24"/>
        </w:rPr>
      </w:pPr>
      <w:r>
        <w:rPr>
          <w:rFonts w:hint="eastAsia"/>
          <w:b w:val="1"/>
          <w:color w:val="auto"/>
        </w:rPr>
        <w:t>　</w:t>
      </w:r>
      <w:r>
        <w:rPr>
          <w:rFonts w:hint="eastAsia"/>
          <w:b w:val="1"/>
          <w:color w:val="auto"/>
          <w:sz w:val="24"/>
        </w:rPr>
        <w:t>第５章　医療機器の効率的な活用について</w:t>
      </w:r>
    </w:p>
    <w:p>
      <w:pPr>
        <w:pStyle w:val="0"/>
        <w:rPr>
          <w:rFonts w:hint="default"/>
          <w:color w:val="auto"/>
        </w:rPr>
      </w:pPr>
      <w:r>
        <w:rPr>
          <w:rFonts w:hint="eastAsia"/>
          <w:color w:val="auto"/>
        </w:rPr>
        <w:t>　　　１　趣旨・・・・・・・・・・・・・・・・・・・・・・・・・・・・・・・</w:t>
      </w:r>
      <w:r>
        <w:rPr>
          <w:rFonts w:hint="eastAsia"/>
          <w:color w:val="auto"/>
        </w:rPr>
        <w:t>23</w:t>
      </w:r>
    </w:p>
    <w:p>
      <w:pPr>
        <w:pStyle w:val="0"/>
        <w:ind w:firstLine="680" w:firstLineChars="300"/>
        <w:rPr>
          <w:rFonts w:hint="default"/>
          <w:color w:val="auto"/>
        </w:rPr>
      </w:pPr>
      <w:r>
        <w:rPr>
          <w:rFonts w:hint="eastAsia"/>
          <w:color w:val="auto"/>
        </w:rPr>
        <w:t>２　協議の場・・・・・・・・・・・・・・・・・・・・・・・・・・・・・</w:t>
      </w:r>
      <w:r>
        <w:rPr>
          <w:rFonts w:hint="eastAsia"/>
          <w:color w:val="auto"/>
        </w:rPr>
        <w:t>23</w:t>
      </w:r>
    </w:p>
    <w:p>
      <w:pPr>
        <w:pStyle w:val="0"/>
        <w:ind w:firstLine="680" w:firstLineChars="300"/>
        <w:rPr>
          <w:rFonts w:hint="default"/>
          <w:color w:val="auto"/>
        </w:rPr>
      </w:pPr>
      <w:r>
        <w:rPr>
          <w:rFonts w:hint="eastAsia"/>
          <w:color w:val="auto"/>
        </w:rPr>
        <w:t>３　医療機器の配置状況・・・・・・・・・・・・・・・・・・・・・・・</w:t>
      </w:r>
      <w:r>
        <w:rPr>
          <w:rFonts w:hint="eastAsia"/>
          <w:color w:val="auto"/>
        </w:rPr>
        <w:t>23</w:t>
      </w:r>
      <w:r>
        <w:rPr>
          <w:rFonts w:hint="eastAsia"/>
          <w:color w:val="auto"/>
        </w:rPr>
        <w:t>～</w:t>
      </w:r>
      <w:r>
        <w:rPr>
          <w:rFonts w:hint="eastAsia"/>
          <w:color w:val="auto"/>
        </w:rPr>
        <w:t>24</w:t>
      </w:r>
    </w:p>
    <w:p>
      <w:pPr>
        <w:pStyle w:val="0"/>
        <w:rPr>
          <w:rFonts w:hint="default"/>
          <w:color w:val="auto"/>
        </w:rPr>
      </w:pPr>
      <w:r>
        <w:rPr>
          <w:rFonts w:hint="eastAsia"/>
          <w:color w:val="auto"/>
        </w:rPr>
        <w:t>　　　４　医療機器の保有状況・・・・・・・・・・・・・・・・・・・・・・・</w:t>
      </w:r>
      <w:r>
        <w:rPr>
          <w:rFonts w:hint="eastAsia"/>
          <w:color w:val="auto"/>
        </w:rPr>
        <w:t>25</w:t>
      </w:r>
      <w:r>
        <w:rPr>
          <w:rFonts w:hint="eastAsia"/>
          <w:color w:val="auto"/>
        </w:rPr>
        <w:t>～</w:t>
      </w:r>
      <w:r>
        <w:rPr>
          <w:rFonts w:hint="eastAsia"/>
          <w:color w:val="auto"/>
        </w:rPr>
        <w:t>27</w:t>
      </w:r>
    </w:p>
    <w:p>
      <w:pPr>
        <w:pStyle w:val="0"/>
        <w:rPr>
          <w:rFonts w:hint="default"/>
          <w:color w:val="auto"/>
        </w:rPr>
      </w:pPr>
      <w:r>
        <w:rPr>
          <w:rFonts w:hint="eastAsia"/>
          <w:color w:val="auto"/>
        </w:rPr>
        <w:t>　　　５　共同利用方針・・・・・・・・・・・・・・・・・・・・・・・・・・・</w:t>
      </w:r>
      <w:r>
        <w:rPr>
          <w:rFonts w:hint="eastAsia"/>
          <w:color w:val="auto"/>
        </w:rPr>
        <w:t>28</w:t>
      </w:r>
    </w:p>
    <w:p>
      <w:pPr>
        <w:pStyle w:val="0"/>
        <w:ind w:firstLine="680" w:firstLineChars="300"/>
        <w:rPr>
          <w:rFonts w:hint="eastAsia"/>
          <w:color w:val="auto"/>
        </w:rPr>
      </w:pPr>
      <w:r>
        <w:rPr>
          <w:rFonts w:hint="eastAsia"/>
          <w:b w:val="0"/>
          <w:color w:val="auto"/>
        </w:rPr>
        <w:t>６　共同利用計画の記載事項とチェックのためのプロセス・・・・・・・・</w:t>
      </w:r>
      <w:r>
        <w:rPr>
          <w:rFonts w:hint="eastAsia"/>
          <w:b w:val="0"/>
          <w:color w:val="auto"/>
        </w:rPr>
        <w:t>28</w:t>
      </w:r>
      <w:r>
        <w:rPr>
          <w:rFonts w:hint="eastAsia"/>
          <w:b w:val="0"/>
          <w:color w:val="auto"/>
        </w:rPr>
        <w:t>～</w:t>
      </w:r>
      <w:r>
        <w:rPr>
          <w:rFonts w:hint="eastAsia"/>
          <w:b w:val="0"/>
          <w:color w:val="auto"/>
        </w:rPr>
        <w:t>30</w:t>
      </w:r>
    </w:p>
    <w:p>
      <w:pPr>
        <w:pStyle w:val="0"/>
        <w:ind w:leftChars="0" w:firstLine="0" w:firstLineChars="0"/>
        <w:rPr>
          <w:rFonts w:hint="eastAsia"/>
        </w:rPr>
      </w:pPr>
    </w:p>
    <w:p>
      <w:pPr>
        <w:pStyle w:val="0"/>
        <w:ind w:leftChars="0" w:firstLine="0" w:firstLineChars="0"/>
        <w:rPr>
          <w:rFonts w:hint="eastAsia"/>
        </w:rPr>
      </w:pPr>
    </w:p>
    <w:p>
      <w:pPr>
        <w:pStyle w:val="0"/>
        <w:ind w:leftChars="0" w:firstLine="0" w:firstLineChars="0"/>
        <w:rPr>
          <w:rFonts w:hint="eastAsia"/>
        </w:rPr>
      </w:pPr>
    </w:p>
    <w:p>
      <w:pPr>
        <w:rPr>
          <w:rFonts w:hint="default"/>
          <w:b w:val="1"/>
          <w:color w:val="auto"/>
          <w:spacing w:val="2"/>
          <w:sz w:val="28"/>
        </w:rPr>
        <w:sectPr>
          <w:footnotePr>
            <w:numFmt w:val="decimalFullWidth"/>
          </w:footnotePr>
          <w:type w:val="continuous"/>
          <w:pgSz w:w="11906" w:h="16838"/>
          <w:pgMar w:top="1418" w:right="1418" w:bottom="1418" w:left="1418" w:header="720" w:footer="720" w:gutter="0"/>
          <w:pgNumType w:fmt="numberInDash" w:start="1"/>
          <w:cols w:space="720"/>
          <w:noEndnote w:val="1"/>
          <w:textDirection w:val="lrTb"/>
          <w:docGrid w:type="linesAndChars" w:linePitch="388" w:charSpace="1382"/>
        </w:sectPr>
      </w:pPr>
    </w:p>
    <w:p>
      <w:pPr>
        <w:pStyle w:val="0"/>
        <w:spacing w:after="0" w:afterLines="0" w:afterAutospacing="0"/>
        <w:rPr>
          <w:rFonts w:hint="eastAsia"/>
        </w:rPr>
      </w:pPr>
      <w:r>
        <w:rPr>
          <w:rFonts w:hint="eastAsia"/>
          <w:b w:val="1"/>
          <w:spacing w:val="2"/>
          <w:sz w:val="28"/>
        </w:rPr>
        <w:t>第１章　</w:t>
      </w:r>
      <w:r>
        <w:rPr>
          <w:rFonts w:hint="eastAsia"/>
          <w:b w:val="1"/>
          <w:sz w:val="28"/>
        </w:rPr>
        <w:t>外来医療計画の基本的事項</w:t>
      </w:r>
    </w:p>
    <w:p>
      <w:pPr>
        <w:pStyle w:val="0"/>
        <w:spacing w:after="0" w:afterLines="0" w:afterAutospacing="0"/>
        <w:rPr>
          <w:rFonts w:hint="eastAsia"/>
          <w:sz w:val="22"/>
        </w:rPr>
      </w:pPr>
    </w:p>
    <w:p>
      <w:pPr>
        <w:pStyle w:val="0"/>
        <w:rPr>
          <w:rFonts w:hint="eastAsia"/>
          <w:b w:val="1"/>
          <w:sz w:val="24"/>
        </w:rPr>
      </w:pPr>
      <w:r>
        <w:rPr>
          <w:rFonts w:hint="eastAsia"/>
          <w:b w:val="1"/>
          <w:sz w:val="24"/>
        </w:rPr>
        <w:t>１　計画策定の趣旨</w:t>
      </w:r>
    </w:p>
    <w:p>
      <w:pPr>
        <w:pStyle w:val="0"/>
        <w:rPr>
          <w:rFonts w:hint="eastAsia"/>
        </w:rPr>
      </w:pPr>
      <w:r>
        <w:rPr>
          <w:rFonts w:hint="eastAsia"/>
        </w:rPr>
        <w:t>　外来医療については、診療所の新規開設数が全国的に増加している中で、無床診療所の開設状況が都市部に偏っていること、診療所における診療科の専門分化が進んでいること、救急医療提供体制の構築等の医療機関間の取り組みが個々の医療機関の自主的な取り組みに委ねられていること等の課題があることから、平成</w:t>
      </w:r>
      <w:r>
        <w:rPr>
          <w:rFonts w:hint="eastAsia"/>
        </w:rPr>
        <w:t>30</w:t>
      </w:r>
      <w:r>
        <w:rPr>
          <w:rFonts w:hint="eastAsia"/>
        </w:rPr>
        <w:t>年の医療法改正により医療計画に定める事項に</w:t>
      </w:r>
    </w:p>
    <w:p>
      <w:pPr>
        <w:pStyle w:val="0"/>
        <w:rPr>
          <w:rFonts w:hint="eastAsia"/>
        </w:rPr>
      </w:pPr>
      <w:r>
        <w:rPr>
          <w:rFonts w:hint="eastAsia"/>
        </w:rPr>
        <mc:AlternateContent>
          <mc:Choice Requires="wps">
            <w:drawing>
              <wp:anchor distT="0" distB="0" distL="203200" distR="203200" simplePos="0" relativeHeight="40" behindDoc="0" locked="0" layoutInCell="1" hidden="0" allowOverlap="1">
                <wp:simplePos x="0" y="0"/>
                <wp:positionH relativeFrom="column">
                  <wp:posOffset>177800</wp:posOffset>
                </wp:positionH>
                <wp:positionV relativeFrom="paragraph">
                  <wp:posOffset>198120</wp:posOffset>
                </wp:positionV>
                <wp:extent cx="5343525" cy="819150"/>
                <wp:effectExtent l="635" t="635" r="29845" b="10795"/>
                <wp:wrapNone/>
                <wp:docPr id="1028" name="オブジェクト 0"/>
                <a:graphic xmlns:a="http://schemas.openxmlformats.org/drawingml/2006/main">
                  <a:graphicData uri="http://schemas.microsoft.com/office/word/2010/wordprocessingShape">
                    <wps:wsp>
                      <wps:cNvPr id="1028" name="オブジェクト 0"/>
                      <wps:cNvSpPr/>
                      <wps:spPr>
                        <a:xfrm>
                          <a:off x="0" y="0"/>
                          <a:ext cx="5343525" cy="819150"/>
                        </a:xfrm>
                        <a:prstGeom prst="rect">
                          <a:avLst/>
                        </a:prstGeom>
                        <a:noFill/>
                        <a:ln w="952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15.6pt;mso-position-vertical-relative:text;mso-position-horizontal-relative:text;position:absolute;height:64.5pt;mso-wrap-distance-top:0pt;width:420.75pt;mso-wrap-distance-left:16pt;margin-left:14pt;z-index:40;" o:spid="_x0000_s1028" o:allowincell="t" o:allowoverlap="t" filled="f" stroked="t" strokecolor="#000000 [3213]" strokeweight="0.75pt" o:spt="1">
                <v:fill/>
                <v:stroke linestyle="single" miterlimit="8" endcap="flat" dashstyle="solid" filltype="solid"/>
                <v:textbox style="layout-flow:horizontal;"/>
                <v:imagedata o:title=""/>
                <w10:wrap type="none" anchorx="text" anchory="text"/>
              </v:rect>
            </w:pict>
          </mc:Fallback>
        </mc:AlternateContent>
      </w:r>
    </w:p>
    <w:p>
      <w:pPr>
        <w:pStyle w:val="0"/>
        <w:ind w:firstLine="680" w:firstLineChars="300"/>
        <w:rPr>
          <w:rFonts w:hint="eastAsia"/>
        </w:rPr>
      </w:pPr>
      <w:r>
        <w:rPr>
          <w:rFonts w:hint="eastAsia"/>
        </w:rPr>
        <w:t>・外来医療機能に関する情報の可視化</w:t>
      </w:r>
    </w:p>
    <w:p>
      <w:pPr>
        <w:pStyle w:val="0"/>
        <w:ind w:firstLine="680" w:firstLineChars="300"/>
        <w:rPr>
          <w:rFonts w:hint="eastAsia"/>
        </w:rPr>
      </w:pPr>
      <w:r>
        <w:rPr>
          <w:rFonts w:hint="eastAsia"/>
        </w:rPr>
        <w:t>・新規開設者等への情報提供</w:t>
      </w:r>
    </w:p>
    <w:p>
      <w:pPr>
        <w:pStyle w:val="0"/>
        <w:ind w:firstLine="680" w:firstLineChars="300"/>
        <w:rPr>
          <w:rFonts w:hint="eastAsia"/>
        </w:rPr>
      </w:pPr>
      <w:r>
        <w:rPr>
          <w:rFonts w:hint="eastAsia"/>
        </w:rPr>
        <w:t>・外来医療に関する協議の場の設置</w:t>
      </w:r>
    </w:p>
    <w:p>
      <w:pPr>
        <w:pStyle w:val="0"/>
        <w:ind w:firstLine="680" w:firstLineChars="300"/>
        <w:rPr>
          <w:rFonts w:hint="eastAsia"/>
        </w:rPr>
      </w:pPr>
    </w:p>
    <w:p>
      <w:pPr>
        <w:pStyle w:val="0"/>
        <w:rPr>
          <w:rFonts w:hint="eastAsia"/>
        </w:rPr>
      </w:pPr>
      <w:r>
        <w:rPr>
          <w:rFonts w:hint="eastAsia"/>
        </w:rPr>
        <w:t>を内容とする「外来医療に係る医療提供体制の確保に関する事項（外来医療計画）」が追加されました（医療法第</w:t>
      </w:r>
      <w:r>
        <w:rPr>
          <w:rFonts w:hint="eastAsia"/>
        </w:rPr>
        <w:t>30</w:t>
      </w:r>
      <w:r>
        <w:rPr>
          <w:rFonts w:hint="eastAsia"/>
        </w:rPr>
        <w:t>条の４第２項第</w:t>
      </w:r>
      <w:r>
        <w:rPr>
          <w:rFonts w:hint="eastAsia"/>
        </w:rPr>
        <w:t>10</w:t>
      </w:r>
      <w:r>
        <w:rPr>
          <w:rFonts w:hint="eastAsia"/>
        </w:rPr>
        <w:t>号）。</w:t>
      </w:r>
    </w:p>
    <w:p>
      <w:pPr>
        <w:pStyle w:val="0"/>
        <w:ind w:firstLine="210" w:firstLineChars="100"/>
        <w:rPr>
          <w:rFonts w:hint="eastAsia"/>
        </w:rPr>
      </w:pPr>
      <w:r>
        <w:rPr>
          <w:rFonts w:hint="eastAsia"/>
        </w:rPr>
        <w:t>本県では、これまでも身近な地域で適切な外来医療が提供されるよう、病院と診療所との連携体制の強化や、かかりつけ医の普及などを関係機関と連携しながら取り組んできました。今回、同法に基づき、外来医療計画を策定し、開設に際しての参考としてもらうとともに、住民が地域で安心して暮らし続けるために必要な医療機能である初期救急や在宅医療等の医療機能を担うことを新規開設の際には検討してもらうことで、地域地域で適切な外来医療提供体制が構築されるとともに、県民誰もが住み慣れた地域で安心して暮らし続けることの出来る高知県を目指します。</w:t>
      </w:r>
    </w:p>
    <w:p>
      <w:pPr>
        <w:pStyle w:val="0"/>
        <w:rPr>
          <w:rFonts w:hint="eastAsia"/>
        </w:rPr>
      </w:pPr>
    </w:p>
    <w:p>
      <w:pPr>
        <w:pStyle w:val="0"/>
        <w:rPr>
          <w:rFonts w:hint="eastAsia"/>
          <w:sz w:val="24"/>
        </w:rPr>
      </w:pPr>
      <w:r>
        <w:rPr>
          <w:rFonts w:hint="eastAsia"/>
          <w:b w:val="1"/>
          <w:sz w:val="24"/>
        </w:rPr>
        <w:t>２　計画の位置づけ</w:t>
      </w:r>
    </w:p>
    <w:p>
      <w:pPr>
        <w:pStyle w:val="0"/>
        <w:ind w:firstLine="210" w:firstLineChars="100"/>
        <w:rPr>
          <w:rFonts w:hint="eastAsia"/>
        </w:rPr>
      </w:pPr>
      <w:r>
        <w:rPr>
          <w:rFonts w:hint="eastAsia"/>
        </w:rPr>
        <w:t>医療法第</w:t>
      </w:r>
      <w:r>
        <w:rPr>
          <w:rFonts w:hint="eastAsia"/>
        </w:rPr>
        <w:t>30</w:t>
      </w:r>
      <w:r>
        <w:rPr>
          <w:rFonts w:hint="eastAsia"/>
        </w:rPr>
        <w:t>条の４の医療計画に定める事項の規定に基づき「第</w:t>
      </w:r>
      <w:r>
        <w:rPr>
          <w:rFonts w:hint="eastAsia"/>
        </w:rPr>
        <w:t>7</w:t>
      </w:r>
      <w:r>
        <w:rPr>
          <w:rFonts w:hint="eastAsia"/>
        </w:rPr>
        <w:t>期高知県保健医療計画」の一部（別冊）として位置づけます。</w:t>
      </w:r>
    </w:p>
    <w:p>
      <w:pPr>
        <w:pStyle w:val="0"/>
        <w:rPr>
          <w:rFonts w:hint="eastAsia"/>
        </w:rPr>
      </w:pPr>
      <w:r>
        <w:rPr>
          <w:rFonts w:hint="eastAsia"/>
        </w:rPr>
        <w:t>　また、「日本一の健康長寿県構想」などの県が策定する各種構想や計画との整合性の確保を図ります。</w:t>
      </w:r>
    </w:p>
    <w:p>
      <w:pPr>
        <w:pStyle w:val="0"/>
        <w:rPr>
          <w:rFonts w:hint="eastAsia"/>
        </w:rPr>
      </w:pPr>
    </w:p>
    <w:p>
      <w:pPr>
        <w:pStyle w:val="0"/>
        <w:rPr>
          <w:rFonts w:hint="eastAsia"/>
          <w:sz w:val="24"/>
        </w:rPr>
      </w:pPr>
      <w:r>
        <w:rPr>
          <w:rFonts w:hint="eastAsia"/>
          <w:b w:val="1"/>
          <w:sz w:val="24"/>
        </w:rPr>
        <w:t>３　計画の期間</w:t>
      </w:r>
    </w:p>
    <w:p>
      <w:pPr>
        <w:pStyle w:val="0"/>
        <w:rPr>
          <w:rFonts w:hint="eastAsia"/>
        </w:rPr>
      </w:pPr>
      <w:r>
        <w:rPr>
          <w:rFonts w:hint="eastAsia"/>
        </w:rPr>
        <w:t>　令和</w:t>
      </w:r>
      <w:r>
        <w:rPr>
          <w:rFonts w:hint="eastAsia"/>
        </w:rPr>
        <w:t>2</w:t>
      </w:r>
      <w:r>
        <w:rPr>
          <w:rFonts w:hint="eastAsia"/>
        </w:rPr>
        <w:t>年度から令和</w:t>
      </w:r>
      <w:r>
        <w:rPr>
          <w:rFonts w:hint="eastAsia"/>
        </w:rPr>
        <w:t>5</w:t>
      </w:r>
      <w:r>
        <w:rPr>
          <w:rFonts w:hint="eastAsia"/>
        </w:rPr>
        <w:t>年度（</w:t>
      </w:r>
      <w:r>
        <w:rPr>
          <w:rFonts w:hint="eastAsia"/>
        </w:rPr>
        <w:t>4</w:t>
      </w:r>
      <w:r>
        <w:rPr>
          <w:rFonts w:hint="eastAsia"/>
        </w:rPr>
        <w:t>年間）</w:t>
      </w:r>
    </w:p>
    <w:p>
      <w:pPr>
        <w:pStyle w:val="0"/>
        <w:rPr>
          <w:rFonts w:hint="eastAsia"/>
        </w:rPr>
      </w:pPr>
      <w:r>
        <w:rPr>
          <w:rFonts w:hint="eastAsia"/>
        </w:rPr>
        <w:t>　</w:t>
      </w:r>
    </w:p>
    <w:p>
      <w:pPr>
        <w:pStyle w:val="0"/>
        <w:rPr>
          <w:rFonts w:hint="eastAsia"/>
          <w:sz w:val="24"/>
        </w:rPr>
      </w:pPr>
      <w:r>
        <w:rPr>
          <w:rFonts w:hint="eastAsia"/>
          <w:b w:val="1"/>
          <w:sz w:val="24"/>
        </w:rPr>
        <w:t>４　圏域の設定</w:t>
      </w:r>
    </w:p>
    <w:p>
      <w:pPr>
        <w:pStyle w:val="0"/>
        <w:ind w:firstLine="210" w:firstLineChars="100"/>
        <w:rPr>
          <w:rFonts w:hint="eastAsia"/>
          <w:b w:val="1"/>
          <w:sz w:val="24"/>
        </w:rPr>
      </w:pPr>
      <w:r>
        <w:rPr>
          <w:rFonts w:hint="eastAsia"/>
        </w:rPr>
        <w:t>後述する外来医療偏在指標が二次医療圏で設定されていることもあり、本県においても二次医療圏とします。ただし中央医療圏においては外来医療が日常的な医療であることを踏まえサブ圏域を設定します。</w:t>
      </w:r>
      <w:r>
        <w:rPr>
          <w:rFonts w:hint="default"/>
          <w:b w:val="1"/>
          <w:sz w:val="24"/>
        </w:rPr>
        <w:tab/>
      </w:r>
    </w:p>
    <w:p>
      <w:pPr>
        <w:pStyle w:val="0"/>
        <w:rPr>
          <w:rFonts w:hint="eastAsia"/>
          <w:sz w:val="28"/>
        </w:rPr>
      </w:pPr>
      <w:r>
        <w:rPr>
          <w:rFonts w:hint="eastAsia"/>
          <w:b w:val="1"/>
          <w:sz w:val="28"/>
        </w:rPr>
        <w:t>第２章　外来医療提供体制の現状について</w:t>
      </w:r>
    </w:p>
    <w:p>
      <w:pPr>
        <w:pStyle w:val="0"/>
        <w:rPr>
          <w:rFonts w:hint="eastAsia"/>
        </w:rPr>
      </w:pPr>
    </w:p>
    <w:p>
      <w:pPr>
        <w:pStyle w:val="0"/>
        <w:rPr>
          <w:rFonts w:hint="eastAsia"/>
          <w:color w:val="000000"/>
          <w:sz w:val="24"/>
        </w:rPr>
      </w:pPr>
      <w:r>
        <w:rPr>
          <w:rFonts w:hint="eastAsia"/>
          <w:b w:val="1"/>
          <w:color w:val="000000"/>
          <w:sz w:val="24"/>
        </w:rPr>
        <w:t>１　医療機関の状況</w:t>
      </w:r>
    </w:p>
    <w:p>
      <w:pPr>
        <w:pStyle w:val="0"/>
        <w:rPr>
          <w:rFonts w:hint="eastAsia"/>
          <w:color w:val="000000"/>
        </w:rPr>
      </w:pPr>
      <w:r>
        <w:rPr>
          <w:rFonts w:hint="eastAsia"/>
          <w:color w:val="000000"/>
        </w:rPr>
        <w:t>　平成</w:t>
      </w:r>
      <w:r>
        <w:rPr>
          <w:rFonts w:hint="eastAsia"/>
          <w:color w:val="000000"/>
        </w:rPr>
        <w:t>30</w:t>
      </w:r>
      <w:r>
        <w:rPr>
          <w:rFonts w:hint="eastAsia"/>
          <w:color w:val="000000"/>
        </w:rPr>
        <w:t>年</w:t>
      </w:r>
      <w:r>
        <w:rPr>
          <w:rFonts w:hint="eastAsia"/>
          <w:color w:val="000000"/>
        </w:rPr>
        <w:t>10</w:t>
      </w:r>
      <w:r>
        <w:rPr>
          <w:rFonts w:hint="eastAsia"/>
          <w:color w:val="000000"/>
        </w:rPr>
        <w:t>月</w:t>
      </w:r>
      <w:r>
        <w:rPr>
          <w:rFonts w:hint="eastAsia"/>
          <w:color w:val="000000"/>
        </w:rPr>
        <w:t>1</w:t>
      </w:r>
      <w:r>
        <w:rPr>
          <w:rFonts w:hint="eastAsia"/>
          <w:color w:val="000000"/>
        </w:rPr>
        <w:t>日現在の病院は</w:t>
      </w:r>
      <w:r>
        <w:rPr>
          <w:rFonts w:hint="eastAsia"/>
          <w:color w:val="000000"/>
        </w:rPr>
        <w:t>126</w:t>
      </w:r>
      <w:r>
        <w:rPr>
          <w:rFonts w:hint="eastAsia"/>
          <w:color w:val="000000"/>
        </w:rPr>
        <w:t>施設あり、人口</w:t>
      </w:r>
      <w:r>
        <w:rPr>
          <w:rFonts w:hint="eastAsia"/>
          <w:color w:val="000000"/>
        </w:rPr>
        <w:t>10</w:t>
      </w:r>
      <w:r>
        <w:rPr>
          <w:rFonts w:hint="eastAsia"/>
          <w:color w:val="000000"/>
        </w:rPr>
        <w:t>万人当たり</w:t>
      </w:r>
      <w:r>
        <w:rPr>
          <w:rFonts w:hint="eastAsia"/>
          <w:color w:val="000000"/>
        </w:rPr>
        <w:t>17.8</w:t>
      </w:r>
      <w:r>
        <w:rPr>
          <w:rFonts w:hint="eastAsia"/>
          <w:color w:val="000000"/>
        </w:rPr>
        <w:t>施設となっており、施設数自体は減少傾向ですが、全国平均</w:t>
      </w:r>
      <w:r>
        <w:rPr>
          <w:rFonts w:hint="eastAsia"/>
          <w:color w:val="000000"/>
        </w:rPr>
        <w:t>6.68</w:t>
      </w:r>
      <w:r>
        <w:rPr>
          <w:rFonts w:hint="eastAsia"/>
          <w:color w:val="000000"/>
        </w:rPr>
        <w:t>施設を大きく上回っています。</w:t>
      </w:r>
    </w:p>
    <w:p>
      <w:pPr>
        <w:pStyle w:val="0"/>
        <w:ind w:firstLine="210" w:firstLineChars="100"/>
        <w:rPr>
          <w:rFonts w:hint="eastAsia"/>
          <w:color w:val="000000"/>
        </w:rPr>
      </w:pPr>
      <w:r>
        <w:rPr>
          <w:rFonts w:hint="eastAsia"/>
          <w:color w:val="000000"/>
        </w:rPr>
        <w:t>一方、平成</w:t>
      </w:r>
      <w:r>
        <w:rPr>
          <w:rFonts w:hint="eastAsia"/>
          <w:color w:val="000000"/>
        </w:rPr>
        <w:t>30</w:t>
      </w:r>
      <w:r>
        <w:rPr>
          <w:rFonts w:hint="eastAsia"/>
          <w:color w:val="000000"/>
        </w:rPr>
        <w:t>年</w:t>
      </w:r>
      <w:r>
        <w:rPr>
          <w:rFonts w:hint="eastAsia"/>
          <w:color w:val="000000"/>
        </w:rPr>
        <w:t>10</w:t>
      </w:r>
      <w:r>
        <w:rPr>
          <w:rFonts w:hint="eastAsia"/>
          <w:color w:val="000000"/>
        </w:rPr>
        <w:t>月</w:t>
      </w:r>
      <w:r>
        <w:rPr>
          <w:rFonts w:hint="eastAsia"/>
          <w:color w:val="000000"/>
        </w:rPr>
        <w:t>1</w:t>
      </w:r>
      <w:r>
        <w:rPr>
          <w:rFonts w:hint="eastAsia"/>
          <w:color w:val="000000"/>
        </w:rPr>
        <w:t>日現在の一般診療所は</w:t>
      </w:r>
      <w:r>
        <w:rPr>
          <w:rFonts w:hint="eastAsia"/>
          <w:color w:val="000000"/>
        </w:rPr>
        <w:t>560</w:t>
      </w:r>
      <w:r>
        <w:rPr>
          <w:rFonts w:hint="eastAsia"/>
          <w:color w:val="000000"/>
        </w:rPr>
        <w:t>施設あり、人口</w:t>
      </w:r>
      <w:r>
        <w:rPr>
          <w:rFonts w:hint="eastAsia"/>
          <w:color w:val="000000"/>
        </w:rPr>
        <w:t>10</w:t>
      </w:r>
      <w:r>
        <w:rPr>
          <w:rFonts w:hint="eastAsia"/>
          <w:color w:val="000000"/>
        </w:rPr>
        <w:t>万人当たり</w:t>
      </w:r>
      <w:r>
        <w:rPr>
          <w:rFonts w:hint="eastAsia"/>
          <w:color w:val="000000"/>
        </w:rPr>
        <w:t>79.3</w:t>
      </w:r>
      <w:r>
        <w:rPr>
          <w:rFonts w:hint="eastAsia"/>
          <w:color w:val="000000"/>
        </w:rPr>
        <w:t>施設で、全国平均</w:t>
      </w:r>
      <w:r>
        <w:rPr>
          <w:rFonts w:hint="eastAsia"/>
          <w:color w:val="000000"/>
        </w:rPr>
        <w:t>80.8</w:t>
      </w:r>
      <w:r>
        <w:rPr>
          <w:rFonts w:hint="eastAsia"/>
          <w:color w:val="000000"/>
        </w:rPr>
        <w:t>施設を下回っています。施設数は平成</w:t>
      </w:r>
      <w:r>
        <w:rPr>
          <w:rFonts w:hint="eastAsia"/>
          <w:color w:val="000000"/>
        </w:rPr>
        <w:t>16</w:t>
      </w:r>
      <w:r>
        <w:rPr>
          <w:rFonts w:hint="eastAsia"/>
          <w:color w:val="000000"/>
        </w:rPr>
        <w:t>年をピークに減少傾向ですが、人口の減に伴い、人口</w:t>
      </w:r>
      <w:r>
        <w:rPr>
          <w:rFonts w:hint="eastAsia"/>
          <w:color w:val="000000"/>
        </w:rPr>
        <w:t>10</w:t>
      </w:r>
      <w:r>
        <w:rPr>
          <w:rFonts w:hint="eastAsia"/>
          <w:color w:val="000000"/>
        </w:rPr>
        <w:t>万人当たりの施設数は上昇傾向です。</w:t>
      </w:r>
    </w:p>
    <w:p>
      <w:pPr>
        <w:pStyle w:val="0"/>
        <w:ind w:firstLine="210" w:firstLineChars="100"/>
        <w:rPr>
          <w:rFonts w:hint="eastAsia"/>
          <w:color w:val="000000"/>
        </w:rPr>
      </w:pPr>
      <w:r>
        <w:rPr>
          <w:rFonts w:hint="eastAsia"/>
          <w:color w:val="000000"/>
        </w:rPr>
        <w:t>しかし、社会福祉施設の施設内に設けられた診療所や保健所など</w:t>
      </w:r>
      <w:r>
        <w:rPr>
          <w:rFonts w:hint="eastAsia"/>
          <w:color w:val="000000"/>
          <w:vertAlign w:val="superscript"/>
        </w:rPr>
        <w:t>※</w:t>
      </w:r>
      <w:r>
        <w:rPr>
          <w:rFonts w:hint="eastAsia"/>
          <w:color w:val="000000"/>
          <w:vertAlign w:val="superscript"/>
        </w:rPr>
        <w:t>1</w:t>
      </w:r>
      <w:r>
        <w:rPr>
          <w:rFonts w:hint="eastAsia"/>
          <w:color w:val="000000"/>
          <w:vertAlign w:val="baseline"/>
        </w:rPr>
        <w:t>（「以下特養等の診療所」）</w:t>
      </w:r>
      <w:r>
        <w:rPr>
          <w:rFonts w:hint="eastAsia"/>
          <w:color w:val="000000"/>
        </w:rPr>
        <w:t>を除く診療所は、人口の減少を上回るスピードで減少しています。</w:t>
      </w:r>
    </w:p>
    <w:p>
      <w:pPr>
        <w:pStyle w:val="0"/>
        <w:rPr>
          <w:rFonts w:hint="eastAsia"/>
        </w:rPr>
      </w:pPr>
      <w:r>
        <w:rPr>
          <w:rFonts w:hint="eastAsia"/>
        </w:rPr>
        <w:drawing>
          <wp:anchor simplePos="0" relativeHeight="5" behindDoc="0" locked="0" layoutInCell="1" hidden="0" allowOverlap="1">
            <wp:simplePos x="0" y="0"/>
            <wp:positionH relativeFrom="page">
              <wp:posOffset>843280</wp:posOffset>
            </wp:positionH>
            <wp:positionV relativeFrom="page">
              <wp:posOffset>3473450</wp:posOffset>
            </wp:positionV>
            <wp:extent cx="5586095" cy="1790700"/>
            <wp:effectExtent l="0" t="0" r="0" b="0"/>
            <wp:wrapNone/>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a:picLocks noChangeAspect="1"/>
                    </pic:cNvPicPr>
                  </pic:nvPicPr>
                  <pic:blipFill>
                    <a:blip r:embed="rId10"/>
                    <a:stretch>
                      <a:fillRect/>
                    </a:stretch>
                  </pic:blipFill>
                  <pic:spPr>
                    <a:xfrm>
                      <a:off x="0" y="0"/>
                      <a:ext cx="5586095" cy="1790700"/>
                    </a:xfrm>
                    <a:prstGeom prst="rect">
                      <a:avLst/>
                    </a:prstGeom>
                    <a:noFill/>
                    <a:ln/>
                  </pic:spPr>
                </pic:pic>
              </a:graphicData>
            </a:graphic>
          </wp:anchor>
        </w:drawing>
      </w: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r>
        <w:rPr>
          <w:rFonts w:hint="eastAsia"/>
        </w:rPr>
        <mc:AlternateContent>
          <mc:Choice Requires="wps">
            <w:drawing>
              <wp:anchor distT="0" distB="0" distL="71755" distR="71755" simplePos="0" relativeHeight="7" behindDoc="0" locked="0" layoutInCell="1" hidden="0" allowOverlap="1">
                <wp:simplePos x="0" y="0"/>
                <wp:positionH relativeFrom="column">
                  <wp:posOffset>3209925</wp:posOffset>
                </wp:positionH>
                <wp:positionV relativeFrom="paragraph">
                  <wp:posOffset>175260</wp:posOffset>
                </wp:positionV>
                <wp:extent cx="2319020" cy="214630"/>
                <wp:effectExtent l="0" t="0" r="635" b="635"/>
                <wp:wrapNone/>
                <wp:docPr id="1030" name="オブジェクト 0"/>
                <a:graphic xmlns:a="http://schemas.openxmlformats.org/drawingml/2006/main">
                  <a:graphicData uri="http://schemas.microsoft.com/office/word/2010/wordprocessingShape">
                    <wps:wsp>
                      <wps:cNvPr id="1030" name="オブジェクト 0"/>
                      <wps:cNvSpPr txBox="1">
                        <a:spLocks noChangeArrowheads="1"/>
                      </wps:cNvSpPr>
                      <wps:spPr>
                        <a:xfrm>
                          <a:off x="0" y="0"/>
                          <a:ext cx="2319020" cy="214630"/>
                        </a:xfrm>
                        <a:prstGeom prst="rect">
                          <a:avLst/>
                        </a:prstGeom>
                        <a:solidFill>
                          <a:srgbClr val="FFFFFF">
                            <a:alpha val="0"/>
                          </a:srgbClr>
                        </a:solidFill>
                        <a:ln cmpd="sng">
                          <a:miter/>
                        </a:ln>
                      </wps:spPr>
                      <wps:txbx>
                        <w:txbxContent>
                          <w:p>
                            <w:pPr>
                              <w:pStyle w:val="0"/>
                              <w:rPr>
                                <w:rFonts w:hint="eastAsia"/>
                              </w:rPr>
                            </w:pPr>
                            <w:r>
                              <w:rPr>
                                <w:rFonts w:hint="eastAsia"/>
                              </w:rPr>
                              <w:t>出典：医療施設調査（厚生労働省）</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3.8pt;mso-position-vertical-relative:text;mso-position-horizontal-relative:text;position:absolute;height:16.89pt;mso-wrap-distance-top:0pt;width:182.6pt;mso-wrap-distance-left:5.65pt;margin-left:252.75pt;z-index:7;" o:spid="_x0000_s1030" o:allowincell="t" o:allowoverlap="t" filled="t" fillcolor="#ffffff" stroked="f" o:spt="202" type="#_x0000_t202">
                <v:fill opacity="0f"/>
                <v:stroke linestyle="single"/>
                <v:textbox style="layout-flow:horizontal;" inset="2.0637499999999998mm,0.24694444444444438mm,2.0637499999999998mm,0.24694444444444438mm">
                  <w:txbxContent>
                    <w:p>
                      <w:pPr>
                        <w:pStyle w:val="0"/>
                        <w:rPr>
                          <w:rFonts w:hint="eastAsia"/>
                        </w:rPr>
                      </w:pPr>
                      <w:r>
                        <w:rPr>
                          <w:rFonts w:hint="eastAsia"/>
                        </w:rPr>
                        <w:t>出典：医療施設調査（厚生労働省）</w:t>
                      </w:r>
                    </w:p>
                  </w:txbxContent>
                </v:textbox>
                <v:imagedata o:title=""/>
                <w10:wrap type="none" anchorx="text" anchory="text"/>
              </v:shape>
            </w:pict>
          </mc:Fallback>
        </mc:AlternateContent>
      </w:r>
    </w:p>
    <w:p>
      <w:pPr>
        <w:pStyle w:val="0"/>
        <w:rPr>
          <w:rFonts w:hint="eastAsia"/>
        </w:rPr>
      </w:pPr>
      <w:r>
        <w:rPr>
          <w:rFonts w:hint="eastAsia"/>
        </w:rPr>
        <w:drawing>
          <wp:anchor simplePos="0" relativeHeight="6" behindDoc="0" locked="0" layoutInCell="1" hidden="0" allowOverlap="1">
            <wp:simplePos x="0" y="0"/>
            <wp:positionH relativeFrom="page">
              <wp:posOffset>914400</wp:posOffset>
            </wp:positionH>
            <wp:positionV relativeFrom="page">
              <wp:posOffset>5565775</wp:posOffset>
            </wp:positionV>
            <wp:extent cx="5591175" cy="1657985"/>
            <wp:effectExtent l="0" t="0" r="0" b="0"/>
            <wp:wrapNone/>
            <wp:docPr id="1031" name="オブジェクト 0"/>
            <a:graphic xmlns:a="http://schemas.openxmlformats.org/drawingml/2006/main">
              <a:graphicData uri="http://schemas.openxmlformats.org/drawingml/2006/picture">
                <pic:pic xmlns:pic="http://schemas.openxmlformats.org/drawingml/2006/picture">
                  <pic:nvPicPr>
                    <pic:cNvPr id="1031" name="オブジェクト 0"/>
                    <pic:cNvPicPr>
                      <a:picLocks noChangeAspect="1"/>
                    </pic:cNvPicPr>
                  </pic:nvPicPr>
                  <pic:blipFill>
                    <a:blip r:embed="rId11"/>
                    <a:stretch>
                      <a:fillRect/>
                    </a:stretch>
                  </pic:blipFill>
                  <pic:spPr>
                    <a:xfrm>
                      <a:off x="0" y="0"/>
                      <a:ext cx="5591175" cy="1657985"/>
                    </a:xfrm>
                    <a:prstGeom prst="rect">
                      <a:avLst/>
                    </a:prstGeom>
                    <a:noFill/>
                    <a:ln/>
                  </pic:spPr>
                </pic:pic>
              </a:graphicData>
            </a:graphic>
          </wp:anchor>
        </w:drawing>
      </w: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r>
        <w:rPr>
          <w:rFonts w:hint="eastAsia"/>
        </w:rPr>
        <mc:AlternateContent>
          <mc:Choice Requires="wps">
            <w:drawing>
              <wp:anchor distT="0" distB="0" distL="71755" distR="71755" simplePos="0" relativeHeight="8" behindDoc="0" locked="0" layoutInCell="1" hidden="0" allowOverlap="1">
                <wp:simplePos x="0" y="0"/>
                <wp:positionH relativeFrom="column">
                  <wp:posOffset>3324225</wp:posOffset>
                </wp:positionH>
                <wp:positionV relativeFrom="paragraph">
                  <wp:posOffset>120015</wp:posOffset>
                </wp:positionV>
                <wp:extent cx="2319020" cy="214630"/>
                <wp:effectExtent l="0" t="0" r="635" b="635"/>
                <wp:wrapNone/>
                <wp:docPr id="1032" name="オブジェクト 0"/>
                <a:graphic xmlns:a="http://schemas.openxmlformats.org/drawingml/2006/main">
                  <a:graphicData uri="http://schemas.microsoft.com/office/word/2010/wordprocessingShape">
                    <wps:wsp>
                      <wps:cNvPr id="1032" name="オブジェクト 0"/>
                      <wps:cNvSpPr txBox="1">
                        <a:spLocks noChangeArrowheads="1"/>
                      </wps:cNvSpPr>
                      <wps:spPr>
                        <a:xfrm>
                          <a:off x="0" y="0"/>
                          <a:ext cx="2319020" cy="214630"/>
                        </a:xfrm>
                        <a:prstGeom prst="rect">
                          <a:avLst/>
                        </a:prstGeom>
                        <a:solidFill>
                          <a:srgbClr val="FFFFFF">
                            <a:alpha val="0"/>
                          </a:srgbClr>
                        </a:solidFill>
                        <a:ln cmpd="sng">
                          <a:miter/>
                        </a:ln>
                      </wps:spPr>
                      <wps:txbx>
                        <w:txbxContent>
                          <w:p>
                            <w:pPr>
                              <w:pStyle w:val="0"/>
                              <w:rPr>
                                <w:rFonts w:hint="eastAsia"/>
                              </w:rPr>
                            </w:pPr>
                            <w:r>
                              <w:rPr>
                                <w:rFonts w:hint="eastAsia"/>
                              </w:rPr>
                              <w:t>出典：医療施設調査（厚生労働省）</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9.44pt;mso-position-vertical-relative:text;mso-position-horizontal-relative:text;position:absolute;height:16.89pt;mso-wrap-distance-top:0pt;width:182.6pt;mso-wrap-distance-left:5.65pt;margin-left:261.75pt;z-index:8;" o:spid="_x0000_s1032" o:allowincell="t" o:allowoverlap="t" filled="t" fillcolor="#ffffff" stroked="f" o:spt="202" type="#_x0000_t202">
                <v:fill opacity="0f"/>
                <v:stroke linestyle="single"/>
                <v:textbox style="layout-flow:horizontal;" inset="2.0637499999999998mm,0.24694444444444438mm,2.0637499999999998mm,0.24694444444444438mm">
                  <w:txbxContent>
                    <w:p>
                      <w:pPr>
                        <w:pStyle w:val="0"/>
                        <w:rPr>
                          <w:rFonts w:hint="eastAsia"/>
                        </w:rPr>
                      </w:pPr>
                      <w:r>
                        <w:rPr>
                          <w:rFonts w:hint="eastAsia"/>
                        </w:rPr>
                        <w:t>出典：医療施設調査（厚生労働省）</w:t>
                      </w:r>
                    </w:p>
                  </w:txbxContent>
                </v:textbox>
                <v:imagedata o:title=""/>
                <w10:wrap type="none" anchorx="text" anchory="text"/>
              </v:shape>
            </w:pict>
          </mc:Fallback>
        </mc:AlternateContent>
      </w:r>
    </w:p>
    <w:p>
      <w:pPr>
        <w:pStyle w:val="0"/>
        <w:rPr>
          <w:rFonts w:hint="eastAsia"/>
        </w:rPr>
      </w:pPr>
      <w:r>
        <w:rPr>
          <w:rFonts w:hint="eastAsia"/>
        </w:rPr>
        <w:drawing>
          <wp:anchor simplePos="0" relativeHeight="4" behindDoc="0" locked="0" layoutInCell="1" hidden="0" allowOverlap="1">
            <wp:simplePos x="0" y="0"/>
            <wp:positionH relativeFrom="page">
              <wp:posOffset>942975</wp:posOffset>
            </wp:positionH>
            <wp:positionV relativeFrom="page">
              <wp:posOffset>7471410</wp:posOffset>
            </wp:positionV>
            <wp:extent cx="5600700" cy="2010410"/>
            <wp:effectExtent l="0" t="0" r="0" b="0"/>
            <wp:wrapNone/>
            <wp:docPr id="1033" name="オブジェクト 0"/>
            <a:graphic xmlns:a="http://schemas.openxmlformats.org/drawingml/2006/main">
              <a:graphicData uri="http://schemas.openxmlformats.org/drawingml/2006/picture">
                <pic:pic xmlns:pic="http://schemas.openxmlformats.org/drawingml/2006/picture">
                  <pic:nvPicPr>
                    <pic:cNvPr id="1033" name="オブジェクト 0"/>
                    <pic:cNvPicPr>
                      <a:picLocks noChangeAspect="1"/>
                    </pic:cNvPicPr>
                  </pic:nvPicPr>
                  <pic:blipFill>
                    <a:blip r:embed="rId12"/>
                    <a:stretch>
                      <a:fillRect/>
                    </a:stretch>
                  </pic:blipFill>
                  <pic:spPr>
                    <a:xfrm>
                      <a:off x="0" y="0"/>
                      <a:ext cx="5600700" cy="2010410"/>
                    </a:xfrm>
                    <a:prstGeom prst="rect">
                      <a:avLst/>
                    </a:prstGeom>
                    <a:noFill/>
                    <a:ln/>
                  </pic:spPr>
                </pic:pic>
              </a:graphicData>
            </a:graphic>
          </wp:anchor>
        </w:drawing>
      </w: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r>
        <w:rPr>
          <w:rFonts w:hint="eastAsia"/>
        </w:rPr>
        <mc:AlternateContent>
          <mc:Choice Requires="wps">
            <w:drawing>
              <wp:anchor distT="0" distB="0" distL="71755" distR="71755" simplePos="0" relativeHeight="9" behindDoc="0" locked="0" layoutInCell="1" hidden="0" allowOverlap="1">
                <wp:simplePos x="0" y="0"/>
                <wp:positionH relativeFrom="column">
                  <wp:posOffset>3167380</wp:posOffset>
                </wp:positionH>
                <wp:positionV relativeFrom="paragraph">
                  <wp:posOffset>170180</wp:posOffset>
                </wp:positionV>
                <wp:extent cx="2319020" cy="214630"/>
                <wp:effectExtent l="0" t="0" r="635" b="635"/>
                <wp:wrapNone/>
                <wp:docPr id="1034" name="オブジェクト 0"/>
                <a:graphic xmlns:a="http://schemas.openxmlformats.org/drawingml/2006/main">
                  <a:graphicData uri="http://schemas.microsoft.com/office/word/2010/wordprocessingShape">
                    <wps:wsp>
                      <wps:cNvPr id="1034" name="オブジェクト 0"/>
                      <wps:cNvSpPr txBox="1">
                        <a:spLocks noChangeArrowheads="1"/>
                      </wps:cNvSpPr>
                      <wps:spPr>
                        <a:xfrm>
                          <a:off x="0" y="0"/>
                          <a:ext cx="2319020" cy="214630"/>
                        </a:xfrm>
                        <a:prstGeom prst="rect">
                          <a:avLst/>
                        </a:prstGeom>
                        <a:solidFill>
                          <a:srgbClr val="FFFFFF">
                            <a:alpha val="0"/>
                          </a:srgbClr>
                        </a:solidFill>
                        <a:ln cmpd="sng">
                          <a:miter/>
                        </a:ln>
                      </wps:spPr>
                      <wps:txbx>
                        <w:txbxContent>
                          <w:p>
                            <w:pPr>
                              <w:pStyle w:val="0"/>
                              <w:rPr>
                                <w:rFonts w:hint="eastAsia"/>
                              </w:rPr>
                            </w:pPr>
                            <w:r>
                              <w:rPr>
                                <w:rFonts w:hint="eastAsia"/>
                              </w:rPr>
                              <w:t>出典：医療施設調査（厚生労働省）</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3.4pt;mso-position-vertical-relative:text;mso-position-horizontal-relative:text;position:absolute;height:16.89pt;mso-wrap-distance-top:0pt;width:182.6pt;mso-wrap-distance-left:5.65pt;margin-left:249.4pt;z-index:9;" o:spid="_x0000_s1034" o:allowincell="t" o:allowoverlap="t" filled="t" fillcolor="#ffffff" stroked="f" o:spt="202" type="#_x0000_t202">
                <v:fill opacity="0f"/>
                <v:stroke linestyle="single"/>
                <v:textbox style="layout-flow:horizontal;" inset="2.0637499999999998mm,0.24694444444444438mm,2.0637499999999998mm,0.24694444444444438mm">
                  <w:txbxContent>
                    <w:p>
                      <w:pPr>
                        <w:pStyle w:val="0"/>
                        <w:rPr>
                          <w:rFonts w:hint="eastAsia"/>
                        </w:rPr>
                      </w:pPr>
                      <w:r>
                        <w:rPr>
                          <w:rFonts w:hint="eastAsia"/>
                        </w:rPr>
                        <w:t>出典：医療施設調査（厚生労働省）</w:t>
                      </w:r>
                    </w:p>
                  </w:txbxContent>
                </v:textbox>
                <v:imagedata o:title=""/>
                <w10:wrap type="none" anchorx="text" anchory="text"/>
              </v:shape>
            </w:pict>
          </mc:Fallback>
        </mc:AlternateContent>
      </w:r>
    </w:p>
    <w:p>
      <w:pPr>
        <w:pStyle w:val="0"/>
        <w:rPr>
          <w:rFonts w:hint="eastAsia"/>
        </w:rPr>
      </w:pPr>
    </w:p>
    <w:p>
      <w:pPr>
        <w:pStyle w:val="0"/>
        <w:rPr>
          <w:rFonts w:hint="eastAsia"/>
        </w:rPr>
      </w:pPr>
      <w:r>
        <w:rPr>
          <w:rFonts w:hint="eastAsia"/>
        </w:rPr>
        <w:drawing>
          <wp:anchor simplePos="0" relativeHeight="11" behindDoc="0" locked="0" layoutInCell="1" hidden="0" allowOverlap="1">
            <wp:simplePos x="0" y="0"/>
            <wp:positionH relativeFrom="page">
              <wp:posOffset>1000125</wp:posOffset>
            </wp:positionH>
            <wp:positionV relativeFrom="page">
              <wp:posOffset>916940</wp:posOffset>
            </wp:positionV>
            <wp:extent cx="5591175" cy="2286000"/>
            <wp:effectExtent l="0" t="0" r="0" b="0"/>
            <wp:wrapNone/>
            <wp:docPr id="1035" name="オブジェクト 0"/>
            <a:graphic xmlns:a="http://schemas.openxmlformats.org/drawingml/2006/main">
              <a:graphicData uri="http://schemas.openxmlformats.org/drawingml/2006/picture">
                <pic:pic xmlns:pic="http://schemas.openxmlformats.org/drawingml/2006/picture">
                  <pic:nvPicPr>
                    <pic:cNvPr id="1035" name="オブジェクト 0"/>
                    <pic:cNvPicPr>
                      <a:picLocks noChangeAspect="1"/>
                    </pic:cNvPicPr>
                  </pic:nvPicPr>
                  <pic:blipFill>
                    <a:blip r:embed="rId13"/>
                    <a:stretch>
                      <a:fillRect/>
                    </a:stretch>
                  </pic:blipFill>
                  <pic:spPr>
                    <a:xfrm>
                      <a:off x="0" y="0"/>
                      <a:ext cx="5591175" cy="2286000"/>
                    </a:xfrm>
                    <a:prstGeom prst="rect">
                      <a:avLst/>
                    </a:prstGeom>
                    <a:noFill/>
                    <a:ln/>
                  </pic:spPr>
                </pic:pic>
              </a:graphicData>
            </a:graphic>
          </wp:anchor>
        </w:drawing>
      </w: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r>
        <w:rPr>
          <w:rFonts w:hint="eastAsia"/>
        </w:rPr>
        <mc:AlternateContent>
          <mc:Choice Requires="wps">
            <w:drawing>
              <wp:anchor distT="0" distB="0" distL="71755" distR="71755" simplePos="0" relativeHeight="10" behindDoc="0" locked="0" layoutInCell="1" hidden="0" allowOverlap="1">
                <wp:simplePos x="0" y="0"/>
                <wp:positionH relativeFrom="column">
                  <wp:posOffset>3209925</wp:posOffset>
                </wp:positionH>
                <wp:positionV relativeFrom="paragraph">
                  <wp:posOffset>150495</wp:posOffset>
                </wp:positionV>
                <wp:extent cx="2319020" cy="214630"/>
                <wp:effectExtent l="0" t="0" r="635" b="635"/>
                <wp:wrapNone/>
                <wp:docPr id="1036" name="オブジェクト 0"/>
                <a:graphic xmlns:a="http://schemas.openxmlformats.org/drawingml/2006/main">
                  <a:graphicData uri="http://schemas.microsoft.com/office/word/2010/wordprocessingShape">
                    <wps:wsp>
                      <wps:cNvPr id="1036" name="オブジェクト 0"/>
                      <wps:cNvSpPr txBox="1">
                        <a:spLocks noChangeArrowheads="1"/>
                      </wps:cNvSpPr>
                      <wps:spPr>
                        <a:xfrm>
                          <a:off x="0" y="0"/>
                          <a:ext cx="2319020" cy="214630"/>
                        </a:xfrm>
                        <a:prstGeom prst="rect">
                          <a:avLst/>
                        </a:prstGeom>
                        <a:solidFill>
                          <a:srgbClr val="FFFFFF">
                            <a:alpha val="0"/>
                          </a:srgbClr>
                        </a:solidFill>
                        <a:ln cmpd="sng">
                          <a:miter/>
                        </a:ln>
                      </wps:spPr>
                      <wps:txbx>
                        <w:txbxContent>
                          <w:p>
                            <w:pPr>
                              <w:pStyle w:val="0"/>
                              <w:rPr>
                                <w:rFonts w:hint="eastAsia"/>
                              </w:rPr>
                            </w:pPr>
                            <w:r>
                              <w:rPr>
                                <w:rFonts w:hint="eastAsia"/>
                              </w:rPr>
                              <w:t>出典：医療施設調査（厚生労働省）</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1.85pt;mso-position-vertical-relative:text;mso-position-horizontal-relative:text;position:absolute;height:16.89pt;mso-wrap-distance-top:0pt;width:182.6pt;mso-wrap-distance-left:5.65pt;margin-left:252.75pt;z-index:10;" o:spid="_x0000_s1036" o:allowincell="t" o:allowoverlap="t" filled="t" fillcolor="#ffffff" stroked="f" o:spt="202" type="#_x0000_t202">
                <v:fill opacity="0f"/>
                <v:stroke linestyle="single"/>
                <v:textbox style="layout-flow:horizontal;" inset="2.0637499999999998mm,0.24694444444444438mm,2.0637499999999998mm,0.24694444444444438mm">
                  <w:txbxContent>
                    <w:p>
                      <w:pPr>
                        <w:pStyle w:val="0"/>
                        <w:rPr>
                          <w:rFonts w:hint="eastAsia"/>
                        </w:rPr>
                      </w:pPr>
                      <w:r>
                        <w:rPr>
                          <w:rFonts w:hint="eastAsia"/>
                        </w:rPr>
                        <w:t>出典：医療施設調査（厚生労働省）</w:t>
                      </w:r>
                    </w:p>
                  </w:txbxContent>
                </v:textbox>
                <v:imagedata o:title=""/>
                <w10:wrap type="none" anchorx="text" anchory="text"/>
              </v:shape>
            </w:pict>
          </mc:Fallback>
        </mc:AlternateContent>
      </w:r>
    </w:p>
    <w:p>
      <w:pPr>
        <w:pStyle w:val="0"/>
        <w:rPr>
          <w:rFonts w:hint="eastAsia"/>
        </w:rPr>
      </w:pPr>
      <w:r>
        <w:rPr>
          <w:rFonts w:hint="eastAsia"/>
        </w:rPr>
        <w:drawing>
          <wp:anchor simplePos="0" relativeHeight="41" behindDoc="0" locked="0" layoutInCell="1" hidden="0" allowOverlap="1">
            <wp:simplePos x="0" y="0"/>
            <wp:positionH relativeFrom="page">
              <wp:posOffset>914400</wp:posOffset>
            </wp:positionH>
            <wp:positionV relativeFrom="page">
              <wp:posOffset>3550285</wp:posOffset>
            </wp:positionV>
            <wp:extent cx="5762625" cy="1489075"/>
            <wp:effectExtent l="0" t="0" r="0" b="0"/>
            <wp:wrapNone/>
            <wp:docPr id="1037" name="オブジェクト 0"/>
            <a:graphic xmlns:a="http://schemas.openxmlformats.org/drawingml/2006/main">
              <a:graphicData uri="http://schemas.openxmlformats.org/drawingml/2006/chart">
                <c:chart xmlns:c="http://schemas.openxmlformats.org/drawingml/2006/chart" r:id="rId14"/>
              </a:graphicData>
            </a:graphic>
          </wp:anchor>
        </w:drawing>
      </w: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r>
        <w:rPr>
          <w:rFonts w:hint="eastAsia"/>
        </w:rPr>
        <mc:AlternateContent>
          <mc:Choice Requires="wps">
            <w:drawing>
              <wp:anchor distT="0" distB="0" distL="71755" distR="71755" simplePos="0" relativeHeight="42" behindDoc="0" locked="0" layoutInCell="1" hidden="0" allowOverlap="1">
                <wp:simplePos x="0" y="0"/>
                <wp:positionH relativeFrom="column">
                  <wp:posOffset>3388360</wp:posOffset>
                </wp:positionH>
                <wp:positionV relativeFrom="paragraph">
                  <wp:posOffset>214630</wp:posOffset>
                </wp:positionV>
                <wp:extent cx="2639695" cy="504190"/>
                <wp:effectExtent l="0" t="0" r="635" b="635"/>
                <wp:wrapNone/>
                <wp:docPr id="1038" name="オブジェクト 0"/>
                <a:graphic xmlns:a="http://schemas.openxmlformats.org/drawingml/2006/main">
                  <a:graphicData uri="http://schemas.microsoft.com/office/word/2010/wordprocessingShape">
                    <wps:wsp>
                      <wps:cNvPr id="1038" name="オブジェクト 0"/>
                      <wps:cNvSpPr txBox="1">
                        <a:spLocks noChangeArrowheads="1"/>
                      </wps:cNvSpPr>
                      <wps:spPr>
                        <a:xfrm>
                          <a:off x="0" y="0"/>
                          <a:ext cx="2639695" cy="504190"/>
                        </a:xfrm>
                        <a:prstGeom prst="rect">
                          <a:avLst/>
                        </a:prstGeom>
                        <a:solidFill>
                          <a:srgbClr val="FFFFFF">
                            <a:alpha val="0"/>
                          </a:srgbClr>
                        </a:solidFill>
                        <a:ln cmpd="sng">
                          <a:miter/>
                        </a:ln>
                      </wps:spPr>
                      <wps:txbx>
                        <w:txbxContent>
                          <w:p>
                            <w:pPr>
                              <w:pStyle w:val="0"/>
                              <w:rPr>
                                <w:rFonts w:hint="eastAsia"/>
                                <w:sz w:val="20"/>
                              </w:rPr>
                            </w:pPr>
                            <w:r>
                              <w:rPr>
                                <w:rFonts w:hint="eastAsia"/>
                                <w:sz w:val="20"/>
                              </w:rPr>
                              <w:t>出典：医療施設調査（厚生労働省）</w:t>
                            </w:r>
                          </w:p>
                          <w:p>
                            <w:pPr>
                              <w:pStyle w:val="0"/>
                              <w:ind w:firstLine="620" w:firstLineChars="300"/>
                              <w:rPr>
                                <w:rFonts w:hint="eastAsia"/>
                              </w:rPr>
                            </w:pPr>
                            <w:r>
                              <w:rPr>
                                <w:rFonts w:hint="eastAsia"/>
                                <w:sz w:val="20"/>
                              </w:rPr>
                              <w:t>県医療政策課調べ</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6.89pt;mso-position-vertical-relative:text;mso-position-horizontal-relative:text;position:absolute;height:39.700000000000003pt;mso-wrap-distance-top:0pt;width:207.85pt;mso-wrap-distance-left:5.65pt;margin-left:266.8pt;z-index:42;" o:spid="_x0000_s1038" o:allowincell="t" o:allowoverlap="t" filled="t" fillcolor="#ffffff" stroked="f" o:spt="202" type="#_x0000_t202">
                <v:fill opacity="0f"/>
                <v:stroke linestyle="single"/>
                <v:textbox style="layout-flow:horizontal;" inset="2.0637499999999998mm,0.24694444444444438mm,2.0637499999999998mm,0.24694444444444438mm">
                  <w:txbxContent>
                    <w:p>
                      <w:pPr>
                        <w:pStyle w:val="0"/>
                        <w:rPr>
                          <w:rFonts w:hint="eastAsia"/>
                          <w:sz w:val="20"/>
                        </w:rPr>
                      </w:pPr>
                      <w:r>
                        <w:rPr>
                          <w:rFonts w:hint="eastAsia"/>
                          <w:sz w:val="20"/>
                        </w:rPr>
                        <w:t>出典：医療施設調査（厚生労働省）</w:t>
                      </w:r>
                    </w:p>
                    <w:p>
                      <w:pPr>
                        <w:pStyle w:val="0"/>
                        <w:ind w:firstLine="620" w:firstLineChars="300"/>
                        <w:rPr>
                          <w:rFonts w:hint="eastAsia"/>
                        </w:rPr>
                      </w:pPr>
                      <w:r>
                        <w:rPr>
                          <w:rFonts w:hint="eastAsia"/>
                          <w:sz w:val="20"/>
                        </w:rPr>
                        <w:t>県医療政策課調べ</w:t>
                      </w:r>
                    </w:p>
                  </w:txbxContent>
                </v:textbox>
                <v:imagedata o:title=""/>
                <w10:wrap type="none" anchorx="text" anchory="text"/>
              </v:shape>
            </w:pict>
          </mc:Fallback>
        </mc:AlternateContent>
      </w:r>
    </w:p>
    <w:p>
      <w:pPr>
        <w:pStyle w:val="0"/>
        <w:rPr>
          <w:rFonts w:hint="eastAsia"/>
        </w:rPr>
      </w:pPr>
    </w:p>
    <w:p>
      <w:pPr>
        <w:pStyle w:val="0"/>
        <w:rPr>
          <w:rFonts w:hint="eastAsia"/>
        </w:rPr>
      </w:pPr>
    </w:p>
    <w:p>
      <w:pPr>
        <w:pStyle w:val="0"/>
        <w:rPr>
          <w:rFonts w:hint="eastAsia"/>
        </w:rPr>
      </w:pPr>
      <w:r>
        <w:rPr>
          <w:rFonts w:hint="eastAsia"/>
        </w:rPr>
        <w:t>※１　以下の診療所とする（カッコ内の数字は平成</w:t>
      </w:r>
      <w:r>
        <w:rPr>
          <w:rFonts w:hint="eastAsia"/>
        </w:rPr>
        <w:t>30</w:t>
      </w:r>
      <w:r>
        <w:rPr>
          <w:rFonts w:hint="eastAsia"/>
        </w:rPr>
        <w:t>年</w:t>
      </w:r>
      <w:r>
        <w:rPr>
          <w:rFonts w:hint="eastAsia"/>
        </w:rPr>
        <w:t>12</w:t>
      </w:r>
      <w:r>
        <w:rPr>
          <w:rFonts w:hint="eastAsia"/>
        </w:rPr>
        <w:t>月時点での診療所数）</w:t>
      </w:r>
    </w:p>
    <w:p>
      <w:pPr>
        <w:pStyle w:val="0"/>
        <w:ind w:firstLine="210" w:firstLineChars="100"/>
        <w:rPr>
          <w:rFonts w:hint="eastAsia"/>
        </w:rPr>
      </w:pPr>
      <w:r>
        <w:rPr>
          <w:rFonts w:hint="eastAsia"/>
        </w:rPr>
        <w:t>①船舶内に設けられた診療</w:t>
      </w:r>
    </w:p>
    <w:p>
      <w:pPr>
        <w:pStyle w:val="0"/>
        <w:ind w:firstLine="210" w:firstLineChars="100"/>
        <w:rPr>
          <w:rFonts w:hint="eastAsia"/>
        </w:rPr>
      </w:pPr>
      <w:r>
        <w:rPr>
          <w:rFonts w:hint="eastAsia"/>
        </w:rPr>
        <w:t>②車両内に設けられた診療所（１）</w:t>
      </w:r>
    </w:p>
    <w:p>
      <w:pPr>
        <w:pStyle w:val="0"/>
        <w:ind w:firstLine="210" w:firstLineChars="100"/>
        <w:rPr>
          <w:rFonts w:hint="eastAsia"/>
        </w:rPr>
      </w:pPr>
      <w:r>
        <w:rPr>
          <w:rFonts w:hint="eastAsia"/>
        </w:rPr>
        <w:t>③刑務所、少年院、鑑別所、裁判所内に設けられた診療所（１）</w:t>
      </w:r>
    </w:p>
    <w:p>
      <w:pPr>
        <w:pStyle w:val="0"/>
        <w:ind w:firstLine="210" w:firstLineChars="100"/>
        <w:rPr>
          <w:rFonts w:hint="eastAsia"/>
        </w:rPr>
      </w:pPr>
      <w:r>
        <w:rPr>
          <w:rFonts w:hint="eastAsia"/>
        </w:rPr>
        <w:t>④児童福祉施設、その他社会福祉施設内に設けられた診療所（８３）</w:t>
      </w:r>
    </w:p>
    <w:p>
      <w:pPr>
        <w:pStyle w:val="0"/>
        <w:ind w:firstLine="210" w:firstLineChars="100"/>
        <w:rPr>
          <w:rFonts w:hint="eastAsia"/>
        </w:rPr>
      </w:pPr>
      <w:r>
        <w:rPr>
          <w:rFonts w:hint="eastAsia"/>
        </w:rPr>
        <w:t>⑤自衛隊内に設けられた診療所、その他特定職域の従業員の診療を目的として事業所内</w:t>
      </w:r>
    </w:p>
    <w:p>
      <w:pPr>
        <w:pStyle w:val="0"/>
        <w:ind w:left="681" w:leftChars="201" w:hanging="225" w:hangingChars="99"/>
        <w:rPr>
          <w:rFonts w:hint="eastAsia"/>
        </w:rPr>
      </w:pPr>
      <w:r>
        <w:rPr>
          <w:rFonts w:hint="eastAsia"/>
        </w:rPr>
        <w:t>に設けられた診療所（１０）</w:t>
      </w:r>
    </w:p>
    <w:p>
      <w:pPr>
        <w:pStyle w:val="0"/>
        <w:ind w:firstLine="210" w:firstLineChars="100"/>
        <w:rPr>
          <w:rFonts w:hint="eastAsia"/>
        </w:rPr>
      </w:pPr>
      <w:r>
        <w:rPr>
          <w:rFonts w:hint="eastAsia"/>
        </w:rPr>
        <w:t>⑥保健所（地域保健法第７条第３号の規定に基づき開設された診療所）（７）</w:t>
      </w:r>
    </w:p>
    <w:p>
      <w:pPr>
        <w:pStyle w:val="0"/>
        <w:ind w:firstLine="210" w:firstLineChars="100"/>
        <w:rPr>
          <w:rFonts w:hint="eastAsia"/>
        </w:rPr>
      </w:pPr>
      <w:r>
        <w:rPr>
          <w:rFonts w:hint="eastAsia"/>
        </w:rPr>
        <w:t>⑦採血及びその関連業務を行う診療所、体育施設等を中心とする健康増進施設内に設け</w:t>
      </w:r>
    </w:p>
    <w:p>
      <w:pPr>
        <w:pStyle w:val="0"/>
        <w:ind w:left="1363" w:leftChars="202" w:hanging="905" w:hangingChars="399"/>
        <w:rPr>
          <w:rFonts w:hint="eastAsia"/>
        </w:rPr>
      </w:pPr>
      <w:r>
        <w:rPr>
          <w:rFonts w:hint="eastAsia"/>
        </w:rPr>
        <w:t>られた診療所（２）</w:t>
      </w:r>
    </w:p>
    <w:p>
      <w:pPr>
        <w:pStyle w:val="0"/>
        <w:ind w:firstLine="210" w:firstLineChars="100"/>
        <w:rPr>
          <w:rFonts w:hint="eastAsia"/>
        </w:rPr>
      </w:pPr>
      <w:r>
        <w:rPr>
          <w:rFonts w:hint="eastAsia"/>
        </w:rPr>
        <w:t>⑧地方公共団体の開設する診療所であって、診療日数が１か月に５日以内のもの（８）</w:t>
      </w:r>
    </w:p>
    <w:p>
      <w:pPr>
        <w:pStyle w:val="0"/>
        <w:ind w:firstLine="210" w:firstLineChars="100"/>
        <w:rPr>
          <w:rFonts w:hint="eastAsia"/>
        </w:rPr>
      </w:pPr>
      <w:r>
        <w:rPr>
          <w:rFonts w:hint="eastAsia"/>
        </w:rPr>
        <w:t>⑨休日又は夜間の診療のみを行う診療所（１）</w:t>
      </w:r>
    </w:p>
    <w:p>
      <w:pPr>
        <w:pStyle w:val="0"/>
        <w:ind w:firstLine="210" w:firstLineChars="100"/>
        <w:rPr>
          <w:rFonts w:hint="eastAsia"/>
        </w:rPr>
      </w:pPr>
      <w:r>
        <w:rPr>
          <w:rFonts w:hint="eastAsia"/>
        </w:rPr>
        <w:t>⑩コンタクトレンズ・めがねの販売を目的として検眼を行うため販売店内に併設された</w:t>
      </w:r>
    </w:p>
    <w:p>
      <w:pPr>
        <w:pStyle w:val="0"/>
        <w:ind w:left="456" w:leftChars="201" w:firstLineChars="0"/>
        <w:rPr>
          <w:rFonts w:hint="eastAsia"/>
        </w:rPr>
      </w:pPr>
      <w:r>
        <w:rPr>
          <w:rFonts w:hint="eastAsia"/>
        </w:rPr>
        <w:t>診療所</w:t>
      </w:r>
    </w:p>
    <w:p>
      <w:pPr>
        <w:pStyle w:val="0"/>
        <w:ind w:left="454" w:leftChars="100" w:hanging="227" w:hangingChars="100"/>
        <w:rPr>
          <w:rFonts w:hint="eastAsia"/>
        </w:rPr>
      </w:pPr>
      <w:r>
        <w:rPr>
          <w:rFonts w:hint="eastAsia"/>
        </w:rPr>
        <w:t>⑪疾病予防運動施設又は温泉療養運動施設内に設けられた診療所であって、当該施設の利用者のみを対象として診療を行うもの</w:t>
      </w:r>
    </w:p>
    <w:p>
      <w:pPr>
        <w:pStyle w:val="0"/>
        <w:ind w:firstLine="210" w:firstLineChars="100"/>
        <w:rPr>
          <w:rFonts w:hint="eastAsia"/>
        </w:rPr>
      </w:pPr>
      <w:r>
        <w:rPr>
          <w:rFonts w:hint="eastAsia"/>
        </w:rPr>
        <w:t>⑫その他（１）</w:t>
      </w:r>
    </w:p>
    <w:p>
      <w:pPr>
        <w:pStyle w:val="0"/>
        <w:ind w:firstLine="210" w:firstLineChars="100"/>
        <w:rPr>
          <w:rFonts w:hint="eastAsia"/>
        </w:rPr>
      </w:pPr>
      <w:r>
        <w:rPr>
          <w:rFonts w:hint="eastAsia"/>
        </w:rPr>
        <w:t>医療圏単位で見ると、高幡医療圏や幡多医療圏の診療所で減少をしていますが、特養等を除く診療所数で見ると安芸医療圏や</w:t>
      </w:r>
      <w:r>
        <w:rPr>
          <w:rFonts w:hint="eastAsia"/>
          <w:u w:val="none" w:color="auto"/>
        </w:rPr>
        <w:t>物部川サブ圏域、高知市サブ圏域等は人口の減少を上回るペース</w:t>
      </w:r>
      <w:r>
        <w:rPr>
          <w:rFonts w:hint="eastAsia"/>
        </w:rPr>
        <w:t>で減少しています。</w:t>
      </w:r>
    </w:p>
    <w:p>
      <w:pPr>
        <w:pStyle w:val="0"/>
        <w:ind w:firstLine="210" w:firstLineChars="100"/>
        <w:rPr>
          <w:rFonts w:hint="eastAsia"/>
        </w:rPr>
      </w:pPr>
      <w:r>
        <w:rPr>
          <w:rFonts w:hint="eastAsia"/>
        </w:rPr>
        <w:object w:dxaOrig="12315" w:dyaOrig="4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style="height:190.9pt;width:476.3pt;" o:allowoverlap="t" filled="f" o:spt="75" type="#_x0000_t75">
            <v:fill/>
            <v:stroke joinstyle="miter"/>
            <v:imagedata o:title="" r:id="rId15"/>
            <o:lock v:ext="edit" aspectratio="t"/>
            <w10:anchorlock/>
          </v:shape>
          <o:OLEObject Type="Embed" ProgID="Excel.Sheet.12" ShapeID="_x0000_s1039" DrawAspect="Content" ObjectID="" r:id="rId16"/>
        </w:object>
      </w:r>
      <w:r>
        <w:rPr>
          <w:rFonts w:hint="eastAsia"/>
        </w:rPr>
        <w:object w:dxaOrig="10455" w:dyaOrig="5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style="height:199.15pt;width:402.5pt;" o:allowoverlap="t" filled="f" o:spt="75" type="#_x0000_t75">
            <v:fill/>
            <v:stroke joinstyle="miter"/>
            <v:imagedata o:title="" r:id="rId17"/>
            <o:lock v:ext="edit" aspectratio="t"/>
            <w10:anchorlock/>
          </v:shape>
          <o:OLEObject Type="Embed" ProgID="Excel.Sheet.12" ShapeID="_x0000_s1040" DrawAspect="Content" ObjectID="" r:id="rId18"/>
        </w:object>
      </w:r>
    </w:p>
    <w:p>
      <w:pPr>
        <w:pStyle w:val="0"/>
        <w:overflowPunct w:val="1"/>
        <w:autoSpaceDE w:val="0"/>
        <w:autoSpaceDN w:val="0"/>
        <w:jc w:val="left"/>
        <w:textAlignment w:val="auto"/>
        <w:rPr>
          <w:rFonts w:hint="eastAsia"/>
          <w:color w:val="auto"/>
        </w:rPr>
      </w:pPr>
      <w:r>
        <w:rPr>
          <w:rFonts w:hint="eastAsia"/>
        </w:rPr>
        <w:object w:dxaOrig="13545" w:dyaOrig="5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style="height:177.15pt;width:467.8pt;" o:allowoverlap="t" filled="f" o:spt="75" type="#_x0000_t75">
            <v:fill/>
            <v:stroke joinstyle="miter"/>
            <v:imagedata o:title="" r:id="rId19"/>
            <o:lock v:ext="edit" aspectratio="t"/>
            <w10:anchorlock/>
          </v:shape>
          <o:OLEObject Type="Embed" ProgID="Excel.Sheet.12" ShapeID="_x0000_s1041" DrawAspect="Content" ObjectID="" r:id="rId20"/>
        </w:object>
      </w:r>
    </w:p>
    <w:p>
      <w:pPr>
        <w:pStyle w:val="0"/>
        <w:overflowPunct w:val="1"/>
        <w:autoSpaceDE w:val="0"/>
        <w:autoSpaceDN w:val="0"/>
        <w:jc w:val="left"/>
        <w:textAlignment w:val="auto"/>
        <w:rPr>
          <w:rFonts w:hint="eastAsia"/>
          <w:color w:val="auto"/>
        </w:rPr>
      </w:pPr>
    </w:p>
    <w:p>
      <w:pPr>
        <w:pStyle w:val="0"/>
        <w:rPr>
          <w:rFonts w:hint="eastAsia"/>
        </w:rPr>
      </w:pPr>
      <w:r>
        <w:rPr>
          <w:rFonts w:hint="eastAsia"/>
          <w:b w:val="1"/>
          <w:sz w:val="24"/>
        </w:rPr>
        <w:t>２　医師の状況</w:t>
      </w:r>
    </w:p>
    <w:p>
      <w:pPr>
        <w:pStyle w:val="0"/>
        <w:rPr>
          <w:rFonts w:hint="eastAsia"/>
          <w:u w:val="thick" w:color="auto"/>
        </w:rPr>
      </w:pPr>
      <w:r>
        <w:rPr>
          <w:rFonts w:hint="eastAsia"/>
        </w:rPr>
        <w:t>　病院に勤務する医師は緩やかに増加し、直近</w:t>
      </w:r>
      <w:r>
        <w:rPr>
          <w:rFonts w:hint="eastAsia"/>
        </w:rPr>
        <w:t>H30</w:t>
      </w:r>
      <w:r>
        <w:rPr>
          <w:rFonts w:hint="eastAsia"/>
        </w:rPr>
        <w:t>の医師・歯科医師・薬剤師調査における医師数は</w:t>
      </w:r>
      <w:r>
        <w:rPr>
          <w:rFonts w:hint="eastAsia"/>
        </w:rPr>
        <w:t>1,715</w:t>
      </w:r>
      <w:r>
        <w:rPr>
          <w:rFonts w:hint="eastAsia"/>
        </w:rPr>
        <w:t>人と</w:t>
      </w:r>
      <w:r>
        <w:rPr>
          <w:rFonts w:hint="eastAsia"/>
        </w:rPr>
        <w:t>10</w:t>
      </w:r>
      <w:r>
        <w:rPr>
          <w:rFonts w:hint="eastAsia"/>
        </w:rPr>
        <w:t>年前の</w:t>
      </w:r>
      <w:r>
        <w:rPr>
          <w:rFonts w:hint="eastAsia"/>
        </w:rPr>
        <w:t>1.1</w:t>
      </w:r>
      <w:r>
        <w:rPr>
          <w:rFonts w:hint="eastAsia"/>
        </w:rPr>
        <w:t>倍となっています。その中でこれまで</w:t>
      </w:r>
      <w:r>
        <w:rPr>
          <w:rFonts w:hint="eastAsia"/>
        </w:rPr>
        <w:t>40</w:t>
      </w:r>
      <w:r>
        <w:rPr>
          <w:rFonts w:hint="eastAsia"/>
        </w:rPr>
        <w:t>歳未満の若手医師は減少していましたが、</w:t>
      </w:r>
      <w:r>
        <w:rPr>
          <w:rFonts w:hint="eastAsia"/>
        </w:rPr>
        <w:t>H28</w:t>
      </w:r>
      <w:r>
        <w:rPr>
          <w:rFonts w:hint="eastAsia"/>
        </w:rPr>
        <w:t>からは増加に転じていますが、</w:t>
      </w:r>
      <w:r>
        <w:rPr>
          <w:rFonts w:hint="eastAsia"/>
          <w:u w:val="none" w:color="auto"/>
        </w:rPr>
        <w:t>研修医制度が始まる前の</w:t>
      </w:r>
      <w:r>
        <w:rPr>
          <w:rFonts w:hint="eastAsia"/>
          <w:u w:val="none" w:color="auto"/>
        </w:rPr>
        <w:t>H14</w:t>
      </w:r>
      <w:r>
        <w:rPr>
          <w:rFonts w:hint="eastAsia"/>
          <w:u w:val="none" w:color="auto"/>
        </w:rPr>
        <w:t>と比べると</w:t>
      </w:r>
      <w:r>
        <w:rPr>
          <w:rFonts w:hint="eastAsia"/>
          <w:u w:val="none" w:color="auto"/>
        </w:rPr>
        <w:t>8</w:t>
      </w:r>
      <w:r>
        <w:rPr>
          <w:rFonts w:hint="eastAsia"/>
          <w:u w:val="none" w:color="auto"/>
        </w:rPr>
        <w:t>割程度に留まっています。</w:t>
      </w:r>
    </w:p>
    <w:p>
      <w:pPr>
        <w:pStyle w:val="0"/>
        <w:rPr>
          <w:rFonts w:hint="eastAsia"/>
        </w:rPr>
      </w:pPr>
      <w:r>
        <w:rPr>
          <w:rFonts w:hint="eastAsia"/>
        </w:rPr>
        <w:drawing>
          <wp:anchor simplePos="0" relativeHeight="31" behindDoc="0" locked="0" layoutInCell="1" hidden="0" allowOverlap="1">
            <wp:simplePos x="0" y="0"/>
            <wp:positionH relativeFrom="page">
              <wp:posOffset>967105</wp:posOffset>
            </wp:positionH>
            <wp:positionV relativeFrom="page">
              <wp:posOffset>2204720</wp:posOffset>
            </wp:positionV>
            <wp:extent cx="5732780" cy="1609725"/>
            <wp:effectExtent l="0" t="0" r="0" b="0"/>
            <wp:wrapNone/>
            <wp:docPr id="1042" name="オブジェクト 0"/>
            <a:graphic xmlns:a="http://schemas.openxmlformats.org/drawingml/2006/main">
              <a:graphicData uri="http://schemas.openxmlformats.org/drawingml/2006/chart">
                <c:chart xmlns:c="http://schemas.openxmlformats.org/drawingml/2006/chart" r:id="rId21"/>
              </a:graphicData>
            </a:graphic>
          </wp:anchor>
        </w:drawing>
      </w: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r>
        <w:rPr>
          <w:rFonts w:hint="eastAsia"/>
        </w:rPr>
        <w:t>　</w:t>
      </w:r>
    </w:p>
    <w:p>
      <w:pPr>
        <w:pStyle w:val="0"/>
        <w:rPr>
          <w:rFonts w:hint="eastAsia"/>
        </w:rPr>
      </w:pPr>
      <w:r>
        <w:rPr>
          <w:rFonts w:hint="eastAsia"/>
        </w:rPr>
        <mc:AlternateContent>
          <mc:Choice Requires="wps">
            <w:drawing>
              <wp:anchor distT="0" distB="0" distL="71755" distR="71755" simplePos="0" relativeHeight="12" behindDoc="0" locked="0" layoutInCell="1" hidden="0" allowOverlap="1">
                <wp:simplePos x="0" y="0"/>
                <wp:positionH relativeFrom="column">
                  <wp:posOffset>2685415</wp:posOffset>
                </wp:positionH>
                <wp:positionV relativeFrom="paragraph">
                  <wp:posOffset>241300</wp:posOffset>
                </wp:positionV>
                <wp:extent cx="3114040" cy="266065"/>
                <wp:effectExtent l="0" t="0" r="635" b="635"/>
                <wp:wrapNone/>
                <wp:docPr id="1043" name="オブジェクト 0"/>
                <a:graphic xmlns:a="http://schemas.openxmlformats.org/drawingml/2006/main">
                  <a:graphicData uri="http://schemas.microsoft.com/office/word/2010/wordprocessingShape">
                    <wps:wsp>
                      <wps:cNvPr id="1043" name="オブジェクト 0"/>
                      <wps:cNvSpPr txBox="1"/>
                      <wps:spPr>
                        <a:xfrm>
                          <a:off x="0" y="0"/>
                          <a:ext cx="3114040" cy="266065"/>
                        </a:xfrm>
                        <a:prstGeom prst="rect">
                          <a:avLst/>
                        </a:prstGeom>
                        <a:solidFill>
                          <a:srgbClr val="FFFFFF">
                            <a:alpha val="0"/>
                          </a:srgbClr>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sz w:val="20"/>
                              </w:rPr>
                              <w:t>出典：医師、歯科医師、薬剤師調査（厚生労働省）</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9pt;mso-position-vertical-relative:text;mso-position-horizontal-relative:text;position:absolute;height:20.95pt;mso-wrap-distance-top:0pt;width:245.2pt;mso-wrap-distance-left:5.65pt;margin-left:211.45pt;z-index:12;" o:spid="_x0000_s1043" o:allowincell="t" o:allowoverlap="t" filled="t" fillcolor="#ffffff" stroked="f" strokeweight="0.5pt" o:spt="202" type="#_x0000_t202">
                <v:fill opacity="0f"/>
                <v:stroke linestyle="single"/>
                <v:textbox style="layout-flow:horizontal;" inset="2.0637499999999998mm,0.24694444444444438mm,2.0637499999999998mm,0.24694444444444438mm">
                  <w:txbxContent>
                    <w:p>
                      <w:pPr>
                        <w:pStyle w:val="0"/>
                        <w:rPr>
                          <w:rFonts w:hint="eastAsia"/>
                        </w:rPr>
                      </w:pPr>
                      <w:r>
                        <w:rPr>
                          <w:rFonts w:hint="eastAsia"/>
                          <w:sz w:val="20"/>
                        </w:rPr>
                        <w:t>出典：医師、歯科医師、薬剤師調査（厚生労働省）</w:t>
                      </w:r>
                    </w:p>
                  </w:txbxContent>
                </v:textbox>
                <v:imagedata o:title=""/>
                <w10:wrap type="none" anchorx="text" anchory="text"/>
              </v:shape>
            </w:pict>
          </mc:Fallback>
        </mc:AlternateContent>
      </w:r>
    </w:p>
    <w:p>
      <w:pPr>
        <w:pStyle w:val="0"/>
        <w:rPr>
          <w:rFonts w:hint="eastAsia"/>
        </w:rPr>
      </w:pPr>
    </w:p>
    <w:p>
      <w:pPr>
        <w:pStyle w:val="0"/>
        <w:rPr>
          <w:rFonts w:hint="eastAsia"/>
        </w:rPr>
      </w:pPr>
      <w:r>
        <w:rPr>
          <w:rFonts w:hint="eastAsia"/>
        </w:rPr>
        <w:drawing>
          <wp:anchor simplePos="0" relativeHeight="32" behindDoc="0" locked="0" layoutInCell="1" hidden="0" allowOverlap="1">
            <wp:simplePos x="0" y="0"/>
            <wp:positionH relativeFrom="page">
              <wp:posOffset>904875</wp:posOffset>
            </wp:positionH>
            <wp:positionV relativeFrom="page">
              <wp:posOffset>4236720</wp:posOffset>
            </wp:positionV>
            <wp:extent cx="5772150" cy="1754505"/>
            <wp:effectExtent l="0" t="0" r="0" b="0"/>
            <wp:wrapNone/>
            <wp:docPr id="1044" name="オブジェクト 0"/>
            <a:graphic xmlns:a="http://schemas.openxmlformats.org/drawingml/2006/main">
              <a:graphicData uri="http://schemas.openxmlformats.org/drawingml/2006/chart">
                <c:chart xmlns:c="http://schemas.openxmlformats.org/drawingml/2006/chart" r:id="rId22"/>
              </a:graphicData>
            </a:graphic>
          </wp:anchor>
        </w:drawing>
      </w: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r>
        <w:rPr>
          <w:rFonts w:hint="eastAsia"/>
        </w:rPr>
        <mc:AlternateContent>
          <mc:Choice Requires="wps">
            <w:drawing>
              <wp:anchor distT="0" distB="0" distL="71755" distR="71755" simplePos="0" relativeHeight="13" behindDoc="0" locked="0" layoutInCell="1" hidden="0" allowOverlap="1">
                <wp:simplePos x="0" y="0"/>
                <wp:positionH relativeFrom="column">
                  <wp:posOffset>2586990</wp:posOffset>
                </wp:positionH>
                <wp:positionV relativeFrom="paragraph">
                  <wp:posOffset>163195</wp:posOffset>
                </wp:positionV>
                <wp:extent cx="3114040" cy="266065"/>
                <wp:effectExtent l="0" t="0" r="635" b="635"/>
                <wp:wrapNone/>
                <wp:docPr id="1045" name="オブジェクト 0"/>
                <a:graphic xmlns:a="http://schemas.openxmlformats.org/drawingml/2006/main">
                  <a:graphicData uri="http://schemas.microsoft.com/office/word/2010/wordprocessingShape">
                    <wps:wsp>
                      <wps:cNvPr id="1045" name="オブジェクト 0"/>
                      <wps:cNvSpPr txBox="1"/>
                      <wps:spPr>
                        <a:xfrm>
                          <a:off x="0" y="0"/>
                          <a:ext cx="3114040" cy="266065"/>
                        </a:xfrm>
                        <a:prstGeom prst="rect">
                          <a:avLst/>
                        </a:prstGeom>
                        <a:solidFill>
                          <a:srgbClr val="FFFFFF">
                            <a:alpha val="0"/>
                          </a:srgbClr>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sz w:val="20"/>
                              </w:rPr>
                              <w:t>出典：医師、歯科医師、薬剤師調査（厚生労働省）</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2.85pt;mso-position-vertical-relative:text;mso-position-horizontal-relative:text;position:absolute;height:20.95pt;mso-wrap-distance-top:0pt;width:245.2pt;mso-wrap-distance-left:5.65pt;margin-left:203.7pt;z-index:13;" o:spid="_x0000_s1045" o:allowincell="t" o:allowoverlap="t" filled="t" fillcolor="#ffffff" stroked="f" strokeweight="0.5pt" o:spt="202" type="#_x0000_t202">
                <v:fill opacity="0f"/>
                <v:stroke linestyle="single"/>
                <v:textbox style="layout-flow:horizontal;" inset="2.0637499999999998mm,0.24694444444444438mm,2.0637499999999998mm,0.24694444444444438mm">
                  <w:txbxContent>
                    <w:p>
                      <w:pPr>
                        <w:pStyle w:val="0"/>
                        <w:rPr>
                          <w:rFonts w:hint="eastAsia"/>
                        </w:rPr>
                      </w:pPr>
                      <w:r>
                        <w:rPr>
                          <w:rFonts w:hint="eastAsia"/>
                          <w:sz w:val="20"/>
                        </w:rPr>
                        <w:t>出典：医師、歯科医師、薬剤師調査（厚生労働省）</w:t>
                      </w:r>
                    </w:p>
                  </w:txbxContent>
                </v:textbox>
                <v:imagedata o:title=""/>
                <w10:wrap type="none" anchorx="text" anchory="text"/>
              </v:shape>
            </w:pict>
          </mc:Fallback>
        </mc:AlternateContent>
      </w:r>
    </w:p>
    <w:p>
      <w:pPr>
        <w:pStyle w:val="0"/>
        <w:rPr>
          <w:rFonts w:hint="eastAsia"/>
        </w:rPr>
      </w:pPr>
    </w:p>
    <w:p>
      <w:pPr>
        <w:pStyle w:val="0"/>
        <w:rPr>
          <w:rFonts w:hint="eastAsia"/>
        </w:rPr>
      </w:pPr>
      <w:r>
        <w:rPr>
          <w:rFonts w:hint="eastAsia"/>
        </w:rPr>
        <w:drawing>
          <wp:anchor simplePos="0" relativeHeight="33" behindDoc="0" locked="0" layoutInCell="1" hidden="0" allowOverlap="1">
            <wp:simplePos x="0" y="0"/>
            <wp:positionH relativeFrom="page">
              <wp:posOffset>776605</wp:posOffset>
            </wp:positionH>
            <wp:positionV relativeFrom="page">
              <wp:posOffset>6366510</wp:posOffset>
            </wp:positionV>
            <wp:extent cx="5824855" cy="3361055"/>
            <wp:effectExtent l="0" t="0" r="0" b="0"/>
            <wp:wrapNone/>
            <wp:docPr id="1046" name="オブジェクト 0"/>
            <a:graphic xmlns:a="http://schemas.openxmlformats.org/drawingml/2006/main">
              <a:graphicData uri="http://schemas.openxmlformats.org/drawingml/2006/chart">
                <c:chart xmlns:c="http://schemas.openxmlformats.org/drawingml/2006/chart" r:id="rId23"/>
              </a:graphicData>
            </a:graphic>
          </wp:anchor>
        </w:drawing>
      </w: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r>
        <w:rPr>
          <w:rFonts w:hint="eastAsia"/>
        </w:rPr>
        <mc:AlternateContent>
          <mc:Choice Requires="wps">
            <w:drawing>
              <wp:anchor distT="0" distB="0" distL="71755" distR="71755" simplePos="0" relativeHeight="14" behindDoc="0" locked="0" layoutInCell="1" hidden="0" allowOverlap="1">
                <wp:simplePos x="0" y="0"/>
                <wp:positionH relativeFrom="column">
                  <wp:posOffset>2529205</wp:posOffset>
                </wp:positionH>
                <wp:positionV relativeFrom="paragraph">
                  <wp:posOffset>203835</wp:posOffset>
                </wp:positionV>
                <wp:extent cx="3114040" cy="266065"/>
                <wp:effectExtent l="0" t="0" r="635" b="635"/>
                <wp:wrapNone/>
                <wp:docPr id="1047" name="オブジェクト 0"/>
                <a:graphic xmlns:a="http://schemas.openxmlformats.org/drawingml/2006/main">
                  <a:graphicData uri="http://schemas.microsoft.com/office/word/2010/wordprocessingShape">
                    <wps:wsp>
                      <wps:cNvPr id="1047" name="オブジェクト 0"/>
                      <wps:cNvSpPr txBox="1"/>
                      <wps:spPr>
                        <a:xfrm>
                          <a:off x="0" y="0"/>
                          <a:ext cx="3114040" cy="266065"/>
                        </a:xfrm>
                        <a:prstGeom prst="rect">
                          <a:avLst/>
                        </a:prstGeom>
                        <a:solidFill>
                          <a:srgbClr val="FFFFFF">
                            <a:alpha val="0"/>
                          </a:srgbClr>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sz w:val="20"/>
                              </w:rPr>
                              <w:t>出典：医師、歯科医師、薬剤師調査（厚生労働省）</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6.05pt;mso-position-vertical-relative:text;mso-position-horizontal-relative:text;position:absolute;height:20.95pt;mso-wrap-distance-top:0pt;width:245.2pt;mso-wrap-distance-left:5.65pt;margin-left:199.15pt;z-index:14;" o:spid="_x0000_s1047" o:allowincell="t" o:allowoverlap="t" filled="t" fillcolor="#ffffff" stroked="f" strokeweight="0.5pt" o:spt="202" type="#_x0000_t202">
                <v:fill opacity="0f"/>
                <v:stroke linestyle="single"/>
                <v:textbox style="layout-flow:horizontal;" inset="2.0637499999999998mm,0.24694444444444438mm,2.0637499999999998mm,0.24694444444444438mm">
                  <w:txbxContent>
                    <w:p>
                      <w:pPr>
                        <w:pStyle w:val="0"/>
                        <w:rPr>
                          <w:rFonts w:hint="eastAsia"/>
                        </w:rPr>
                      </w:pPr>
                      <w:r>
                        <w:rPr>
                          <w:rFonts w:hint="eastAsia"/>
                          <w:sz w:val="20"/>
                        </w:rPr>
                        <w:t>出典：医師、歯科医師、薬剤師調査（厚生労働省）</w:t>
                      </w:r>
                    </w:p>
                  </w:txbxContent>
                </v:textbox>
                <v:imagedata o:title=""/>
                <w10:wrap type="none" anchorx="text" anchory="text"/>
              </v:shape>
            </w:pict>
          </mc:Fallback>
        </mc:AlternateContent>
      </w:r>
    </w:p>
    <w:p>
      <w:pPr>
        <w:pStyle w:val="0"/>
        <w:ind w:firstLine="210" w:firstLineChars="100"/>
        <w:rPr>
          <w:rFonts w:hint="eastAsia"/>
        </w:rPr>
      </w:pPr>
      <w:r>
        <w:rPr>
          <w:rFonts w:hint="eastAsia"/>
        </w:rPr>
        <w:t>一方、一般診療所に勤務する医師は、これまで</w:t>
      </w:r>
      <w:r>
        <w:rPr>
          <w:rFonts w:hint="eastAsia"/>
        </w:rPr>
        <w:t>560</w:t>
      </w:r>
      <w:r>
        <w:rPr>
          <w:rFonts w:hint="eastAsia"/>
        </w:rPr>
        <w:t>～</w:t>
      </w:r>
      <w:r>
        <w:rPr>
          <w:rFonts w:hint="eastAsia"/>
        </w:rPr>
        <w:t>570</w:t>
      </w:r>
      <w:r>
        <w:rPr>
          <w:rFonts w:hint="eastAsia"/>
        </w:rPr>
        <w:t>人程度で推移してきましたが、近年は減少傾向です。また、その中でも</w:t>
      </w:r>
      <w:r>
        <w:rPr>
          <w:rFonts w:hint="eastAsia"/>
          <w:u w:val="none" w:color="auto"/>
        </w:rPr>
        <w:t>30</w:t>
      </w:r>
      <w:r>
        <w:rPr>
          <w:rFonts w:hint="eastAsia"/>
          <w:u w:val="none" w:color="auto"/>
        </w:rPr>
        <w:t>歳代から</w:t>
      </w:r>
      <w:r>
        <w:rPr>
          <w:rFonts w:hint="eastAsia"/>
          <w:u w:val="none" w:color="auto"/>
        </w:rPr>
        <w:t>50</w:t>
      </w:r>
      <w:r>
        <w:rPr>
          <w:rFonts w:hint="eastAsia"/>
          <w:u w:val="none" w:color="auto"/>
        </w:rPr>
        <w:t>歳代の医師は</w:t>
      </w:r>
      <w:r>
        <w:rPr>
          <w:rFonts w:hint="eastAsia"/>
          <w:u w:val="none" w:color="auto"/>
        </w:rPr>
        <w:t>H20</w:t>
      </w:r>
      <w:r>
        <w:rPr>
          <w:rFonts w:hint="eastAsia"/>
          <w:u w:val="none" w:color="auto"/>
        </w:rPr>
        <w:t>には</w:t>
      </w:r>
      <w:r>
        <w:rPr>
          <w:rFonts w:hint="eastAsia"/>
          <w:u w:val="none" w:color="auto"/>
        </w:rPr>
        <w:t>163</w:t>
      </w:r>
      <w:r>
        <w:rPr>
          <w:rFonts w:hint="eastAsia"/>
          <w:u w:val="none" w:color="auto"/>
        </w:rPr>
        <w:t>人であったものが</w:t>
      </w:r>
      <w:r>
        <w:rPr>
          <w:rFonts w:hint="eastAsia"/>
          <w:u w:val="none" w:color="auto"/>
        </w:rPr>
        <w:t>H30</w:t>
      </w:r>
      <w:r>
        <w:rPr>
          <w:rFonts w:hint="eastAsia"/>
          <w:u w:val="none" w:color="auto"/>
        </w:rPr>
        <w:t>には</w:t>
      </w:r>
      <w:r>
        <w:rPr>
          <w:rFonts w:hint="eastAsia"/>
          <w:u w:val="none" w:color="auto"/>
        </w:rPr>
        <w:t>93</w:t>
      </w:r>
      <w:r>
        <w:rPr>
          <w:rFonts w:hint="eastAsia"/>
          <w:u w:val="none" w:color="auto"/>
        </w:rPr>
        <w:t>人となり、平均年齢も</w:t>
      </w:r>
      <w:r>
        <w:rPr>
          <w:rFonts w:hint="eastAsia"/>
          <w:u w:val="none" w:color="auto"/>
        </w:rPr>
        <w:t>4.3</w:t>
      </w:r>
      <w:r>
        <w:rPr>
          <w:rFonts w:hint="eastAsia"/>
          <w:u w:val="none" w:color="auto"/>
        </w:rPr>
        <w:t>歳上昇し</w:t>
      </w:r>
      <w:r>
        <w:rPr>
          <w:rFonts w:hint="eastAsia"/>
        </w:rPr>
        <w:t>ています。</w:t>
      </w:r>
    </w:p>
    <w:p>
      <w:pPr>
        <w:pStyle w:val="0"/>
        <w:rPr>
          <w:rFonts w:hint="eastAsia"/>
        </w:rPr>
      </w:pPr>
      <w:r>
        <w:rPr>
          <w:rFonts w:hint="eastAsia"/>
        </w:rPr>
        <w:drawing>
          <wp:anchor simplePos="0" relativeHeight="34" behindDoc="0" locked="0" layoutInCell="1" hidden="0" allowOverlap="1">
            <wp:simplePos x="0" y="0"/>
            <wp:positionH relativeFrom="page">
              <wp:posOffset>926465</wp:posOffset>
            </wp:positionH>
            <wp:positionV relativeFrom="page">
              <wp:posOffset>1679575</wp:posOffset>
            </wp:positionV>
            <wp:extent cx="5812790" cy="1771650"/>
            <wp:effectExtent l="0" t="0" r="0" b="0"/>
            <wp:wrapNone/>
            <wp:docPr id="1048" name="オブジェクト 0"/>
            <a:graphic xmlns:a="http://schemas.openxmlformats.org/drawingml/2006/main">
              <a:graphicData uri="http://schemas.openxmlformats.org/drawingml/2006/chart">
                <c:chart xmlns:c="http://schemas.openxmlformats.org/drawingml/2006/chart" r:id="rId24"/>
              </a:graphicData>
            </a:graphic>
          </wp:anchor>
        </w:drawing>
      </w: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r>
        <w:rPr>
          <w:rFonts w:hint="eastAsia"/>
        </w:rPr>
        <mc:AlternateContent>
          <mc:Choice Requires="wps">
            <w:drawing>
              <wp:anchor distT="0" distB="0" distL="71755" distR="71755" simplePos="0" relativeHeight="15" behindDoc="0" locked="0" layoutInCell="1" hidden="0" allowOverlap="1">
                <wp:simplePos x="0" y="0"/>
                <wp:positionH relativeFrom="column">
                  <wp:posOffset>2685415</wp:posOffset>
                </wp:positionH>
                <wp:positionV relativeFrom="paragraph">
                  <wp:posOffset>158115</wp:posOffset>
                </wp:positionV>
                <wp:extent cx="3114040" cy="266065"/>
                <wp:effectExtent l="0" t="0" r="635" b="635"/>
                <wp:wrapNone/>
                <wp:docPr id="1049" name="オブジェクト 0"/>
                <a:graphic xmlns:a="http://schemas.openxmlformats.org/drawingml/2006/main">
                  <a:graphicData uri="http://schemas.microsoft.com/office/word/2010/wordprocessingShape">
                    <wps:wsp>
                      <wps:cNvPr id="1049" name="オブジェクト 0"/>
                      <wps:cNvSpPr txBox="1"/>
                      <wps:spPr>
                        <a:xfrm>
                          <a:off x="0" y="0"/>
                          <a:ext cx="3114040" cy="266065"/>
                        </a:xfrm>
                        <a:prstGeom prst="rect">
                          <a:avLst/>
                        </a:prstGeom>
                        <a:solidFill>
                          <a:srgbClr val="FFFFFF">
                            <a:alpha val="0"/>
                          </a:srgbClr>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sz w:val="20"/>
                              </w:rPr>
                              <w:t>出典：医師、歯科医師、薬剤師調査（厚生労働省）</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2.45pt;mso-position-vertical-relative:text;mso-position-horizontal-relative:text;position:absolute;height:20.95pt;mso-wrap-distance-top:0pt;width:245.2pt;mso-wrap-distance-left:5.65pt;margin-left:211.45pt;z-index:15;" o:spid="_x0000_s1049" o:allowincell="t" o:allowoverlap="t" filled="t" fillcolor="#ffffff" stroked="f" strokeweight="0.5pt" o:spt="202" type="#_x0000_t202">
                <v:fill opacity="0f"/>
                <v:stroke linestyle="single"/>
                <v:textbox style="layout-flow:horizontal;" inset="2.0637499999999998mm,0.24694444444444438mm,2.0637499999999998mm,0.24694444444444438mm">
                  <w:txbxContent>
                    <w:p>
                      <w:pPr>
                        <w:pStyle w:val="0"/>
                        <w:rPr>
                          <w:rFonts w:hint="eastAsia"/>
                        </w:rPr>
                      </w:pPr>
                      <w:r>
                        <w:rPr>
                          <w:rFonts w:hint="eastAsia"/>
                          <w:sz w:val="20"/>
                        </w:rPr>
                        <w:t>出典：医師、歯科医師、薬剤師調査（厚生労働省）</w:t>
                      </w:r>
                    </w:p>
                  </w:txbxContent>
                </v:textbox>
                <v:imagedata o:title=""/>
                <w10:wrap type="none" anchorx="text" anchory="text"/>
              </v:shape>
            </w:pict>
          </mc:Fallback>
        </mc:AlternateContent>
      </w:r>
    </w:p>
    <w:p>
      <w:pPr>
        <w:pStyle w:val="0"/>
        <w:rPr>
          <w:rFonts w:hint="eastAsia"/>
        </w:rPr>
      </w:pPr>
    </w:p>
    <w:p>
      <w:pPr>
        <w:pStyle w:val="0"/>
        <w:rPr>
          <w:rFonts w:hint="eastAsia"/>
        </w:rPr>
      </w:pPr>
      <w:r>
        <w:rPr>
          <w:rFonts w:hint="eastAsia"/>
        </w:rPr>
        <w:drawing>
          <wp:anchor simplePos="0" relativeHeight="35" behindDoc="0" locked="0" layoutInCell="1" hidden="0" allowOverlap="1">
            <wp:simplePos x="0" y="0"/>
            <wp:positionH relativeFrom="page">
              <wp:posOffset>900430</wp:posOffset>
            </wp:positionH>
            <wp:positionV relativeFrom="page">
              <wp:posOffset>3899535</wp:posOffset>
            </wp:positionV>
            <wp:extent cx="5810885" cy="1256030"/>
            <wp:effectExtent l="0" t="0" r="0" b="0"/>
            <wp:wrapNone/>
            <wp:docPr id="1050" name="オブジェクト 0"/>
            <a:graphic xmlns:a="http://schemas.openxmlformats.org/drawingml/2006/main">
              <a:graphicData uri="http://schemas.openxmlformats.org/drawingml/2006/chart">
                <c:chart xmlns:c="http://schemas.openxmlformats.org/drawingml/2006/chart" r:id="rId25"/>
              </a:graphicData>
            </a:graphic>
          </wp:anchor>
        </w:drawing>
      </w: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r>
        <w:rPr>
          <w:rFonts w:hint="eastAsia"/>
        </w:rPr>
        <mc:AlternateContent>
          <mc:Choice Requires="wps">
            <w:drawing>
              <wp:anchor distT="0" distB="0" distL="71755" distR="71755" simplePos="0" relativeHeight="16" behindDoc="0" locked="0" layoutInCell="1" hidden="0" allowOverlap="1">
                <wp:simplePos x="0" y="0"/>
                <wp:positionH relativeFrom="column">
                  <wp:posOffset>2724785</wp:posOffset>
                </wp:positionH>
                <wp:positionV relativeFrom="paragraph">
                  <wp:posOffset>123825</wp:posOffset>
                </wp:positionV>
                <wp:extent cx="3114040" cy="266065"/>
                <wp:effectExtent l="0" t="0" r="635" b="635"/>
                <wp:wrapNone/>
                <wp:docPr id="1051" name="オブジェクト 0"/>
                <a:graphic xmlns:a="http://schemas.openxmlformats.org/drawingml/2006/main">
                  <a:graphicData uri="http://schemas.microsoft.com/office/word/2010/wordprocessingShape">
                    <wps:wsp>
                      <wps:cNvPr id="1051" name="オブジェクト 0"/>
                      <wps:cNvSpPr txBox="1"/>
                      <wps:spPr>
                        <a:xfrm>
                          <a:off x="0" y="0"/>
                          <a:ext cx="3114040" cy="266065"/>
                        </a:xfrm>
                        <a:prstGeom prst="rect">
                          <a:avLst/>
                        </a:prstGeom>
                        <a:solidFill>
                          <a:srgbClr val="FFFFFF">
                            <a:alpha val="0"/>
                          </a:srgbClr>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sz w:val="20"/>
                              </w:rPr>
                              <w:t>出典：医師、歯科医師、薬剤師調査（厚生労働省）</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9.75pt;mso-position-vertical-relative:text;mso-position-horizontal-relative:text;position:absolute;height:20.95pt;mso-wrap-distance-top:0pt;width:245.2pt;mso-wrap-distance-left:5.65pt;margin-left:214.55pt;z-index:16;" o:spid="_x0000_s1051" o:allowincell="t" o:allowoverlap="t" filled="t" fillcolor="#ffffff" stroked="f" strokeweight="0.5pt" o:spt="202" type="#_x0000_t202">
                <v:fill opacity="0f"/>
                <v:stroke linestyle="single"/>
                <v:textbox style="layout-flow:horizontal;" inset="2.0637499999999998mm,0.24694444444444438mm,2.0637499999999998mm,0.24694444444444438mm">
                  <w:txbxContent>
                    <w:p>
                      <w:pPr>
                        <w:pStyle w:val="0"/>
                        <w:rPr>
                          <w:rFonts w:hint="eastAsia"/>
                        </w:rPr>
                      </w:pPr>
                      <w:r>
                        <w:rPr>
                          <w:rFonts w:hint="eastAsia"/>
                          <w:sz w:val="20"/>
                        </w:rPr>
                        <w:t>出典：医師、歯科医師、薬剤師調査（厚生労働省）</w:t>
                      </w:r>
                    </w:p>
                  </w:txbxContent>
                </v:textbox>
                <v:imagedata o:title=""/>
                <w10:wrap type="none" anchorx="text" anchory="text"/>
              </v:shape>
            </w:pict>
          </mc:Fallback>
        </mc:AlternateContent>
      </w:r>
    </w:p>
    <w:p>
      <w:pPr>
        <w:pStyle w:val="0"/>
        <w:rPr>
          <w:rFonts w:hint="eastAsia"/>
        </w:rPr>
      </w:pPr>
      <w:r>
        <w:rPr>
          <w:rFonts w:hint="eastAsia"/>
        </w:rPr>
        <w:drawing>
          <wp:anchor simplePos="0" relativeHeight="36" behindDoc="0" locked="0" layoutInCell="1" hidden="0" allowOverlap="1">
            <wp:simplePos x="0" y="0"/>
            <wp:positionH relativeFrom="page">
              <wp:posOffset>914400</wp:posOffset>
            </wp:positionH>
            <wp:positionV relativeFrom="page">
              <wp:posOffset>5565775</wp:posOffset>
            </wp:positionV>
            <wp:extent cx="6126480" cy="3654425"/>
            <wp:effectExtent l="0" t="0" r="0" b="0"/>
            <wp:wrapNone/>
            <wp:docPr id="1052" name="オブジェクト 0"/>
            <a:graphic xmlns:a="http://schemas.openxmlformats.org/drawingml/2006/main">
              <a:graphicData uri="http://schemas.openxmlformats.org/drawingml/2006/chart">
                <c:chart xmlns:c="http://schemas.openxmlformats.org/drawingml/2006/chart" r:id="rId26"/>
              </a:graphicData>
            </a:graphic>
          </wp:anchor>
        </w:drawing>
      </w: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r>
        <w:rPr>
          <w:rFonts w:hint="eastAsia"/>
        </w:rPr>
        <mc:AlternateContent>
          <mc:Choice Requires="wps">
            <w:drawing>
              <wp:anchor distT="0" distB="0" distL="71755" distR="71755" simplePos="0" relativeHeight="17" behindDoc="0" locked="0" layoutInCell="1" hidden="0" allowOverlap="1">
                <wp:simplePos x="0" y="0"/>
                <wp:positionH relativeFrom="column">
                  <wp:posOffset>2658110</wp:posOffset>
                </wp:positionH>
                <wp:positionV relativeFrom="paragraph">
                  <wp:posOffset>38100</wp:posOffset>
                </wp:positionV>
                <wp:extent cx="3114040" cy="266065"/>
                <wp:effectExtent l="0" t="0" r="635" b="635"/>
                <wp:wrapNone/>
                <wp:docPr id="1053" name="オブジェクト 0"/>
                <a:graphic xmlns:a="http://schemas.openxmlformats.org/drawingml/2006/main">
                  <a:graphicData uri="http://schemas.microsoft.com/office/word/2010/wordprocessingShape">
                    <wps:wsp>
                      <wps:cNvPr id="1053" name="オブジェクト 0"/>
                      <wps:cNvSpPr txBox="1"/>
                      <wps:spPr>
                        <a:xfrm>
                          <a:off x="0" y="0"/>
                          <a:ext cx="3114040" cy="266065"/>
                        </a:xfrm>
                        <a:prstGeom prst="rect">
                          <a:avLst/>
                        </a:prstGeom>
                        <a:solidFill>
                          <a:srgbClr val="FFFFFF">
                            <a:alpha val="0"/>
                          </a:srgbClr>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sz w:val="20"/>
                              </w:rPr>
                              <w:t>出典：医師、歯科医師、薬剤師調査（厚生労働省）</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3pt;mso-position-vertical-relative:text;mso-position-horizontal-relative:text;position:absolute;height:20.95pt;mso-wrap-distance-top:0pt;width:245.2pt;mso-wrap-distance-left:5.65pt;margin-left:209.3pt;z-index:17;" o:spid="_x0000_s1053" o:allowincell="t" o:allowoverlap="t" filled="t" fillcolor="#ffffff" stroked="f" strokeweight="0.5pt" o:spt="202" type="#_x0000_t202">
                <v:fill opacity="0f"/>
                <v:stroke linestyle="single"/>
                <v:textbox style="layout-flow:horizontal;" inset="2.0637499999999998mm,0.24694444444444438mm,2.0637499999999998mm,0.24694444444444438mm">
                  <w:txbxContent>
                    <w:p>
                      <w:pPr>
                        <w:pStyle w:val="0"/>
                        <w:rPr>
                          <w:rFonts w:hint="eastAsia"/>
                        </w:rPr>
                      </w:pPr>
                      <w:r>
                        <w:rPr>
                          <w:rFonts w:hint="eastAsia"/>
                          <w:sz w:val="20"/>
                        </w:rPr>
                        <w:t>出典：医師、歯科医師、薬剤師調査（厚生労働省）</w:t>
                      </w:r>
                    </w:p>
                  </w:txbxContent>
                </v:textbox>
                <v:imagedata o:title=""/>
                <w10:wrap type="none" anchorx="text" anchory="text"/>
              </v:shape>
            </w:pict>
          </mc:Fallback>
        </mc:AlternateContent>
      </w:r>
    </w:p>
    <w:p>
      <w:pPr>
        <w:pStyle w:val="0"/>
        <w:rPr>
          <w:rFonts w:hint="eastAsia"/>
        </w:rPr>
      </w:pPr>
    </w:p>
    <w:p>
      <w:pPr>
        <w:pStyle w:val="0"/>
        <w:ind w:firstLine="210" w:firstLineChars="100"/>
        <w:rPr>
          <w:rFonts w:hint="eastAsia"/>
        </w:rPr>
      </w:pPr>
      <w:r>
        <w:rPr>
          <w:rFonts w:hint="eastAsia"/>
        </w:rPr>
        <w:t>医療圏で見ると、いずれの圏域でも</w:t>
      </w:r>
      <w:r>
        <w:rPr>
          <w:rFonts w:hint="eastAsia"/>
        </w:rPr>
        <w:t>65</w:t>
      </w:r>
      <w:r>
        <w:rPr>
          <w:rFonts w:hint="eastAsia"/>
        </w:rPr>
        <w:t>歳以上の医師が占める割合が</w:t>
      </w:r>
      <w:r>
        <w:rPr>
          <w:rFonts w:hint="eastAsia"/>
        </w:rPr>
        <w:t>1/3</w:t>
      </w:r>
      <w:r>
        <w:rPr>
          <w:rFonts w:hint="eastAsia"/>
        </w:rPr>
        <w:t>を超えるなど、医師数の減とともに高齢化も進んでいます。</w:t>
      </w:r>
    </w:p>
    <w:p>
      <w:pPr>
        <w:pStyle w:val="0"/>
        <w:ind w:leftChars="0" w:firstLine="0" w:firstLineChars="0"/>
        <w:rPr>
          <w:rFonts w:hint="eastAsia"/>
        </w:rPr>
      </w:pPr>
    </w:p>
    <w:p>
      <w:pPr>
        <w:pStyle w:val="0"/>
        <w:ind w:leftChars="0" w:firstLine="0" w:firstLineChars="0"/>
        <w:rPr>
          <w:rFonts w:hint="eastAsia"/>
        </w:rPr>
      </w:pPr>
      <w:r>
        <w:rPr>
          <w:rFonts w:hint="eastAsia"/>
        </w:rPr>
        <w:object w:dxaOrig="12060" w:dyaOrig="4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style="height:174.3pt;width:452.35pt;" o:allowoverlap="t" filled="f" o:spt="75" type="#_x0000_t75">
            <v:fill/>
            <v:stroke joinstyle="miter"/>
            <v:imagedata o:title="" r:id="rId27"/>
            <o:lock v:ext="edit" aspectratio="t"/>
            <w10:anchorlock/>
          </v:shape>
          <o:OLEObject Type="Embed" ProgID="Excel.Sheet.12" ShapeID="_x0000_s1054" DrawAspect="Content" ObjectID="" r:id="rId28"/>
        </w:object>
      </w:r>
    </w:p>
    <w:p>
      <w:pPr>
        <w:pStyle w:val="0"/>
        <w:ind w:leftChars="0" w:firstLine="0" w:firstLineChars="0"/>
        <w:rPr>
          <w:rFonts w:hint="eastAsia"/>
        </w:rPr>
      </w:pPr>
    </w:p>
    <w:p>
      <w:pPr>
        <w:pStyle w:val="0"/>
        <w:ind w:leftChars="0" w:firstLine="0" w:firstLineChars="0"/>
        <w:rPr>
          <w:rFonts w:hint="eastAsia"/>
        </w:rPr>
      </w:pPr>
      <w:r>
        <w:rPr>
          <w:rFonts w:hint="eastAsia"/>
        </w:rPr>
        <w:drawing>
          <wp:inline distT="0" distB="0" distL="203200" distR="203200">
            <wp:extent cx="5982970" cy="1314450"/>
            <wp:effectExtent l="0" t="0" r="0" b="0"/>
            <wp:docPr id="1055" name="オブジェクト 0"/>
            <a:graphic xmlns:a="http://schemas.openxmlformats.org/drawingml/2006/main">
              <a:graphicData uri="http://schemas.openxmlformats.org/drawingml/2006/picture">
                <pic:pic xmlns:pic="http://schemas.openxmlformats.org/drawingml/2006/picture">
                  <pic:nvPicPr>
                    <pic:cNvPr id="1055" name="オブジェクト 0"/>
                    <pic:cNvPicPr>
                      <a:picLocks noChangeAspect="1"/>
                    </pic:cNvPicPr>
                  </pic:nvPicPr>
                  <pic:blipFill>
                    <a:blip r:embed="rId29"/>
                    <a:stretch>
                      <a:fillRect/>
                    </a:stretch>
                  </pic:blipFill>
                  <pic:spPr>
                    <a:xfrm>
                      <a:off x="0" y="0"/>
                      <a:ext cx="5982970" cy="1314450"/>
                    </a:xfrm>
                    <a:prstGeom prst="rect">
                      <a:avLst/>
                    </a:prstGeom>
                  </pic:spPr>
                </pic:pic>
              </a:graphicData>
            </a:graphic>
          </wp:inline>
        </w:drawing>
      </w: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r>
        <w:rPr>
          <w:rFonts w:hint="eastAsia"/>
        </w:rPr>
        <w:drawing>
          <wp:inline distT="0" distB="0" distL="203200" distR="203200">
            <wp:extent cx="5893435" cy="8364220"/>
            <wp:effectExtent l="0" t="0" r="0" b="0"/>
            <wp:docPr id="1056" name="オブジェクト 0"/>
            <a:graphic xmlns:a="http://schemas.openxmlformats.org/drawingml/2006/main">
              <a:graphicData uri="http://schemas.openxmlformats.org/drawingml/2006/picture">
                <pic:pic xmlns:pic="http://schemas.openxmlformats.org/drawingml/2006/picture">
                  <pic:nvPicPr>
                    <pic:cNvPr id="1056" name="オブジェクト 0"/>
                    <pic:cNvPicPr>
                      <a:picLocks noChangeAspect="1"/>
                    </pic:cNvPicPr>
                  </pic:nvPicPr>
                  <pic:blipFill>
                    <a:blip r:embed="rId30"/>
                    <a:stretch>
                      <a:fillRect/>
                    </a:stretch>
                  </pic:blipFill>
                  <pic:spPr>
                    <a:xfrm>
                      <a:off x="0" y="0"/>
                      <a:ext cx="5893435" cy="8364220"/>
                    </a:xfrm>
                    <a:prstGeom prst="rect">
                      <a:avLst/>
                    </a:prstGeom>
                  </pic:spPr>
                </pic:pic>
              </a:graphicData>
            </a:graphic>
          </wp:inline>
        </w:drawing>
      </w:r>
    </w:p>
    <w:p>
      <w:pPr>
        <w:pStyle w:val="0"/>
        <w:rPr>
          <w:rFonts w:hint="eastAsia"/>
        </w:rPr>
      </w:pPr>
    </w:p>
    <w:p>
      <w:pPr>
        <w:pStyle w:val="0"/>
        <w:rPr>
          <w:rFonts w:hint="eastAsia"/>
        </w:rPr>
      </w:pPr>
    </w:p>
    <w:p>
      <w:pPr>
        <w:pStyle w:val="0"/>
        <w:rPr>
          <w:rFonts w:hint="eastAsia"/>
        </w:rPr>
      </w:pPr>
      <w:r>
        <w:rPr>
          <w:rFonts w:hint="eastAsia"/>
        </w:rPr>
        <w:drawing>
          <wp:inline distT="0" distB="0" distL="203200" distR="203200">
            <wp:extent cx="5759450" cy="8470265"/>
            <wp:effectExtent l="0" t="0" r="0" b="0"/>
            <wp:docPr id="1057" name="オブジェクト 0"/>
            <a:graphic xmlns:a="http://schemas.openxmlformats.org/drawingml/2006/main">
              <a:graphicData uri="http://schemas.openxmlformats.org/drawingml/2006/picture">
                <pic:pic xmlns:pic="http://schemas.openxmlformats.org/drawingml/2006/picture">
                  <pic:nvPicPr>
                    <pic:cNvPr id="1057" name="オブジェクト 0"/>
                    <pic:cNvPicPr>
                      <a:picLocks noChangeAspect="1"/>
                    </pic:cNvPicPr>
                  </pic:nvPicPr>
                  <pic:blipFill>
                    <a:blip r:embed="rId31"/>
                    <a:stretch>
                      <a:fillRect/>
                    </a:stretch>
                  </pic:blipFill>
                  <pic:spPr>
                    <a:xfrm>
                      <a:off x="0" y="0"/>
                      <a:ext cx="5759450" cy="8470265"/>
                    </a:xfrm>
                    <a:prstGeom prst="rect">
                      <a:avLst/>
                    </a:prstGeom>
                  </pic:spPr>
                </pic:pic>
              </a:graphicData>
            </a:graphic>
          </wp:inline>
        </w:drawing>
      </w:r>
    </w:p>
    <w:p>
      <w:pPr>
        <w:pStyle w:val="0"/>
        <w:rPr>
          <w:rFonts w:hint="eastAsia"/>
        </w:rPr>
      </w:pPr>
    </w:p>
    <w:p>
      <w:pPr>
        <w:pStyle w:val="0"/>
        <w:rPr>
          <w:rFonts w:hint="eastAsia"/>
        </w:rPr>
      </w:pPr>
      <w:r>
        <w:rPr>
          <w:rFonts w:hint="eastAsia"/>
        </w:rPr>
        <w:drawing>
          <wp:inline distT="0" distB="0" distL="203200" distR="203200">
            <wp:extent cx="5753100" cy="8931910"/>
            <wp:effectExtent l="0" t="0" r="0" b="0"/>
            <wp:docPr id="1058" name="オブジェクト 0"/>
            <a:graphic xmlns:a="http://schemas.openxmlformats.org/drawingml/2006/main">
              <a:graphicData uri="http://schemas.openxmlformats.org/drawingml/2006/picture">
                <pic:pic xmlns:pic="http://schemas.openxmlformats.org/drawingml/2006/picture">
                  <pic:nvPicPr>
                    <pic:cNvPr id="1058" name="オブジェクト 0"/>
                    <pic:cNvPicPr>
                      <a:picLocks noChangeAspect="1"/>
                    </pic:cNvPicPr>
                  </pic:nvPicPr>
                  <pic:blipFill>
                    <a:blip r:embed="rId32"/>
                    <a:stretch>
                      <a:fillRect/>
                    </a:stretch>
                  </pic:blipFill>
                  <pic:spPr>
                    <a:xfrm>
                      <a:off x="0" y="0"/>
                      <a:ext cx="5753100" cy="8931910"/>
                    </a:xfrm>
                    <a:prstGeom prst="rect">
                      <a:avLst/>
                    </a:prstGeom>
                  </pic:spPr>
                </pic:pic>
              </a:graphicData>
            </a:graphic>
          </wp:inline>
        </w:drawing>
      </w:r>
    </w:p>
    <w:p>
      <w:pPr>
        <w:pStyle w:val="0"/>
        <w:rPr>
          <w:rFonts w:hint="eastAsia"/>
        </w:rPr>
      </w:pPr>
      <w:r>
        <w:rPr>
          <w:rFonts w:hint="eastAsia"/>
        </w:rPr>
        <w:drawing>
          <wp:inline distT="0" distB="0" distL="203200" distR="203200">
            <wp:extent cx="5675630" cy="8943975"/>
            <wp:effectExtent l="0" t="0" r="0" b="0"/>
            <wp:docPr id="1059" name="オブジェクト 0"/>
            <a:graphic xmlns:a="http://schemas.openxmlformats.org/drawingml/2006/main">
              <a:graphicData uri="http://schemas.openxmlformats.org/drawingml/2006/picture">
                <pic:pic xmlns:pic="http://schemas.openxmlformats.org/drawingml/2006/picture">
                  <pic:nvPicPr>
                    <pic:cNvPr id="1059" name="オブジェクト 0"/>
                    <pic:cNvPicPr>
                      <a:picLocks noChangeAspect="1"/>
                    </pic:cNvPicPr>
                  </pic:nvPicPr>
                  <pic:blipFill>
                    <a:blip r:embed="rId33"/>
                    <a:stretch>
                      <a:fillRect/>
                    </a:stretch>
                  </pic:blipFill>
                  <pic:spPr>
                    <a:xfrm>
                      <a:off x="0" y="0"/>
                      <a:ext cx="5675630" cy="8943975"/>
                    </a:xfrm>
                    <a:prstGeom prst="rect">
                      <a:avLst/>
                    </a:prstGeom>
                  </pic:spPr>
                </pic:pic>
              </a:graphicData>
            </a:graphic>
          </wp:inline>
        </w:drawing>
      </w:r>
      <w:r>
        <w:rPr>
          <w:rFonts w:hint="eastAsia"/>
          <w:b w:val="1"/>
          <w:sz w:val="24"/>
        </w:rPr>
        <w:t>３　患者の状況</w:t>
      </w:r>
    </w:p>
    <w:p>
      <w:pPr>
        <w:pStyle w:val="0"/>
        <w:ind w:firstLine="210" w:firstLineChars="100"/>
        <w:rPr>
          <w:rFonts w:hint="eastAsia"/>
        </w:rPr>
      </w:pPr>
      <w:r>
        <w:rPr>
          <w:rFonts w:hint="eastAsia"/>
        </w:rPr>
        <w:t>外来患者は病院、一般診療所とも減少しており、このうち一般診療所は</w:t>
      </w:r>
      <w:r>
        <w:rPr>
          <w:rFonts w:hint="eastAsia"/>
        </w:rPr>
        <w:t>H20</w:t>
      </w:r>
      <w:r>
        <w:rPr>
          <w:rFonts w:hint="eastAsia"/>
        </w:rPr>
        <w:t>をピークに、</w:t>
      </w:r>
      <w:r>
        <w:rPr>
          <w:rFonts w:hint="eastAsia"/>
        </w:rPr>
        <w:t>H29</w:t>
      </w:r>
      <w:r>
        <w:rPr>
          <w:rFonts w:hint="eastAsia"/>
        </w:rPr>
        <w:t>には</w:t>
      </w:r>
      <w:r>
        <w:rPr>
          <w:rFonts w:hint="eastAsia"/>
        </w:rPr>
        <w:t>H20</w:t>
      </w:r>
      <w:r>
        <w:rPr>
          <w:rFonts w:hint="eastAsia"/>
        </w:rPr>
        <w:t>の約</w:t>
      </w:r>
      <w:r>
        <w:rPr>
          <w:rFonts w:hint="eastAsia"/>
        </w:rPr>
        <w:t>8</w:t>
      </w:r>
      <w:r>
        <w:rPr>
          <w:rFonts w:hint="eastAsia"/>
        </w:rPr>
        <w:t>割にまで減少しています。</w:t>
      </w:r>
    </w:p>
    <w:p>
      <w:pPr>
        <w:pStyle w:val="0"/>
        <w:ind w:firstLine="210" w:firstLineChars="100"/>
        <w:rPr>
          <w:rFonts w:hint="eastAsia"/>
        </w:rPr>
      </w:pPr>
      <w:r>
        <w:rPr>
          <w:rFonts w:hint="eastAsia"/>
        </w:rPr>
        <w:t>なお、病院が多いという本県の特徴から、全ての外来患者に対する診療所の対応割合は</w:t>
      </w:r>
      <w:r>
        <w:rPr>
          <w:rFonts w:hint="eastAsia"/>
        </w:rPr>
        <w:t>59.0%</w:t>
      </w:r>
      <w:r>
        <w:rPr>
          <w:rFonts w:hint="eastAsia"/>
        </w:rPr>
        <w:t>で、全国で最も低くなっています。</w:t>
      </w:r>
    </w:p>
    <w:p>
      <w:pPr>
        <w:pStyle w:val="0"/>
        <w:rPr>
          <w:rFonts w:hint="eastAsia"/>
        </w:rPr>
      </w:pPr>
      <w:r>
        <w:rPr>
          <w:rFonts w:hint="eastAsia"/>
        </w:rPr>
        <w:drawing>
          <wp:anchor simplePos="0" relativeHeight="18" behindDoc="0" locked="0" layoutInCell="1" hidden="0" allowOverlap="1">
            <wp:simplePos x="0" y="0"/>
            <wp:positionH relativeFrom="page">
              <wp:posOffset>843280</wp:posOffset>
            </wp:positionH>
            <wp:positionV relativeFrom="page">
              <wp:posOffset>3788410</wp:posOffset>
            </wp:positionV>
            <wp:extent cx="6332220" cy="1922145"/>
            <wp:effectExtent l="0" t="0" r="0" b="0"/>
            <wp:wrapNone/>
            <wp:docPr id="1060" name="オブジェクト 0"/>
            <a:graphic xmlns:a="http://schemas.openxmlformats.org/drawingml/2006/main">
              <a:graphicData uri="http://schemas.openxmlformats.org/drawingml/2006/chart">
                <c:chart xmlns:c="http://schemas.openxmlformats.org/drawingml/2006/chart" r:id="rId34"/>
              </a:graphicData>
            </a:graphic>
          </wp:anchor>
        </w:drawing>
      </w:r>
      <w:r>
        <w:rPr>
          <w:rFonts w:hint="eastAsia"/>
        </w:rPr>
        <w:object w:dxaOrig="15075" w:dyaOrig="3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style="height:117.8pt;width:464.35pt;" o:allowoverlap="t" filled="f" o:spt="75" type="#_x0000_t75">
            <v:fill/>
            <v:stroke joinstyle="miter"/>
            <v:imagedata o:title="" r:id="rId35"/>
            <o:lock v:ext="edit" aspectratio="t"/>
            <w10:anchorlock/>
          </v:shape>
          <o:OLEObject Type="Embed" ProgID="Excel.Sheet.12" ShapeID="_x0000_s1061" DrawAspect="Content" ObjectID="" r:id="rId36"/>
        </w:object>
      </w:r>
    </w:p>
    <w:p>
      <w:pPr>
        <w:pStyle w:val="0"/>
        <w:rPr>
          <w:rFonts w:hint="eastAsia"/>
        </w:rPr>
      </w:pPr>
      <w:r>
        <w:rPr>
          <w:rFonts w:hint="eastAsia"/>
        </w:rPr>
        <mc:AlternateContent>
          <mc:Choice Requires="wps">
            <w:drawing>
              <wp:anchor simplePos="0" relativeHeight="19" behindDoc="0" locked="0" layoutInCell="1" hidden="0" allowOverlap="1">
                <wp:simplePos x="0" y="0"/>
                <wp:positionH relativeFrom="page">
                  <wp:posOffset>5528310</wp:posOffset>
                </wp:positionH>
                <wp:positionV relativeFrom="page">
                  <wp:posOffset>4295775</wp:posOffset>
                </wp:positionV>
                <wp:extent cx="1171575" cy="314325"/>
                <wp:effectExtent l="0" t="0" r="635" b="635"/>
                <wp:wrapNone/>
                <wp:docPr id="1062" name="テキスト 3"/>
                <a:graphic xmlns:a="http://schemas.openxmlformats.org/drawingml/2006/main">
                  <a:graphicData uri="http://schemas.microsoft.com/office/word/2010/wordprocessingShape">
                    <wps:wsp>
                      <wps:cNvPr id="1062" name="テキスト 3"/>
                      <wps:cNvSpPr txBox="1"/>
                      <wps:spPr>
                        <a:xfrm>
                          <a:off x="0" y="0"/>
                          <a:ext cx="1171575" cy="314325"/>
                        </a:xfrm>
                        <a:prstGeom prst="rect">
                          <a:avLst/>
                        </a:prstGeom>
                        <a:solidFill>
                          <a:schemeClr val="lt1">
                            <a:alpha val="0"/>
                          </a:schemeClr>
                        </a:solidFill>
                        <a:ln w="9525"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rPr>
                                <w:rFonts w:hint="default"/>
                                <w:b w:val="1"/>
                              </w:rPr>
                            </w:pPr>
                            <w:r>
                              <w:rPr>
                                <w:rFonts w:hint="default"/>
                                <w:b w:val="1"/>
                                <w:sz w:val="18"/>
                              </w:rPr>
                              <w:t>全国平均</w:t>
                            </w:r>
                            <w:r>
                              <w:rPr>
                                <w:rFonts w:hint="default"/>
                                <w:b w:val="1"/>
                                <w:sz w:val="18"/>
                              </w:rPr>
                              <w:t>75.5%</w:t>
                            </w:r>
                          </w:p>
                        </w:txbxContent>
                      </wps:txbx>
                      <wps:bodyPr vertOverflow="clip" horzOverflow="clip"/>
                    </wps:wsp>
                  </a:graphicData>
                </a:graphic>
              </wp:anchor>
            </w:drawing>
          </mc:Choice>
          <mc:Fallback>
            <w:pict>
              <v:shapetype id="_x0000_t202" coordsize="21600,21600" o:spt="202" path="m,l,21600r21600,l21600,xe">
                <v:stroke joinstyle="miter"/>
                <v:path gradientshapeok="t" o:connecttype="rect"/>
              </v:shapetype>
              <v:shape id="テキスト 3" style="margin-top:338.25pt;mso-position-vertical-relative:page;mso-position-horizontal-relative:page;position:absolute;height:24.75pt;width:92.25pt;margin-left:435.3pt;z-index:19;" o:spid="_x0000_s1062" o:allowincell="t" o:allowoverlap="t" filled="t" fillcolor="#ffffff" stroked="f" strokeweight="0.75pt" o:spt="202" type="#_x0000_t202">
                <v:fill opacity="0f"/>
                <v:stroke linestyle="single"/>
                <v:textbox style="layout-flow:horizontal;">
                  <w:txbxContent>
                    <w:p>
                      <w:pPr>
                        <w:pStyle w:val="0"/>
                        <w:snapToGrid w:val="0"/>
                        <w:rPr>
                          <w:rFonts w:hint="default"/>
                          <w:b w:val="1"/>
                        </w:rPr>
                      </w:pPr>
                      <w:r>
                        <w:rPr>
                          <w:rFonts w:hint="default"/>
                          <w:b w:val="1"/>
                          <w:sz w:val="18"/>
                        </w:rPr>
                        <w:t>全国平均</w:t>
                      </w:r>
                      <w:r>
                        <w:rPr>
                          <w:rFonts w:hint="default"/>
                          <w:b w:val="1"/>
                          <w:sz w:val="18"/>
                        </w:rPr>
                        <w:t>75.5%</w:t>
                      </w:r>
                    </w:p>
                  </w:txbxContent>
                </v:textbox>
                <v:imagedata o:title=""/>
                <w10:wrap type="none" anchorx="page" anchory="page"/>
              </v:shape>
            </w:pict>
          </mc:Fallback>
        </mc:AlternateContent>
      </w:r>
    </w:p>
    <w:p>
      <w:pPr>
        <w:pStyle w:val="0"/>
        <w:rPr>
          <w:rFonts w:hint="eastAsia"/>
        </w:rPr>
      </w:pPr>
    </w:p>
    <w:p>
      <w:pPr>
        <w:pStyle w:val="0"/>
        <w:rPr>
          <w:rFonts w:hint="eastAsia"/>
        </w:rPr>
      </w:pPr>
    </w:p>
    <w:p>
      <w:pPr>
        <w:pStyle w:val="0"/>
        <w:rPr>
          <w:rFonts w:hint="eastAsia"/>
        </w:rPr>
      </w:pPr>
    </w:p>
    <w:p>
      <w:pPr>
        <w:pStyle w:val="0"/>
        <w:rPr>
          <w:rFonts w:hint="eastAsia"/>
        </w:rPr>
      </w:pPr>
    </w:p>
    <w:p>
      <w:pPr>
        <w:pStyle w:val="0"/>
        <w:ind w:leftChars="0" w:firstLine="0" w:firstLineChars="0"/>
        <w:rPr>
          <w:rFonts w:hint="eastAsia"/>
          <w:b w:val="1"/>
          <w:sz w:val="24"/>
        </w:rPr>
      </w:pPr>
    </w:p>
    <w:p>
      <w:pPr>
        <w:pStyle w:val="0"/>
        <w:ind w:firstLine="210" w:firstLineChars="100"/>
        <w:rPr>
          <w:rFonts w:hint="eastAsia"/>
          <w:b w:val="1"/>
          <w:sz w:val="24"/>
        </w:rPr>
      </w:pPr>
    </w:p>
    <w:p>
      <w:pPr>
        <w:pStyle w:val="0"/>
        <w:ind w:firstLine="210" w:firstLineChars="100"/>
        <w:rPr>
          <w:rFonts w:hint="eastAsia"/>
          <w:b w:val="1"/>
          <w:sz w:val="24"/>
        </w:rPr>
      </w:pPr>
      <w:r>
        <w:rPr>
          <w:rFonts w:hint="eastAsia"/>
        </w:rPr>
        <w:t>外来患者の患者の流出入については、中央医療圏及び幡多医療圏においては</w:t>
      </w:r>
      <w:r>
        <w:rPr>
          <w:rFonts w:hint="eastAsia"/>
        </w:rPr>
        <w:t>9</w:t>
      </w:r>
      <w:r>
        <w:rPr>
          <w:rFonts w:hint="eastAsia"/>
        </w:rPr>
        <w:t>割以上が自医療圏で受診していますが、安芸医療圏及び高幡医療圏においては中央医療圏への流入が認められます。また、中央医療圏においても、サブ圏域単位で見ると、高知市サブ圏域へ流入しています。</w:t>
      </w:r>
    </w:p>
    <w:p>
      <w:pPr>
        <w:pStyle w:val="0"/>
        <w:spacing w:line="0" w:lineRule="atLeast"/>
        <w:jc w:val="left"/>
        <w:rPr>
          <w:rFonts w:hint="eastAsia"/>
          <w:b w:val="1"/>
          <w:sz w:val="24"/>
        </w:rPr>
      </w:pPr>
      <w:r>
        <w:rPr>
          <w:rFonts w:hint="eastAsia"/>
        </w:rPr>
        <w:object w:dxaOrig="18525" w:dyaOrig="10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style="height:230.55pt;width:439.1pt;" o:allowoverlap="t" filled="f" o:spt="75" type="#_x0000_t75">
            <v:fill/>
            <v:stroke joinstyle="miter"/>
            <v:imagedata o:title="" r:id="rId37"/>
            <o:lock v:ext="edit" aspectratio="t"/>
            <w10:anchorlock/>
          </v:shape>
          <o:OLEObject Type="Embed" ProgID="Excel.Sheet.12" ShapeID="_x0000_s1063" DrawAspect="Content" ObjectID="" r:id="rId38"/>
        </w:object>
      </w:r>
      <w:r>
        <w:rPr>
          <w:rFonts w:hint="eastAsia"/>
        </w:rPr>
        <w:drawing>
          <wp:inline distT="0" distB="0" distL="203200" distR="203200">
            <wp:extent cx="5759450" cy="8882380"/>
            <wp:effectExtent l="0" t="0" r="0" b="0"/>
            <wp:docPr id="1064" name="オブジェクト 0"/>
            <a:graphic xmlns:a="http://schemas.openxmlformats.org/drawingml/2006/main">
              <a:graphicData uri="http://schemas.openxmlformats.org/drawingml/2006/picture">
                <pic:pic xmlns:pic="http://schemas.openxmlformats.org/drawingml/2006/picture">
                  <pic:nvPicPr>
                    <pic:cNvPr id="1064" name="オブジェクト 0"/>
                    <pic:cNvPicPr>
                      <a:picLocks noChangeAspect="1"/>
                    </pic:cNvPicPr>
                  </pic:nvPicPr>
                  <pic:blipFill>
                    <a:blip r:embed="rId39"/>
                    <a:stretch>
                      <a:fillRect/>
                    </a:stretch>
                  </pic:blipFill>
                  <pic:spPr>
                    <a:xfrm>
                      <a:off x="0" y="0"/>
                      <a:ext cx="5759450" cy="8882380"/>
                    </a:xfrm>
                    <a:prstGeom prst="rect">
                      <a:avLst/>
                    </a:prstGeom>
                  </pic:spPr>
                </pic:pic>
              </a:graphicData>
            </a:graphic>
          </wp:inline>
        </w:drawing>
      </w:r>
    </w:p>
    <w:p>
      <w:pPr>
        <w:pStyle w:val="0"/>
        <w:rPr>
          <w:rFonts w:hint="eastAsia"/>
          <w:color w:val="000000" w:themeColor="text1"/>
          <w:sz w:val="24"/>
        </w:rPr>
      </w:pPr>
      <w:r>
        <w:rPr>
          <w:rFonts w:hint="eastAsia"/>
          <w:b w:val="1"/>
          <w:color w:val="000000" w:themeColor="text1"/>
          <w:sz w:val="24"/>
        </w:rPr>
        <w:t>４　初期救急医療体制</w:t>
      </w:r>
    </w:p>
    <w:p>
      <w:pPr>
        <w:pStyle w:val="0"/>
        <w:ind w:firstLine="210" w:firstLineChars="100"/>
        <w:rPr>
          <w:rFonts w:hint="eastAsia"/>
          <w:color w:val="000000" w:themeColor="text1"/>
        </w:rPr>
      </w:pPr>
      <w:r>
        <w:rPr>
          <w:rFonts w:hint="eastAsia"/>
          <w:color w:val="000000" w:themeColor="text1"/>
        </w:rPr>
        <w:t>休日・夜間の比較的軽度の救急患者に対応するための体制として、高知市では「休日夜間急患センター・平日夜間小児急患センター」を開設し、一般医療機関における診療が困難な時間帯において、内科、小児科、耳鼻咽喉科及び眼科の初期救急医療を提供しています。また、高知市以外では医師会単位で在宅医当番制により外来診療を行っています。しかし、参画する診療所は減少傾向です。</w:t>
      </w:r>
    </w:p>
    <w:p>
      <w:pPr>
        <w:pStyle w:val="0"/>
        <w:ind w:firstLine="210" w:firstLineChars="100"/>
        <w:rPr>
          <w:rFonts w:hint="eastAsia"/>
          <w:color w:val="000000" w:themeColor="text1"/>
        </w:rPr>
      </w:pPr>
      <w:r>
        <w:rPr>
          <w:rFonts w:hint="eastAsia"/>
          <w:color w:val="000000" w:themeColor="text1"/>
        </w:rPr>
        <w:t>時間外等外来患者数については、人口当たりの病院と診療所の合計では全国とほぼ同程度の患者数ですが、内訳として病院での受診が多い一方で、診療所での受診は全国の</w:t>
      </w:r>
      <w:r>
        <w:rPr>
          <w:rFonts w:hint="eastAsia"/>
          <w:color w:val="000000" w:themeColor="text1"/>
        </w:rPr>
        <w:t>7</w:t>
      </w:r>
      <w:r>
        <w:rPr>
          <w:rFonts w:hint="eastAsia"/>
          <w:color w:val="000000" w:themeColor="text1"/>
        </w:rPr>
        <w:t>割程度となっています。</w:t>
      </w:r>
    </w:p>
    <w:p>
      <w:pPr>
        <w:pStyle w:val="0"/>
        <w:rPr>
          <w:rFonts w:hint="eastAsia"/>
          <w:color w:val="000000" w:themeColor="text1"/>
        </w:rPr>
      </w:pPr>
      <w:r>
        <w:rPr>
          <w:rFonts w:hint="eastAsia"/>
          <w:color w:val="000000" w:themeColor="text1"/>
        </w:rPr>
        <w:t>　一方で、救急搬送件数が年々増加している中で、軽症患者が救急搬送患者の約４割を超えている現状があります。</w:t>
      </w:r>
    </w:p>
    <w:p>
      <w:pPr>
        <w:pStyle w:val="0"/>
        <w:ind w:firstLine="210" w:firstLineChars="100"/>
        <w:rPr>
          <w:rFonts w:hint="eastAsia"/>
          <w:color w:val="000000" w:themeColor="text1"/>
          <w:u w:val="none" w:color="auto"/>
        </w:rPr>
      </w:pPr>
      <w:r>
        <w:rPr>
          <w:rFonts w:hint="eastAsia"/>
          <w:color w:val="000000" w:themeColor="text1"/>
        </w:rPr>
        <w:t>なお、各圏域での在宅当番医</w:t>
      </w:r>
      <w:r>
        <w:rPr>
          <w:rFonts w:hint="eastAsia"/>
          <w:color w:val="auto"/>
          <w:u w:val="none" w:color="auto"/>
        </w:rPr>
        <w:t>制の</w:t>
      </w:r>
      <w:r>
        <w:rPr>
          <w:rFonts w:hint="eastAsia"/>
          <w:color w:val="000000" w:themeColor="text1"/>
          <w:u w:val="none" w:color="auto"/>
        </w:rPr>
        <w:t>中で、嶺北サブ圏域においては在宅当番医療機関がないため、南国市地域を含め運営しており、高幡圏域においては、病院のみで実施しています。</w:t>
      </w:r>
    </w:p>
    <w:p>
      <w:pPr>
        <w:pStyle w:val="0"/>
        <w:ind w:firstLine="210" w:firstLineChars="100"/>
        <w:rPr>
          <w:rFonts w:hint="eastAsia"/>
          <w:color w:val="000000" w:themeColor="text1"/>
          <w:u w:val="none" w:color="auto"/>
        </w:rPr>
      </w:pPr>
      <w:r>
        <w:rPr>
          <w:rFonts w:hint="eastAsia"/>
          <w:color w:val="000000" w:themeColor="text1"/>
          <w:u w:val="none" w:color="auto"/>
        </w:rPr>
        <w:t>また、高知市医師会で実施している「休日夜間急患センター・平日夜間小児急患センター」では、高知市以外の患者も受診をしている状況です。</w:t>
      </w:r>
    </w:p>
    <w:p>
      <w:pPr>
        <w:pStyle w:val="0"/>
        <w:ind w:firstLine="210" w:firstLineChars="100"/>
        <w:rPr>
          <w:rFonts w:hint="eastAsia"/>
          <w:color w:val="000000" w:themeColor="text1"/>
          <w:u w:val="none" w:color="auto"/>
        </w:rPr>
      </w:pPr>
      <w:r>
        <w:rPr>
          <w:rFonts w:hint="eastAsia"/>
          <w:color w:val="000000" w:themeColor="text1"/>
          <w:u w:val="none" w:color="auto"/>
        </w:rPr>
        <w:t>なお、初期救急医療体制については、「こうち医療ネット」を活用した分かり易い情報の公表や、関係機関と連携した救急医療の適正利用に向けた普及啓発など、引き続き第</w:t>
      </w:r>
      <w:r>
        <w:rPr>
          <w:rFonts w:hint="eastAsia"/>
          <w:color w:val="000000" w:themeColor="text1"/>
          <w:u w:val="none" w:color="auto"/>
        </w:rPr>
        <w:t>7</w:t>
      </w:r>
      <w:r>
        <w:rPr>
          <w:rFonts w:hint="eastAsia"/>
          <w:color w:val="000000" w:themeColor="text1"/>
          <w:u w:val="none" w:color="auto"/>
        </w:rPr>
        <w:t>期保健医療計画に掲げる各取組により推進していきます。</w:t>
      </w:r>
    </w:p>
    <w:p>
      <w:pPr>
        <w:pStyle w:val="0"/>
        <w:ind w:firstLine="210" w:firstLineChars="100"/>
        <w:rPr>
          <w:rFonts w:hint="eastAsia"/>
          <w:color w:val="000000" w:themeColor="text1"/>
          <w:u w:val="none" w:color="auto"/>
        </w:rPr>
      </w:pPr>
    </w:p>
    <w:p>
      <w:pPr>
        <w:pStyle w:val="0"/>
        <w:ind w:firstLine="210" w:firstLineChars="100"/>
        <w:rPr>
          <w:rFonts w:hint="eastAsia"/>
          <w:color w:val="000000" w:themeColor="text1"/>
          <w:u w:val="none" w:color="auto"/>
        </w:rPr>
      </w:pPr>
    </w:p>
    <w:p>
      <w:pPr>
        <w:pStyle w:val="0"/>
        <w:ind w:firstLine="210" w:firstLineChars="100"/>
        <w:rPr>
          <w:rFonts w:hint="eastAsia"/>
          <w:color w:val="000000" w:themeColor="text1"/>
          <w:u w:val="none" w:color="auto"/>
        </w:rPr>
      </w:pPr>
    </w:p>
    <w:p>
      <w:pPr>
        <w:pStyle w:val="0"/>
        <w:rPr>
          <w:rFonts w:hint="eastAsia"/>
          <w:color w:val="000000" w:themeColor="text1"/>
        </w:rPr>
      </w:pPr>
      <w:r>
        <w:rPr>
          <w:rFonts w:hint="eastAsia"/>
        </w:rPr>
        <w:object w:dxaOrig="18450" w:dyaOrig="7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style="height:209.65pt;width:481.25pt;" o:allowoverlap="t" filled="f" o:spt="75" type="#_x0000_t75">
            <v:fill/>
            <v:stroke joinstyle="miter"/>
            <v:imagedata o:title="" r:id="rId40"/>
            <o:lock v:ext="edit" aspectratio="t"/>
            <w10:anchorlock/>
          </v:shape>
          <o:OLEObject Type="Embed" ProgID="Excel.Sheet.12" ShapeID="_x0000_s1065" DrawAspect="Content" ObjectID="" r:id="rId41"/>
        </w:object>
      </w:r>
      <w:r>
        <w:rPr>
          <w:rFonts w:hint="eastAsia"/>
          <w:color w:val="000000" w:themeColor="text1"/>
        </w:rPr>
        <w:object w:dxaOrig="14475" w:dyaOrig="4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style="height:156.65pt;width:469.55pt;" o:allowoverlap="t" filled="f" o:spt="75" type="#_x0000_t75">
            <v:fill/>
            <v:stroke joinstyle="miter"/>
            <v:imagedata o:title="" r:id="rId42"/>
            <o:lock v:ext="edit" aspectratio="t"/>
            <w10:anchorlock/>
          </v:shape>
          <o:OLEObject Type="Embed" ProgID="Excel.Sheet.12" ShapeID="_x0000_s1066" DrawAspect="Content" ObjectID="" r:id="rId43"/>
        </w:object>
      </w:r>
      <w:r>
        <w:rPr>
          <w:rFonts w:hint="eastAsia"/>
        </w:rPr>
        <w:object w:dxaOrig="10020" w:dyaOrig="4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style="height:159.9pt;width:362.35pt;" o:allowoverlap="t" filled="f" o:spt="75" type="#_x0000_t75">
            <v:fill/>
            <v:stroke joinstyle="miter"/>
            <v:imagedata o:title="" r:id="rId44"/>
            <o:lock v:ext="edit" aspectratio="t"/>
            <w10:anchorlock/>
          </v:shape>
          <o:OLEObject Type="Embed" ProgID="Excel.Sheet.12" ShapeID="_x0000_s1067" DrawAspect="Content" ObjectID="" r:id="rId45"/>
        </w:object>
      </w:r>
    </w:p>
    <w:p>
      <w:pPr>
        <w:pStyle w:val="0"/>
        <w:rPr>
          <w:rFonts w:hint="eastAsia"/>
          <w:color w:val="000000" w:themeColor="text1"/>
        </w:rPr>
      </w:pPr>
    </w:p>
    <w:p>
      <w:pPr>
        <w:pStyle w:val="0"/>
        <w:rPr>
          <w:rFonts w:hint="eastAsia"/>
          <w:color w:val="000000" w:themeColor="text1"/>
        </w:rPr>
      </w:pPr>
      <w:r>
        <w:rPr>
          <w:rFonts w:hint="eastAsia"/>
          <w:color w:val="000000" w:themeColor="text1"/>
        </w:rPr>
        <w:object w:dxaOrig="7200" w:dyaOrig="3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style="height:109.8pt;width:230.4pt;" o:allowoverlap="t" filled="f" o:spt="75" type="#_x0000_t75">
            <v:fill/>
            <v:stroke joinstyle="miter"/>
            <v:imagedata o:title="" r:id="rId46"/>
            <o:lock v:ext="edit" aspectratio="t"/>
            <w10:anchorlock/>
          </v:shape>
          <o:OLEObject Type="Embed" ProgID="Excel.Sheet.12" ShapeID="_x0000_s1068" DrawAspect="Content" ObjectID="" r:id="rId47"/>
        </w:object>
      </w:r>
      <w:r>
        <w:rPr>
          <w:rFonts w:hint="eastAsia"/>
          <w:color w:val="000000" w:themeColor="text1"/>
        </w:rPr>
        <w:t>　</w:t>
      </w:r>
      <w:r>
        <w:rPr>
          <w:rFonts w:hint="eastAsia"/>
          <w:color w:val="000000" w:themeColor="text1"/>
        </w:rPr>
        <w:object w:dxaOrig="6900" w:dyaOrig="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style="height:54pt;width:211.75pt;" o:allowoverlap="t" filled="f" o:spt="75" type="#_x0000_t75">
            <v:fill/>
            <v:stroke joinstyle="miter"/>
            <v:imagedata o:title="" r:id="rId48"/>
            <o:lock v:ext="edit" aspectratio="t"/>
            <w10:anchorlock/>
          </v:shape>
          <o:OLEObject Type="Embed" ProgID="Excel.Sheet.12" ShapeID="_x0000_s1069" DrawAspect="Content" ObjectID="" r:id="rId49"/>
        </w:object>
      </w:r>
    </w:p>
    <w:p>
      <w:pPr>
        <w:pStyle w:val="0"/>
        <w:rPr>
          <w:rFonts w:hint="eastAsia"/>
          <w:color w:val="000000" w:themeColor="text1"/>
        </w:rPr>
      </w:pPr>
    </w:p>
    <w:p>
      <w:pPr>
        <w:pStyle w:val="0"/>
        <w:rPr>
          <w:rFonts w:hint="eastAsia"/>
          <w:color w:val="000000" w:themeColor="text1"/>
        </w:rPr>
      </w:pPr>
    </w:p>
    <w:p>
      <w:pPr>
        <w:pStyle w:val="0"/>
        <w:rPr>
          <w:rFonts w:hint="eastAsia"/>
        </w:rPr>
      </w:pPr>
      <w:r>
        <w:rPr>
          <w:rFonts w:hint="eastAsia"/>
          <w:b w:val="1"/>
          <w:color w:val="000000" w:themeColor="text1"/>
          <w:sz w:val="24"/>
        </w:rPr>
        <w:t>５　在宅医療体制</w:t>
      </w:r>
    </w:p>
    <w:p>
      <w:pPr>
        <w:pStyle w:val="0"/>
        <w:rPr>
          <w:rFonts w:hint="eastAsia"/>
        </w:rPr>
      </w:pPr>
      <w:r>
        <w:rPr>
          <w:rFonts w:hint="eastAsia"/>
        </w:rPr>
        <w:t>　高齢化等によって疾病構造が変化し慢性期疾患の増加が見込まれるとともに、病床の機能分化及び連携の取り組みが進み、在宅患者の増加が見込まれる中、住み慣れた地域で安心して療養したいという患者の希望に応えるとともに</w:t>
      </w:r>
      <w:r>
        <w:rPr>
          <w:rFonts w:hint="eastAsia"/>
        </w:rPr>
        <w:t>QOL</w:t>
      </w:r>
      <w:r>
        <w:rPr>
          <w:rFonts w:hint="eastAsia"/>
        </w:rPr>
        <w:t>の向上に寄与する在宅医療の提供体制の整備は重要なものです。</w:t>
      </w:r>
    </w:p>
    <w:p>
      <w:pPr>
        <w:pStyle w:val="0"/>
        <w:rPr>
          <w:rFonts w:hint="eastAsia"/>
        </w:rPr>
      </w:pPr>
      <w:r>
        <w:rPr>
          <w:rFonts w:hint="eastAsia"/>
        </w:rPr>
        <w:t>　高知県で人口当たりの訪問診療を行っている医療機関は全国と比べてやや多いですが、内訳として病院での受診が全国より</w:t>
      </w:r>
      <w:r>
        <w:rPr>
          <w:rFonts w:hint="eastAsia"/>
        </w:rPr>
        <w:t>3</w:t>
      </w:r>
      <w:r>
        <w:rPr>
          <w:rFonts w:hint="eastAsia"/>
        </w:rPr>
        <w:t>倍以上多い一方で、診療所での受診は全国を下回っています。</w:t>
      </w:r>
    </w:p>
    <w:p>
      <w:pPr>
        <w:pStyle w:val="0"/>
        <w:ind w:firstLine="210" w:firstLineChars="100"/>
        <w:rPr>
          <w:rFonts w:hint="eastAsia"/>
          <w:u w:val="thick" w:color="auto"/>
        </w:rPr>
      </w:pPr>
      <w:r>
        <w:rPr>
          <w:rFonts w:hint="eastAsia"/>
          <w:u w:val="none" w:color="auto"/>
        </w:rPr>
        <w:t>訪問診療を受けている</w:t>
      </w:r>
      <w:r>
        <w:rPr>
          <w:rFonts w:hint="eastAsia"/>
        </w:rPr>
        <w:t>患者の実数については、</w:t>
      </w:r>
      <w:r>
        <w:rPr>
          <w:rFonts w:hint="eastAsia"/>
        </w:rPr>
        <w:t>H28</w:t>
      </w:r>
      <w:r>
        <w:rPr>
          <w:rFonts w:hint="eastAsia"/>
        </w:rPr>
        <w:t>に</w:t>
      </w:r>
      <w:r>
        <w:rPr>
          <w:rFonts w:hint="eastAsia"/>
        </w:rPr>
        <w:t>3,264</w:t>
      </w:r>
      <w:r>
        <w:rPr>
          <w:rFonts w:hint="eastAsia"/>
        </w:rPr>
        <w:t>人（</w:t>
      </w:r>
      <w:r>
        <w:rPr>
          <w:rFonts w:hint="eastAsia"/>
        </w:rPr>
        <w:t>NDB</w:t>
      </w:r>
      <w:r>
        <w:rPr>
          <w:rFonts w:hint="eastAsia"/>
        </w:rPr>
        <w:t>）となっておりますが、その</w:t>
      </w:r>
      <w:r>
        <w:rPr>
          <w:rFonts w:hint="eastAsia"/>
        </w:rPr>
        <w:t>6</w:t>
      </w:r>
      <w:r>
        <w:rPr>
          <w:rFonts w:hint="eastAsia"/>
        </w:rPr>
        <w:t>割は施設等</w:t>
      </w:r>
      <w:r>
        <w:rPr>
          <w:rFonts w:hint="eastAsia"/>
          <w:vertAlign w:val="superscript"/>
        </w:rPr>
        <w:t>※</w:t>
      </w:r>
      <w:r>
        <w:rPr>
          <w:rFonts w:hint="eastAsia"/>
          <w:vertAlign w:val="superscript"/>
        </w:rPr>
        <w:t>1</w:t>
      </w:r>
      <w:r>
        <w:rPr>
          <w:rFonts w:hint="eastAsia"/>
        </w:rPr>
        <w:t>に入居中の方に対するものです。訪問診療に係る</w:t>
      </w:r>
      <w:r>
        <w:rPr>
          <w:rFonts w:hint="eastAsia"/>
        </w:rPr>
        <w:t>SCR</w:t>
      </w:r>
      <w:r>
        <w:rPr>
          <w:rFonts w:hint="eastAsia"/>
          <w:vertAlign w:val="superscript"/>
        </w:rPr>
        <w:t>※</w:t>
      </w:r>
      <w:r>
        <w:rPr>
          <w:rFonts w:hint="eastAsia"/>
          <w:vertAlign w:val="superscript"/>
        </w:rPr>
        <w:t>2</w:t>
      </w:r>
      <w:r>
        <w:rPr>
          <w:rFonts w:hint="eastAsia"/>
        </w:rPr>
        <w:t>は、高知県全体及び各圏域ですべて全国平均の</w:t>
      </w:r>
      <w:r>
        <w:rPr>
          <w:rFonts w:hint="eastAsia"/>
        </w:rPr>
        <w:t>100</w:t>
      </w:r>
      <w:r>
        <w:rPr>
          <w:rFonts w:hint="eastAsia"/>
        </w:rPr>
        <w:t>を大きく下回っています。</w:t>
      </w:r>
      <w:r>
        <w:rPr>
          <w:rFonts w:hint="eastAsia"/>
          <w:u w:val="none" w:color="auto"/>
        </w:rPr>
        <w:t>高齢化が進む中で、家庭の介護力が脆弱また所得水準が低い中で、自己負担が少ない療養病床への入院が多いことなどがその要因と考えられます。</w:t>
      </w:r>
    </w:p>
    <w:p>
      <w:pPr>
        <w:pStyle w:val="0"/>
        <w:ind w:firstLine="210" w:firstLineChars="100"/>
        <w:rPr>
          <w:rFonts w:hint="eastAsia"/>
          <w:u w:val="wave" w:color="auto"/>
        </w:rPr>
      </w:pPr>
      <w:r>
        <w:rPr>
          <w:rFonts w:hint="eastAsia"/>
          <w:u w:val="none" w:color="auto"/>
        </w:rPr>
        <w:t>なお、在宅医療体制の構築については引き続き第</w:t>
      </w:r>
      <w:r>
        <w:rPr>
          <w:rFonts w:hint="eastAsia"/>
          <w:u w:val="none" w:color="auto"/>
        </w:rPr>
        <w:t>7</w:t>
      </w:r>
      <w:r>
        <w:rPr>
          <w:rFonts w:hint="eastAsia"/>
          <w:u w:val="none" w:color="auto"/>
        </w:rPr>
        <w:t>期保健医療計画に掲げる各取組により推進していきます。</w:t>
      </w:r>
    </w:p>
    <w:p>
      <w:pPr>
        <w:pStyle w:val="0"/>
        <w:ind w:firstLine="210" w:firstLineChars="100"/>
        <w:rPr>
          <w:rFonts w:hint="eastAsia"/>
        </w:rPr>
      </w:pPr>
      <w:r>
        <w:rPr>
          <w:rFonts w:hint="eastAsia"/>
          <w:sz w:val="16"/>
        </w:rPr>
        <w:t>※</w:t>
      </w:r>
      <w:r>
        <w:rPr>
          <w:rFonts w:hint="eastAsia"/>
          <w:sz w:val="16"/>
        </w:rPr>
        <w:t>1</w:t>
      </w:r>
      <w:r>
        <w:rPr>
          <w:rFonts w:hint="eastAsia"/>
          <w:sz w:val="16"/>
        </w:rPr>
        <w:t>ここでいう施設等は、養護老人ホーム、軽費老人ホーム、特別養護老人ホーム、有料老人ホーム、サービス付き高齢者向け住宅、認知症グループホームとします。</w:t>
      </w:r>
    </w:p>
    <w:p>
      <w:pPr>
        <w:pStyle w:val="0"/>
        <w:ind w:left="0" w:leftChars="0" w:firstLine="160" w:firstLineChars="100"/>
        <w:rPr>
          <w:rFonts w:hint="eastAsia"/>
        </w:rPr>
      </w:pPr>
      <w:r>
        <w:rPr>
          <w:rFonts w:hint="eastAsia"/>
          <w:sz w:val="16"/>
        </w:rPr>
        <w:t>※</w:t>
      </w:r>
      <w:r>
        <w:rPr>
          <w:rFonts w:hint="eastAsia"/>
          <w:sz w:val="16"/>
        </w:rPr>
        <w:t>2</w:t>
      </w:r>
      <w:r>
        <w:rPr>
          <w:rFonts w:hint="eastAsia"/>
          <w:sz w:val="16"/>
        </w:rPr>
        <w:t>　全国の性・年齢階級別レセプト出現率を対象地域に当てはめた場合に計算により求められる期待されるレセプト件数と実際のレセプト件数とを比較したもの。年齢構成の異なる地域間の比較に用いられ</w:t>
      </w:r>
      <w:r>
        <w:rPr>
          <w:rFonts w:hint="eastAsia"/>
          <w:sz w:val="16"/>
        </w:rPr>
        <w:t>SCR</w:t>
      </w:r>
      <w:r>
        <w:rPr>
          <w:rFonts w:hint="eastAsia"/>
          <w:sz w:val="16"/>
        </w:rPr>
        <w:t>が</w:t>
      </w:r>
      <w:r>
        <w:rPr>
          <w:rFonts w:hint="eastAsia"/>
          <w:sz w:val="16"/>
        </w:rPr>
        <w:t>100</w:t>
      </w:r>
      <w:r>
        <w:rPr>
          <w:rFonts w:hint="eastAsia"/>
          <w:sz w:val="16"/>
        </w:rPr>
        <w:t>以上の場合は全国平均より当該項目の件数が多いとされます。</w:t>
      </w:r>
    </w:p>
    <w:p>
      <w:pPr>
        <w:pStyle w:val="0"/>
        <w:ind w:left="0" w:leftChars="0" w:firstLine="160" w:firstLineChars="100"/>
        <w:rPr>
          <w:rFonts w:hint="eastAsia"/>
        </w:rPr>
      </w:pPr>
      <w:r>
        <w:rPr>
          <w:rFonts w:hint="eastAsia"/>
        </w:rPr>
        <w:object w:dxaOrig="12825" w:dyaOrig="4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style="height:189.3pt;width:475.75pt;" o:allowoverlap="t" filled="f" o:spt="75" type="#_x0000_t75">
            <v:fill/>
            <v:stroke joinstyle="miter"/>
            <v:imagedata o:title="" r:id="rId50"/>
            <o:lock v:ext="edit" aspectratio="t"/>
            <w10:anchorlock/>
          </v:shape>
          <o:OLEObject Type="Embed" ProgID="Excel.Sheet.12" ShapeID="_x0000_s1070" DrawAspect="Content" ObjectID="" r:id="rId51"/>
        </w:object>
      </w:r>
      <w:r>
        <w:rPr>
          <w:rFonts w:hint="eastAsia"/>
        </w:rPr>
        <w:object w:dxaOrig="8955" w:dyaOrig="4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1" style="height:159.75pt;width:340.6pt;" o:allowoverlap="t" filled="f" o:spt="75" type="#_x0000_t75">
            <v:fill/>
            <v:stroke joinstyle="miter"/>
            <v:imagedata o:title="" r:id="rId52"/>
            <o:lock v:ext="edit" aspectratio="t"/>
            <w10:anchorlock/>
          </v:shape>
          <o:OLEObject Type="Embed" ProgID="Excel.Sheet.12" ShapeID="_x0000_s1071" DrawAspect="Content" ObjectID="" r:id="rId53"/>
        </w:object>
      </w:r>
    </w:p>
    <w:p>
      <w:pPr>
        <w:pStyle w:val="0"/>
        <w:ind w:leftChars="0" w:firstLine="0" w:firstLineChars="0"/>
        <w:rPr>
          <w:rFonts w:hint="eastAsia"/>
        </w:rPr>
      </w:pPr>
      <w:r>
        <w:rPr>
          <w:rFonts w:hint="eastAsia"/>
        </w:rPr>
        <w:object w:dxaOrig="7470" w:dyaOrig="3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style="height:144.9pt;width:296.85000000000002pt;" o:allowoverlap="t" filled="f" o:spt="75" type="#_x0000_t75">
            <v:fill/>
            <v:stroke joinstyle="miter"/>
            <v:imagedata o:title="" r:id="rId54"/>
            <o:lock v:ext="edit" aspectratio="t"/>
            <w10:anchorlock/>
          </v:shape>
          <o:OLEObject Type="Embed" ProgID="Excel.Sheet.12" ShapeID="_x0000_s1072" DrawAspect="Content" ObjectID="" r:id="rId55"/>
        </w:object>
      </w:r>
    </w:p>
    <w:p>
      <w:pPr>
        <w:pStyle w:val="0"/>
        <w:spacing w:line="0" w:lineRule="atLeast"/>
        <w:jc w:val="left"/>
        <w:rPr>
          <w:rFonts w:hint="eastAsia"/>
          <w:b w:val="1"/>
          <w:sz w:val="24"/>
        </w:rPr>
      </w:pPr>
      <w:r>
        <w:rPr>
          <w:rFonts w:hint="eastAsia"/>
        </w:rPr>
        <w:object w:dxaOrig="12630" w:dyaOrig="5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3" style="height:185.65pt;width:459.8pt;" o:allowoverlap="t" filled="f" o:spt="75" type="#_x0000_t75">
            <v:fill/>
            <v:stroke joinstyle="miter"/>
            <v:imagedata o:title="" r:id="rId56"/>
            <o:lock v:ext="edit" aspectratio="t"/>
            <w10:anchorlock/>
          </v:shape>
          <o:OLEObject Type="Embed" ProgID="Excel.Sheet.12" ShapeID="_x0000_s1073" DrawAspect="Content" ObjectID="" r:id="rId57"/>
        </w:object>
      </w:r>
    </w:p>
    <w:p>
      <w:pPr>
        <w:pStyle w:val="0"/>
        <w:rPr>
          <w:rFonts w:hint="eastAsia"/>
        </w:rPr>
      </w:pPr>
    </w:p>
    <w:p>
      <w:pPr>
        <w:pStyle w:val="0"/>
        <w:spacing w:after="184" w:afterLines="50" w:afterAutospacing="0"/>
        <w:rPr>
          <w:rFonts w:hint="eastAsia"/>
        </w:rPr>
      </w:pPr>
      <w:r>
        <w:rPr>
          <w:rFonts w:hint="eastAsia"/>
          <w:b w:val="1"/>
          <w:sz w:val="24"/>
        </w:rPr>
        <w:t>６　公衆衛生</w:t>
      </w:r>
    </w:p>
    <w:p>
      <w:pPr>
        <w:pStyle w:val="0"/>
        <w:rPr>
          <w:rFonts w:hint="eastAsia"/>
        </w:rPr>
      </w:pPr>
      <w:r>
        <w:rPr>
          <w:rFonts w:hint="eastAsia"/>
          <w:sz w:val="24"/>
        </w:rPr>
        <w:t>（１）学校医</w:t>
      </w:r>
    </w:p>
    <w:p>
      <w:pPr>
        <w:pStyle w:val="0"/>
        <w:ind w:firstLine="210" w:firstLineChars="100"/>
        <w:rPr>
          <w:rFonts w:hint="eastAsia"/>
        </w:rPr>
      </w:pPr>
      <w:r>
        <w:rPr>
          <w:rFonts w:hint="eastAsia"/>
        </w:rPr>
        <w:t>学校医は学校保健安全法において設置するよう定められており、その用務は健康診断や保健指導に従事することや、学校保健計画の立案に参与することなど学校保健安全法施行規則に定められています。</w:t>
      </w:r>
    </w:p>
    <w:p>
      <w:pPr>
        <w:pStyle w:val="0"/>
        <w:ind w:firstLine="210" w:firstLineChars="100"/>
        <w:rPr>
          <w:rFonts w:hint="eastAsia"/>
        </w:rPr>
      </w:pPr>
      <w:r>
        <w:rPr>
          <w:rFonts w:hint="eastAsia"/>
        </w:rPr>
        <w:t>高知県内においても各学校に配置されていますが、特に郡部においては一人の医師が複数の学校を担当としていることが多く、また学校眼科医や学校耳鼻咽喉科医はそもそも配置がされていない学校も多い状況です。</w:t>
      </w:r>
    </w:p>
    <w:p>
      <w:pPr>
        <w:pStyle w:val="0"/>
        <w:ind w:firstLine="210" w:firstLineChars="100"/>
        <w:rPr>
          <w:rFonts w:hint="eastAsia"/>
        </w:rPr>
      </w:pPr>
    </w:p>
    <w:p>
      <w:pPr>
        <w:pStyle w:val="0"/>
        <w:ind w:firstLine="210" w:firstLineChars="100"/>
        <w:rPr>
          <w:rFonts w:hint="eastAsia"/>
        </w:rPr>
      </w:pPr>
      <w:r>
        <w:rPr>
          <w:rFonts w:hint="eastAsia"/>
        </w:rPr>
        <w:object w:dxaOrig="12315" w:dyaOrig="5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style="height:204.55pt;width:450.35pt;" o:allowoverlap="t" filled="f" o:spt="75" type="#_x0000_t75">
            <v:fill/>
            <v:stroke joinstyle="miter"/>
            <v:imagedata o:title="" r:id="rId58"/>
            <o:lock v:ext="edit" aspectratio="t"/>
            <w10:anchorlock/>
          </v:shape>
          <o:OLEObject Type="Embed" ProgID="Excel.Sheet.12" ShapeID="_x0000_s1074" DrawAspect="Content" ObjectID="" r:id="rId59"/>
        </w:object>
      </w:r>
      <w:r>
        <w:rPr>
          <w:rFonts w:hint="eastAsia"/>
          <w:sz w:val="24"/>
        </w:rPr>
        <w:t>（２）予防接種</w:t>
      </w:r>
    </w:p>
    <w:p>
      <w:pPr>
        <w:pStyle w:val="0"/>
        <w:ind w:left="210" w:leftChars="100" w:firstLine="0" w:firstLineChars="0"/>
        <w:rPr>
          <w:rFonts w:hint="eastAsia"/>
        </w:rPr>
      </w:pPr>
      <w:r>
        <w:rPr>
          <w:rFonts w:hint="eastAsia"/>
        </w:rPr>
        <w:t>　予防接種法に基づき各市町村又は広域連合が実施している予防接種は、医療機関によって受けられる予防接種は異なりますが、令和元年</w:t>
      </w:r>
      <w:r>
        <w:rPr>
          <w:rFonts w:hint="eastAsia"/>
        </w:rPr>
        <w:t>10</w:t>
      </w:r>
      <w:r>
        <w:rPr>
          <w:rFonts w:hint="eastAsia"/>
        </w:rPr>
        <w:t>月時点で</w:t>
      </w:r>
      <w:r>
        <w:rPr>
          <w:rFonts w:hint="eastAsia"/>
        </w:rPr>
        <w:t>473</w:t>
      </w:r>
      <w:r>
        <w:rPr>
          <w:rFonts w:hint="eastAsia"/>
        </w:rPr>
        <w:t>医療機関（うち診療所</w:t>
      </w:r>
      <w:r>
        <w:rPr>
          <w:rFonts w:hint="eastAsia"/>
        </w:rPr>
        <w:t>351</w:t>
      </w:r>
      <w:r>
        <w:rPr>
          <w:rFonts w:hint="eastAsia"/>
        </w:rPr>
        <w:t>医療機関）が登録されており、身近な地域で予防接種を受けることが可能となっています。</w:t>
      </w:r>
    </w:p>
    <w:p>
      <w:pPr>
        <w:pStyle w:val="0"/>
        <w:ind w:firstLine="210" w:firstLineChars="100"/>
        <w:rPr>
          <w:rFonts w:hint="eastAsia"/>
        </w:rPr>
      </w:pPr>
      <w:r>
        <w:rPr>
          <w:rFonts w:hint="eastAsia"/>
        </w:rPr>
        <w:object w:dxaOrig="11670" w:dyaOrig="10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5" style="height:377.35pt;width:433.6pt;" o:allowoverlap="t" filled="f" o:spt="75" type="#_x0000_t75">
            <v:fill/>
            <v:stroke joinstyle="miter"/>
            <v:imagedata o:title="" r:id="rId60"/>
            <o:lock v:ext="edit" aspectratio="t"/>
            <w10:anchorlock/>
          </v:shape>
          <o:OLEObject Type="Embed" ProgID="Excel.Sheet.12" ShapeID="_x0000_s1075" DrawAspect="Content" ObjectID="" r:id="rId61"/>
        </w:object>
      </w:r>
    </w:p>
    <w:p>
      <w:pPr>
        <w:pStyle w:val="0"/>
        <w:ind w:leftChars="0" w:firstLine="0" w:firstLineChars="0"/>
        <w:rPr>
          <w:rFonts w:hint="eastAsia"/>
        </w:rPr>
      </w:pPr>
      <w:r>
        <w:rPr>
          <w:rFonts w:hint="eastAsia"/>
          <w:sz w:val="24"/>
        </w:rPr>
        <w:t>（３）産業医</w:t>
      </w:r>
    </w:p>
    <w:p>
      <w:pPr>
        <w:pStyle w:val="0"/>
        <w:ind w:firstLine="210" w:firstLineChars="100"/>
        <w:rPr>
          <w:rFonts w:hint="eastAsia"/>
          <w:u w:val="none" w:color="auto"/>
        </w:rPr>
      </w:pPr>
      <w:r>
        <w:rPr>
          <w:rFonts w:hint="eastAsia"/>
        </w:rPr>
        <w:t>産業医は、事業所において労働者の健康管理等について、専門的な立場から指導・助言を行う医師であり、</w:t>
      </w:r>
      <w:r>
        <w:rPr>
          <w:rFonts w:hint="eastAsia"/>
          <w:u w:val="none" w:color="auto"/>
        </w:rPr>
        <w:t>50</w:t>
      </w:r>
      <w:r>
        <w:rPr>
          <w:rFonts w:hint="eastAsia"/>
          <w:u w:val="none" w:color="auto"/>
        </w:rPr>
        <w:t>人以上の労働者を使用する事業所には</w:t>
      </w:r>
      <w:r>
        <w:rPr>
          <w:rFonts w:hint="eastAsia"/>
          <w:u w:val="none" w:color="auto"/>
        </w:rPr>
        <w:t>1</w:t>
      </w:r>
      <w:r>
        <w:rPr>
          <w:rFonts w:hint="eastAsia"/>
          <w:u w:val="none" w:color="auto"/>
        </w:rPr>
        <w:t>名以上選任をすることや、</w:t>
      </w:r>
      <w:r>
        <w:rPr>
          <w:rFonts w:hint="eastAsia"/>
          <w:u w:val="none" w:color="auto"/>
        </w:rPr>
        <w:t>1000</w:t>
      </w:r>
      <w:r>
        <w:rPr>
          <w:rFonts w:hint="eastAsia"/>
          <w:u w:val="none" w:color="auto"/>
        </w:rPr>
        <w:t>人以上の労働者を使用する事業所には専属の者を選任することなどが義務付けられており、高知労働局においても指導を行っています。一方で、労働者</w:t>
      </w:r>
      <w:r>
        <w:rPr>
          <w:rFonts w:hint="eastAsia"/>
          <w:u w:val="none" w:color="auto"/>
        </w:rPr>
        <w:t>50</w:t>
      </w:r>
      <w:r>
        <w:rPr>
          <w:rFonts w:hint="eastAsia"/>
          <w:u w:val="none" w:color="auto"/>
        </w:rPr>
        <w:t>人未満の小規模な事業所については、産業医を選任することが望ましいとされていますが、選任することができない場合であっても、県下</w:t>
      </w:r>
      <w:r>
        <w:rPr>
          <w:rFonts w:hint="eastAsia"/>
          <w:u w:val="none" w:color="auto"/>
        </w:rPr>
        <w:t>4</w:t>
      </w:r>
      <w:r>
        <w:rPr>
          <w:rFonts w:hint="eastAsia"/>
          <w:u w:val="none" w:color="auto"/>
        </w:rPr>
        <w:t>か所の地域産業保健センターが産業保健総合支援センターと連携し、産業保健に関する相談や個別指導等を提供しています。</w:t>
      </w:r>
    </w:p>
    <w:p>
      <w:pPr>
        <w:pStyle w:val="0"/>
        <w:ind w:firstLine="210" w:firstLineChars="100"/>
        <w:rPr>
          <w:rFonts w:hint="eastAsia"/>
        </w:rPr>
      </w:pPr>
      <w:r>
        <w:rPr>
          <w:rFonts w:hint="eastAsia"/>
          <w:u w:val="none" w:color="auto"/>
        </w:rPr>
        <w:t>なお、県内の産業医のうち</w:t>
      </w:r>
      <w:r>
        <w:rPr>
          <w:rFonts w:hint="eastAsia"/>
        </w:rPr>
        <w:t>県医師会員の産業医は</w:t>
      </w:r>
      <w:r>
        <w:rPr>
          <w:rFonts w:hint="eastAsia"/>
        </w:rPr>
        <w:t>361</w:t>
      </w:r>
      <w:r>
        <w:rPr>
          <w:rFonts w:hint="eastAsia"/>
        </w:rPr>
        <w:t>名となっています。</w:t>
      </w:r>
    </w:p>
    <w:p>
      <w:pPr>
        <w:pStyle w:val="0"/>
        <w:ind w:firstLine="210" w:firstLineChars="100"/>
        <w:rPr>
          <w:rFonts w:hint="eastAsia"/>
        </w:rPr>
      </w:pPr>
      <w:r>
        <w:rPr>
          <w:rFonts w:hint="eastAsia"/>
        </w:rPr>
        <w:object w:dxaOrig="7620" w:dyaOrig="5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6" style="height:181.55pt;width:241.5pt;" o:allowoverlap="t" filled="f" o:spt="75" type="#_x0000_t75">
            <v:fill/>
            <v:stroke joinstyle="miter"/>
            <v:imagedata o:title="" r:id="rId62"/>
            <o:lock v:ext="edit" aspectratio="t"/>
            <w10:anchorlock/>
          </v:shape>
          <o:OLEObject Type="Embed" ProgID="Excel.Sheet.12" ShapeID="_x0000_s1076" DrawAspect="Content" ObjectID="" r:id="rId63"/>
        </w:object>
      </w:r>
    </w:p>
    <w:p>
      <w:pPr>
        <w:pStyle w:val="0"/>
        <w:ind w:firstLine="210" w:firstLineChars="100"/>
        <w:rPr>
          <w:rFonts w:hint="eastAsia"/>
        </w:rPr>
      </w:pPr>
    </w:p>
    <w:p>
      <w:pPr>
        <w:pStyle w:val="0"/>
        <w:ind w:leftChars="0" w:firstLine="0" w:firstLineChars="0"/>
        <w:rPr>
          <w:rFonts w:hint="eastAsia"/>
        </w:rPr>
      </w:pPr>
      <w:r>
        <w:rPr>
          <w:rFonts w:hint="eastAsia"/>
          <w:b w:val="1"/>
          <w:sz w:val="28"/>
        </w:rPr>
        <w:t>第３章　外来医師の偏在状況等について</w:t>
      </w:r>
    </w:p>
    <w:p>
      <w:pPr>
        <w:pStyle w:val="0"/>
        <w:ind w:leftChars="0" w:firstLine="0" w:firstLineChars="0"/>
        <w:rPr>
          <w:rFonts w:hint="eastAsia"/>
        </w:rPr>
      </w:pPr>
    </w:p>
    <w:p>
      <w:pPr>
        <w:pStyle w:val="0"/>
        <w:ind w:leftChars="0" w:firstLine="0" w:firstLineChars="0"/>
        <w:rPr>
          <w:rFonts w:hint="eastAsia"/>
          <w:sz w:val="24"/>
        </w:rPr>
      </w:pPr>
      <w:r>
        <w:rPr>
          <w:rFonts w:hint="eastAsia"/>
          <w:b w:val="1"/>
          <w:sz w:val="24"/>
        </w:rPr>
        <w:t>１　外来医師偏在指標及び外来医師多数区域</w:t>
      </w:r>
    </w:p>
    <w:p>
      <w:pPr>
        <w:pStyle w:val="0"/>
        <w:ind w:firstLine="210" w:firstLineChars="100"/>
        <w:rPr>
          <w:rFonts w:hint="eastAsia"/>
        </w:rPr>
      </w:pPr>
      <w:r>
        <w:rPr>
          <w:rFonts w:hint="eastAsia"/>
        </w:rPr>
        <w:t>地域ごとの外来医療機能の偏在・不足等の客観的な把握を行うため、厚生労働省より診療所の医師の多寡の状況が、外来医師偏在指標として可視化がされ、次の計算式により算出されることとされました。</w:t>
      </w:r>
    </w:p>
    <w:p>
      <w:pPr>
        <w:pStyle w:val="0"/>
        <w:ind w:leftChars="0" w:firstLine="0" w:firstLineChars="0"/>
        <w:rPr>
          <w:rFonts w:hint="eastAsia"/>
        </w:rPr>
      </w:pPr>
      <w:r>
        <w:rPr>
          <w:rFonts w:hint="eastAsia"/>
        </w:rPr>
        <w:drawing>
          <wp:anchor simplePos="0" relativeHeight="67" behindDoc="0" locked="0" layoutInCell="1" hidden="0" allowOverlap="1">
            <wp:simplePos x="0" y="0"/>
            <wp:positionH relativeFrom="column">
              <wp:posOffset>-57150</wp:posOffset>
            </wp:positionH>
            <wp:positionV relativeFrom="paragraph">
              <wp:posOffset>908685</wp:posOffset>
            </wp:positionV>
            <wp:extent cx="6235700" cy="1978660"/>
            <wp:effectExtent l="0" t="0" r="0" b="0"/>
            <wp:wrapNone/>
            <wp:docPr id="1077" name="オブジェクト 75"/>
            <a:graphic xmlns:a="http://schemas.openxmlformats.org/drawingml/2006/main">
              <a:graphicData uri="http://schemas.openxmlformats.org/drawingml/2006/picture">
                <pic:pic xmlns:pic="http://schemas.openxmlformats.org/drawingml/2006/picture">
                  <pic:nvPicPr>
                    <pic:cNvPr id="1077" name="オブジェクト 75"/>
                    <pic:cNvPicPr>
                      <a:picLocks noChangeAspect="1"/>
                    </pic:cNvPicPr>
                  </pic:nvPicPr>
                  <pic:blipFill>
                    <a:blip r:embed="rId64"/>
                    <a:stretch>
                      <a:fillRect/>
                    </a:stretch>
                  </pic:blipFill>
                  <pic:spPr>
                    <a:xfrm>
                      <a:off x="0" y="0"/>
                      <a:ext cx="6235700" cy="1978660"/>
                    </a:xfrm>
                    <a:prstGeom prst="rect">
                      <a:avLst/>
                    </a:prstGeom>
                    <a:noFill/>
                    <a:ln>
                      <a:miter/>
                    </a:ln>
                  </pic:spPr>
                </pic:pic>
              </a:graphicData>
            </a:graphic>
          </wp:anchor>
        </w:drawing>
      </w:r>
      <w:r>
        <w:rPr>
          <w:rFonts w:hint="eastAsia"/>
        </w:rPr>
        <w:drawing>
          <wp:inline distT="0" distB="0" distL="203200" distR="203200">
            <wp:extent cx="5691505" cy="788035"/>
            <wp:effectExtent l="0" t="0" r="0" b="0"/>
            <wp:docPr id="1078" name="オブジェクト 0"/>
            <a:graphic xmlns:a="http://schemas.openxmlformats.org/drawingml/2006/main">
              <a:graphicData uri="http://schemas.openxmlformats.org/drawingml/2006/picture">
                <pic:pic xmlns:pic="http://schemas.openxmlformats.org/drawingml/2006/picture">
                  <pic:nvPicPr>
                    <pic:cNvPr id="1078" name="オブジェクト 0"/>
                    <pic:cNvPicPr>
                      <a:picLocks noChangeAspect="1"/>
                    </pic:cNvPicPr>
                  </pic:nvPicPr>
                  <pic:blipFill>
                    <a:blip r:embed="rId65"/>
                    <a:stretch>
                      <a:fillRect/>
                    </a:stretch>
                  </pic:blipFill>
                  <pic:spPr>
                    <a:xfrm>
                      <a:off x="0" y="0"/>
                      <a:ext cx="5691505" cy="788035"/>
                    </a:xfrm>
                    <a:prstGeom prst="rect">
                      <a:avLst/>
                    </a:prstGeom>
                  </pic:spPr>
                </pic:pic>
              </a:graphicData>
            </a:graphic>
          </wp:inline>
        </w:drawing>
      </w:r>
    </w:p>
    <w:p>
      <w:pPr>
        <w:pStyle w:val="0"/>
        <w:ind w:leftChars="0" w:firstLine="0" w:firstLineChars="0"/>
        <w:rPr>
          <w:rFonts w:hint="eastAsia"/>
        </w:rPr>
      </w:pPr>
      <w:r>
        <w:rPr>
          <w:rFonts w:hint="eastAsia"/>
        </w:rPr>
        <mc:AlternateContent>
          <mc:Choice Requires="wps">
            <w:drawing>
              <wp:anchor distT="0" distB="0" distL="71755" distR="71755" simplePos="0" relativeHeight="37" behindDoc="0" locked="0" layoutInCell="1" hidden="0" allowOverlap="1">
                <wp:simplePos x="0" y="0"/>
                <wp:positionH relativeFrom="column">
                  <wp:posOffset>13970</wp:posOffset>
                </wp:positionH>
                <wp:positionV relativeFrom="paragraph">
                  <wp:posOffset>55880</wp:posOffset>
                </wp:positionV>
                <wp:extent cx="6653530" cy="479425"/>
                <wp:effectExtent l="0" t="0" r="635" b="635"/>
                <wp:wrapNone/>
                <wp:docPr id="1079" name="オブジェクト 0"/>
                <a:graphic xmlns:a="http://schemas.openxmlformats.org/drawingml/2006/main">
                  <a:graphicData uri="http://schemas.microsoft.com/office/word/2010/wordprocessingShape">
                    <wps:wsp>
                      <wps:cNvPr id="1079" name="オブジェクト 0"/>
                      <wps:cNvSpPr txBox="1"/>
                      <wps:spPr>
                        <a:xfrm>
                          <a:off x="0" y="0"/>
                          <a:ext cx="6653530" cy="47942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4.4000000000000004pt;mso-position-vertical-relative:text;mso-position-horizontal-relative:text;position:absolute;height:37.75pt;mso-wrap-distance-top:0pt;width:523.9pt;mso-wrap-distance-left:5.65pt;margin-left:1.1000000000000001pt;z-index:37;" o:spid="_x0000_s1079"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p>
                  </w:txbxContent>
                </v:textbox>
                <v:imagedata o:title=""/>
                <w10:wrap type="none" anchorx="text" anchory="text"/>
              </v:shape>
            </w:pict>
          </mc:Fallback>
        </mc:AlternateContent>
      </w:r>
    </w:p>
    <w:p>
      <w:pPr>
        <w:pStyle w:val="0"/>
        <w:ind w:leftChars="0" w:firstLine="0" w:firstLineChars="0"/>
        <w:rPr>
          <w:rFonts w:hint="eastAsia"/>
        </w:rPr>
      </w:pPr>
    </w:p>
    <w:p>
      <w:pPr>
        <w:pStyle w:val="0"/>
        <w:ind w:leftChars="0" w:firstLine="0" w:firstLineChars="0"/>
        <w:rPr>
          <w:rFonts w:hint="eastAsia"/>
        </w:rPr>
      </w:pPr>
    </w:p>
    <w:p>
      <w:pPr>
        <w:pStyle w:val="0"/>
        <w:ind w:leftChars="0" w:firstLine="0" w:firstLineChars="0"/>
        <w:rPr>
          <w:rFonts w:hint="eastAsia"/>
        </w:rPr>
      </w:pPr>
    </w:p>
    <w:p>
      <w:pPr>
        <w:pStyle w:val="0"/>
        <w:ind w:leftChars="0" w:firstLine="0" w:firstLineChars="0"/>
        <w:rPr>
          <w:rFonts w:hint="eastAsia"/>
        </w:rPr>
      </w:pPr>
    </w:p>
    <w:p>
      <w:pPr>
        <w:pStyle w:val="0"/>
        <w:ind w:leftChars="0" w:firstLine="0" w:firstLineChars="0"/>
        <w:rPr>
          <w:rFonts w:hint="eastAsia"/>
        </w:rPr>
      </w:pPr>
    </w:p>
    <w:p>
      <w:pPr>
        <w:pStyle w:val="0"/>
        <w:ind w:firstLine="210" w:firstLineChars="100"/>
        <w:rPr>
          <w:rFonts w:hint="eastAsia"/>
        </w:rPr>
      </w:pPr>
      <w:r>
        <w:rPr>
          <w:rFonts w:hint="eastAsia"/>
        </w:rPr>
        <w:t>また、全国で外来医師偏在指標が上位</w:t>
      </w:r>
      <w:r>
        <w:rPr>
          <w:rFonts w:hint="eastAsia"/>
        </w:rPr>
        <w:t>33.3%</w:t>
      </w:r>
      <w:r>
        <w:rPr>
          <w:rFonts w:hint="eastAsia"/>
        </w:rPr>
        <w:t>以内の二次医療圏は外来医師多数区域として設定されることとされ、この基準に当てはめると、高知県においては、安芸、中央、高幡の３つの医療圏が上位</w:t>
      </w:r>
      <w:r>
        <w:rPr>
          <w:rFonts w:hint="eastAsia"/>
        </w:rPr>
        <w:t>33.3%</w:t>
      </w:r>
      <w:r>
        <w:rPr>
          <w:rFonts w:hint="eastAsia"/>
        </w:rPr>
        <w:t>以内の外来医師多数区域となっています。</w:t>
      </w:r>
    </w:p>
    <w:p>
      <w:pPr>
        <w:pStyle w:val="0"/>
        <w:ind w:firstLine="210" w:firstLineChars="100"/>
        <w:rPr>
          <w:rFonts w:hint="eastAsia"/>
        </w:rPr>
      </w:pPr>
    </w:p>
    <w:p>
      <w:pPr>
        <w:pStyle w:val="0"/>
        <w:ind w:leftChars="0" w:firstLine="0" w:firstLineChars="0"/>
        <w:rPr>
          <w:rFonts w:hint="eastAsia"/>
        </w:rPr>
      </w:pPr>
      <w:r>
        <w:rPr>
          <w:rFonts w:hint="eastAsia"/>
        </w:rPr>
        <w:object w:dxaOrig="12465" w:dyaOrig="2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0" style="height:100.65pt;width:480.85pt;" o:allowoverlap="t" filled="f" o:spt="75" type="#_x0000_t75">
            <v:fill/>
            <v:stroke joinstyle="miter"/>
            <v:imagedata o:title="" r:id="rId66"/>
            <o:lock v:ext="edit" aspectratio="t"/>
            <w10:anchorlock/>
          </v:shape>
          <o:OLEObject Type="Embed" ProgID="Excel.Sheet.12" ShapeID="_x0000_s1080" DrawAspect="Content" ObjectID="" r:id="rId67"/>
        </w:object>
      </w:r>
    </w:p>
    <w:p>
      <w:pPr>
        <w:pStyle w:val="0"/>
        <w:ind w:left="0" w:leftChars="0" w:firstLine="227" w:firstLineChars="100"/>
        <w:rPr>
          <w:rFonts w:hint="eastAsia"/>
        </w:rPr>
      </w:pPr>
      <w:r>
        <w:rPr>
          <w:rFonts w:hint="eastAsia"/>
        </w:rPr>
        <w:t>安芸、高幡の両医療圏の外来医師偏在指標が高い理由は、患者が中央医療圏に流出していることにより計算式の分母である患者数が減少したことがその要因であり、患者の流出入を反映しない場合の両医療圏の外来医師偏在指標は全国下位となっています。</w:t>
      </w:r>
    </w:p>
    <w:p>
      <w:pPr>
        <w:pStyle w:val="0"/>
        <w:ind w:left="0" w:leftChars="0" w:firstLine="210" w:firstLineChars="100"/>
        <w:rPr>
          <w:rFonts w:hint="eastAsia"/>
        </w:rPr>
      </w:pPr>
      <w:r>
        <w:rPr>
          <w:rFonts w:hint="eastAsia"/>
        </w:rPr>
        <w:t>このような状況の中で患者は中央医療圏に流出をしており、また、両医療圏の新規開設は少なく、診療所数は減少傾向の中で、患者の流出入をそのまま反映した外来医師偏在指標を用いて安芸、高幡の医療圏を外来医師多数区域と位置づけることは、身近な地域で提供させるべきである外来医療との方向性と合致しません。このことから、中央医療圏のみを外来医師多数区域と位置づけます。</w:t>
      </w:r>
    </w:p>
    <w:p>
      <w:pPr>
        <w:pStyle w:val="0"/>
        <w:ind w:firstLine="210" w:firstLineChars="100"/>
        <w:rPr>
          <w:rFonts w:hint="eastAsia"/>
        </w:rPr>
      </w:pPr>
      <w:r>
        <w:rPr>
          <w:rFonts w:hint="eastAsia"/>
        </w:rPr>
        <w:t>外来医師多数区域と位置づける中央医療圏においては、</w:t>
      </w:r>
      <w:r>
        <w:rPr>
          <w:rFonts w:hint="eastAsia"/>
          <w:u w:val="none" w:color="auto"/>
        </w:rPr>
        <w:t>診療所の新規開設予定者は、不足している外来医療機能を担うことについて検討し、開設許可申請又は開設届出時に併せてその検討結果を届け出てもらうこととします。また、その結果については協議の場（地域医療構想調整会議）で確認等を行うことと</w:t>
      </w:r>
      <w:r>
        <w:rPr>
          <w:rFonts w:hint="eastAsia"/>
        </w:rPr>
        <w:t>します。　</w:t>
      </w:r>
    </w:p>
    <w:p>
      <w:pPr>
        <w:pStyle w:val="0"/>
        <w:ind w:leftChars="0" w:firstLine="0" w:firstLineChars="0"/>
        <w:rPr>
          <w:rFonts w:hint="eastAsia"/>
        </w:rPr>
      </w:pPr>
    </w:p>
    <w:p>
      <w:pPr>
        <w:pStyle w:val="0"/>
        <w:ind w:leftChars="0" w:firstLine="0" w:firstLineChars="0"/>
        <w:rPr>
          <w:rFonts w:hint="eastAsia"/>
        </w:rPr>
      </w:pPr>
    </w:p>
    <w:p>
      <w:pPr>
        <w:pStyle w:val="0"/>
        <w:ind w:leftChars="0" w:firstLine="0" w:firstLineChars="0"/>
        <w:rPr>
          <w:rFonts w:hint="eastAsia"/>
          <w:sz w:val="22"/>
        </w:rPr>
      </w:pPr>
      <w:r>
        <w:rPr>
          <w:rFonts w:hint="eastAsia"/>
          <w:b w:val="1"/>
          <w:sz w:val="24"/>
        </w:rPr>
        <w:t>２　地域で不足する機能</w:t>
      </w:r>
    </w:p>
    <w:p>
      <w:pPr>
        <w:pStyle w:val="0"/>
        <w:ind w:left="0" w:leftChars="0" w:firstLine="210" w:firstLineChars="100"/>
        <w:rPr>
          <w:rFonts w:hint="eastAsia"/>
        </w:rPr>
      </w:pPr>
      <w:r>
        <w:rPr>
          <w:rFonts w:hint="eastAsia"/>
        </w:rPr>
        <w:t>全ての圏域において不足する外来医療機能は初期救急医療、在宅医療、公衆衛生とします。</w:t>
      </w:r>
    </w:p>
    <w:p>
      <w:pPr>
        <w:pStyle w:val="0"/>
        <w:ind w:left="0" w:leftChars="0" w:firstLine="210" w:firstLineChars="100"/>
        <w:rPr>
          <w:rFonts w:hint="eastAsia"/>
        </w:rPr>
      </w:pPr>
      <w:r>
        <w:rPr>
          <w:rFonts w:hint="eastAsia"/>
        </w:rPr>
        <w:t>このうち、安芸医療圏・高幡医療圏・幡多医療圏においては診療所が少なく、新規開設も限られる中で、外来医療機能は病院との役割分担のもとこれまで維持されてきているところですが、今後、需要の増又は医師の高齢化等による担い手の不足等が進むと予想されるため、初期救急医療、在宅医療、公衆衛生を計画上「不足する医療機能」に位置づけます。</w:t>
      </w:r>
    </w:p>
    <w:p>
      <w:pPr>
        <w:pStyle w:val="0"/>
        <w:ind w:left="0" w:leftChars="0" w:firstLine="210" w:firstLineChars="100"/>
        <w:rPr>
          <w:rFonts w:hint="eastAsia"/>
        </w:rPr>
      </w:pPr>
      <w:r>
        <w:rPr>
          <w:rFonts w:hint="eastAsia"/>
        </w:rPr>
        <w:t>また、中央医療圏においては、県下の</w:t>
      </w:r>
      <w:r>
        <w:rPr>
          <w:rFonts w:hint="eastAsia"/>
        </w:rPr>
        <w:t>70%</w:t>
      </w:r>
      <w:r>
        <w:rPr>
          <w:rFonts w:hint="eastAsia"/>
        </w:rPr>
        <w:t>以上の診療所が集中していますが、高知市サブ圏域が県下の</w:t>
      </w:r>
      <w:r>
        <w:rPr>
          <w:rFonts w:hint="eastAsia"/>
        </w:rPr>
        <w:t>50%</w:t>
      </w:r>
      <w:r>
        <w:rPr>
          <w:rFonts w:hint="eastAsia"/>
        </w:rPr>
        <w:t>弱の診療所が開設している一方で、周辺部のサブ圏域では診療所が少なく新規開設が限られており、その中でこれまで外来医療機能は、病院との役割分担のもとこれまで維持されてきているところです。今後、需要の増又は医師の高齢化等による担い手の不足等が進むと予想されるため、初期救急医療、在宅医療、公衆衛生を計画上「不足する医療機能」に位置づけます。</w:t>
      </w:r>
    </w:p>
    <w:p>
      <w:pPr>
        <w:pStyle w:val="0"/>
        <w:ind w:left="0" w:leftChars="0" w:firstLine="210" w:firstLineChars="100"/>
        <w:rPr>
          <w:rFonts w:hint="eastAsia"/>
        </w:rPr>
      </w:pPr>
      <w:r>
        <w:rPr>
          <w:rFonts w:hint="eastAsia"/>
        </w:rPr>
        <w:t>外来医師多数区域と位置づける中央医療圏において新規に診療所を開設する際には、初期救急医療、在宅医療、公衆衛生の医療機能について担う</w:t>
      </w:r>
      <w:r>
        <w:rPr>
          <w:rFonts w:hint="eastAsia"/>
          <w:u w:val="none" w:color="auto"/>
        </w:rPr>
        <w:t>ことを検討してもらうこととしますが、具体的には下記のような役割を担うものとします。</w:t>
      </w:r>
    </w:p>
    <w:p>
      <w:pPr>
        <w:pStyle w:val="0"/>
        <w:ind w:left="0" w:leftChars="0" w:firstLine="210" w:firstLineChars="100"/>
        <w:rPr>
          <w:rFonts w:hint="eastAsia"/>
        </w:rPr>
      </w:pPr>
    </w:p>
    <w:p>
      <w:pPr>
        <w:pStyle w:val="0"/>
        <w:ind w:left="0" w:leftChars="0" w:firstLine="210" w:firstLineChars="100"/>
        <w:rPr>
          <w:rFonts w:hint="eastAsia"/>
        </w:rPr>
      </w:pPr>
      <w:r>
        <w:rPr>
          <w:rFonts w:hint="eastAsia"/>
        </w:rPr>
        <mc:AlternateContent>
          <mc:Choice Requires="wps">
            <w:drawing>
              <wp:anchor distT="0" distB="0" distL="203200" distR="203200" simplePos="0" relativeHeight="38" behindDoc="0" locked="0" layoutInCell="1" hidden="0" allowOverlap="1">
                <wp:simplePos x="0" y="0"/>
                <wp:positionH relativeFrom="column">
                  <wp:posOffset>42545</wp:posOffset>
                </wp:positionH>
                <wp:positionV relativeFrom="paragraph">
                  <wp:posOffset>63500</wp:posOffset>
                </wp:positionV>
                <wp:extent cx="6000750" cy="1066800"/>
                <wp:effectExtent l="635" t="635" r="29845" b="10795"/>
                <wp:wrapNone/>
                <wp:docPr id="1081" name="オブジェクト 0"/>
                <a:graphic xmlns:a="http://schemas.openxmlformats.org/drawingml/2006/main">
                  <a:graphicData uri="http://schemas.microsoft.com/office/word/2010/wordprocessingShape">
                    <wps:wsp>
                      <wps:cNvPr id="1081" name="オブジェクト 0"/>
                      <wps:cNvSpPr/>
                      <wps:spPr>
                        <a:xfrm>
                          <a:off x="0" y="0"/>
                          <a:ext cx="6000750" cy="1066800"/>
                        </a:xfrm>
                        <a:prstGeom prst="rect">
                          <a:avLst/>
                        </a:prstGeom>
                        <a:noFill/>
                        <a:ln w="952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5pt;mso-position-vertical-relative:text;mso-position-horizontal-relative:text;position:absolute;height:84pt;mso-wrap-distance-top:0pt;width:472.5pt;mso-wrap-distance-left:16pt;margin-left:3.35pt;z-index:38;" o:spid="_x0000_s1081" o:allowincell="t" o:allowoverlap="t" filled="f" stroked="t" strokecolor="#000000 [3213]" strokeweight="0.75pt" o:spt="1">
                <v:fill/>
                <v:stroke linestyle="single" miterlimit="8" endcap="flat" dashstyle="solid" filltype="solid"/>
                <v:textbox style="layout-flow:horizontal;"/>
                <v:imagedata o:title=""/>
                <w10:wrap type="none" anchorx="text" anchory="text"/>
              </v:rect>
            </w:pict>
          </mc:Fallback>
        </mc:AlternateContent>
      </w:r>
    </w:p>
    <w:p>
      <w:pPr>
        <w:pStyle w:val="0"/>
        <w:ind w:firstLine="420" w:firstLineChars="200"/>
        <w:rPr>
          <w:rFonts w:hint="eastAsia"/>
        </w:rPr>
      </w:pPr>
      <w:r>
        <w:rPr>
          <w:rFonts w:hint="eastAsia"/>
        </w:rPr>
        <w:t>初期救急：在宅当番医・休日夜間急患センター・平日夜間小児急患センターへの参加</w:t>
      </w:r>
    </w:p>
    <w:p>
      <w:pPr>
        <w:pStyle w:val="0"/>
        <w:ind w:firstLine="420" w:firstLineChars="200"/>
        <w:rPr>
          <w:rFonts w:hint="eastAsia"/>
        </w:rPr>
      </w:pPr>
      <w:r>
        <w:rPr>
          <w:rFonts w:hint="eastAsia"/>
        </w:rPr>
        <w:t>在宅医療：訪問診療、往診の実施</w:t>
      </w:r>
    </w:p>
    <w:p>
      <w:pPr>
        <w:pStyle w:val="0"/>
        <w:ind w:firstLine="420" w:firstLineChars="200"/>
        <w:rPr>
          <w:rFonts w:hint="eastAsia"/>
        </w:rPr>
      </w:pPr>
      <w:r>
        <w:rPr>
          <w:rFonts w:hint="eastAsia"/>
        </w:rPr>
        <w:t>公衆衛生：学校医、産業医、予防接種等への協力</w:t>
      </w:r>
    </w:p>
    <w:p>
      <w:pPr>
        <w:pStyle w:val="0"/>
        <w:spacing w:line="0" w:lineRule="atLeast"/>
        <w:jc w:val="left"/>
        <w:rPr>
          <w:rFonts w:hint="eastAsia"/>
          <w:b w:val="1"/>
          <w:sz w:val="24"/>
        </w:rPr>
      </w:pPr>
    </w:p>
    <w:p>
      <w:pPr>
        <w:pStyle w:val="0"/>
        <w:spacing w:line="0" w:lineRule="atLeast"/>
        <w:jc w:val="left"/>
        <w:rPr>
          <w:rFonts w:hint="eastAsia"/>
          <w:b w:val="1"/>
          <w:sz w:val="24"/>
        </w:rPr>
      </w:pPr>
    </w:p>
    <w:p>
      <w:pPr>
        <w:pStyle w:val="0"/>
        <w:spacing w:line="0" w:lineRule="atLeast"/>
        <w:jc w:val="left"/>
        <w:rPr>
          <w:rFonts w:hint="eastAsia"/>
          <w:b w:val="1"/>
          <w:sz w:val="24"/>
        </w:rPr>
      </w:pPr>
    </w:p>
    <w:p>
      <w:pPr>
        <w:pStyle w:val="0"/>
        <w:spacing w:line="0" w:lineRule="atLeast"/>
        <w:jc w:val="left"/>
        <w:rPr>
          <w:rFonts w:hint="eastAsia"/>
          <w:b w:val="1"/>
          <w:sz w:val="24"/>
        </w:rPr>
      </w:pPr>
    </w:p>
    <w:p>
      <w:pPr>
        <w:pStyle w:val="0"/>
        <w:spacing w:line="0" w:lineRule="atLeast"/>
        <w:jc w:val="left"/>
        <w:rPr>
          <w:rFonts w:hint="eastAsia"/>
          <w:b w:val="1"/>
          <w:sz w:val="24"/>
        </w:rPr>
      </w:pPr>
    </w:p>
    <w:p>
      <w:pPr>
        <w:pStyle w:val="0"/>
        <w:ind w:leftChars="0" w:firstLine="0" w:firstLineChars="0"/>
        <w:rPr>
          <w:rFonts w:hint="eastAsia"/>
          <w:b w:val="1"/>
        </w:rPr>
      </w:pPr>
      <w:r>
        <w:rPr>
          <w:rFonts w:hint="eastAsia"/>
          <w:b w:val="1"/>
          <w:sz w:val="28"/>
        </w:rPr>
        <w:t>第４章　外来医療体制の確保に向けた取組について</w:t>
      </w:r>
    </w:p>
    <w:p>
      <w:pPr>
        <w:pStyle w:val="0"/>
        <w:ind w:leftChars="0" w:firstLine="0" w:firstLineChars="0"/>
        <w:rPr>
          <w:rFonts w:hint="eastAsia"/>
          <w:b w:val="1"/>
        </w:rPr>
      </w:pPr>
    </w:p>
    <w:p>
      <w:pPr>
        <w:pStyle w:val="0"/>
        <w:ind w:leftChars="0" w:firstLine="0" w:firstLineChars="0"/>
        <w:rPr>
          <w:rFonts w:hint="eastAsia"/>
          <w:b w:val="1"/>
          <w:sz w:val="24"/>
        </w:rPr>
      </w:pPr>
      <w:r>
        <w:rPr>
          <w:rFonts w:hint="eastAsia"/>
          <w:b w:val="1"/>
          <w:sz w:val="24"/>
        </w:rPr>
        <w:t>１　協議の場の設置及び協議内容</w:t>
      </w:r>
    </w:p>
    <w:p>
      <w:pPr>
        <w:pStyle w:val="0"/>
        <w:ind w:left="0" w:leftChars="0" w:firstLine="210" w:firstLineChars="100"/>
        <w:rPr>
          <w:rFonts w:hint="eastAsia"/>
        </w:rPr>
      </w:pPr>
      <w:r>
        <w:rPr>
          <w:rFonts w:hint="eastAsia"/>
        </w:rPr>
        <w:t>国ガイドラインにおいて、地域毎に外来医療機能について協議を行う場を設けることとされており、本県ではすでに各圏域で設置している地域医療構想調整会議</w:t>
      </w:r>
      <w:r>
        <w:rPr>
          <w:rFonts w:hint="eastAsia"/>
          <w:u w:val="none" w:color="auto"/>
        </w:rPr>
        <w:t>において、</w:t>
      </w:r>
      <w:r>
        <w:rPr>
          <w:rFonts w:hint="eastAsia"/>
        </w:rPr>
        <w:t>協議を行うこととします。</w:t>
      </w:r>
    </w:p>
    <w:p>
      <w:pPr>
        <w:pStyle w:val="0"/>
        <w:ind w:left="0" w:leftChars="0" w:firstLine="210" w:firstLineChars="100"/>
        <w:rPr>
          <w:rFonts w:hint="eastAsia"/>
        </w:rPr>
      </w:pPr>
      <w:r>
        <w:rPr>
          <w:rFonts w:hint="eastAsia"/>
        </w:rPr>
        <w:t>この協議の場では、以下の事項等について、協議を行います。</w:t>
      </w:r>
    </w:p>
    <w:p>
      <w:pPr>
        <w:pStyle w:val="0"/>
        <w:ind w:left="0" w:leftChars="0" w:firstLine="210" w:firstLineChars="100"/>
        <w:rPr>
          <w:rFonts w:hint="eastAsia"/>
        </w:rPr>
      </w:pPr>
      <w:r>
        <w:rPr>
          <w:rFonts w:hint="eastAsia"/>
        </w:rPr>
        <mc:AlternateContent>
          <mc:Choice Requires="wps">
            <w:drawing>
              <wp:anchor distT="0" distB="0" distL="203200" distR="203200" simplePos="0" relativeHeight="39" behindDoc="0" locked="0" layoutInCell="1" hidden="0" allowOverlap="1">
                <wp:simplePos x="0" y="0"/>
                <wp:positionH relativeFrom="column">
                  <wp:posOffset>20320</wp:posOffset>
                </wp:positionH>
                <wp:positionV relativeFrom="paragraph">
                  <wp:posOffset>111125</wp:posOffset>
                </wp:positionV>
                <wp:extent cx="5876925" cy="1409700"/>
                <wp:effectExtent l="635" t="635" r="29845" b="10795"/>
                <wp:wrapNone/>
                <wp:docPr id="1082" name="オブジェクト 0"/>
                <a:graphic xmlns:a="http://schemas.openxmlformats.org/drawingml/2006/main">
                  <a:graphicData uri="http://schemas.microsoft.com/office/word/2010/wordprocessingShape">
                    <wps:wsp>
                      <wps:cNvPr id="1082" name="オブジェクト 0"/>
                      <wps:cNvSpPr/>
                      <wps:spPr>
                        <a:xfrm>
                          <a:off x="0" y="0"/>
                          <a:ext cx="5876925" cy="1409700"/>
                        </a:xfrm>
                        <a:prstGeom prst="rect">
                          <a:avLst/>
                        </a:prstGeom>
                        <a:noFill/>
                        <a:ln w="952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8.75pt;mso-position-vertical-relative:text;mso-position-horizontal-relative:text;position:absolute;height:111pt;mso-wrap-distance-top:0pt;width:462.75pt;mso-wrap-distance-left:16pt;margin-left:1.6pt;z-index:39;" o:spid="_x0000_s1082" o:allowincell="t" o:allowoverlap="t" filled="f" stroked="t" strokecolor="#000000 [3213]" strokeweight="0.75pt" o:spt="1">
                <v:fill/>
                <v:stroke linestyle="single" miterlimit="8" endcap="flat" dashstyle="solid" filltype="solid"/>
                <v:textbox style="layout-flow:horizontal;"/>
                <v:imagedata o:title=""/>
                <w10:wrap type="none" anchorx="text" anchory="text"/>
              </v:rect>
            </w:pict>
          </mc:Fallback>
        </mc:AlternateContent>
      </w:r>
    </w:p>
    <w:p>
      <w:pPr>
        <w:pStyle w:val="0"/>
        <w:ind w:left="0" w:leftChars="0" w:firstLine="210" w:firstLineChars="100"/>
        <w:rPr>
          <w:rFonts w:hint="eastAsia"/>
        </w:rPr>
      </w:pPr>
      <w:r>
        <w:rPr>
          <w:rFonts w:hint="eastAsia"/>
        </w:rPr>
        <w:t>・地域でどのような外来医療機能が不足しているかの確認</w:t>
      </w:r>
    </w:p>
    <w:p>
      <w:pPr>
        <w:pStyle w:val="0"/>
        <w:ind w:left="454" w:leftChars="100" w:hanging="227" w:hangingChars="100"/>
        <w:rPr>
          <w:rFonts w:hint="eastAsia"/>
          <w:u w:val="none" w:color="auto"/>
        </w:rPr>
      </w:pPr>
      <w:r>
        <w:rPr>
          <w:rFonts w:hint="eastAsia"/>
        </w:rPr>
        <w:t>・外来医師多数区域においては、新規</w:t>
      </w:r>
      <w:r>
        <w:rPr>
          <w:rFonts w:hint="eastAsia"/>
          <w:u w:val="none" w:color="auto"/>
        </w:rPr>
        <w:t>開設者が地域で不足している外来医療機能を担うことの検討結果の確認</w:t>
      </w:r>
    </w:p>
    <w:p>
      <w:pPr>
        <w:pStyle w:val="0"/>
        <w:ind w:left="454" w:leftChars="100" w:hanging="227" w:hangingChars="100"/>
        <w:rPr>
          <w:rFonts w:hint="eastAsia"/>
        </w:rPr>
      </w:pPr>
      <w:r>
        <w:rPr>
          <w:rFonts w:hint="eastAsia"/>
          <w:u w:val="none" w:color="auto"/>
        </w:rPr>
        <w:t>・新規開設者が地域で不足する外来医療機能を担わないこととしている場合には、新規開設者にその理由を確認し、必要に応じて出席を依頼のうえ協議を行う</w:t>
      </w:r>
    </w:p>
    <w:p>
      <w:pPr>
        <w:pStyle w:val="0"/>
        <w:ind w:left="454" w:leftChars="100" w:hanging="227" w:hangingChars="100"/>
        <w:rPr>
          <w:rFonts w:hint="eastAsia"/>
        </w:rPr>
      </w:pPr>
    </w:p>
    <w:p>
      <w:pPr>
        <w:pStyle w:val="0"/>
        <w:ind w:left="210" w:leftChars="100" w:firstLine="210" w:firstLineChars="100"/>
        <w:rPr>
          <w:rFonts w:hint="eastAsia"/>
          <w:u w:val="none" w:color="auto"/>
        </w:rPr>
      </w:pPr>
      <w:r>
        <w:rPr>
          <w:rFonts w:hint="eastAsia"/>
        </w:rPr>
        <w:t>この協議の場において、協議の構成員と出席</w:t>
      </w:r>
      <w:r>
        <w:rPr>
          <w:rFonts w:hint="eastAsia"/>
          <w:u w:val="none" w:color="auto"/>
        </w:rPr>
        <w:t>の依頼を受けた当該新規開設者の間で協議を行い、その協議結果を公表することとします。ただし、協議の簡素化のため、協議の形態については書面での開催とするなど柔軟な対応を行うこともあります。</w:t>
      </w:r>
    </w:p>
    <w:p>
      <w:pPr>
        <w:pStyle w:val="0"/>
        <w:ind w:left="210" w:leftChars="100" w:firstLine="210" w:firstLineChars="100"/>
        <w:rPr>
          <w:rFonts w:hint="eastAsia"/>
          <w:u w:val="thick" w:color="auto"/>
        </w:rPr>
      </w:pPr>
      <w:r>
        <w:rPr>
          <w:rFonts w:hint="eastAsia"/>
          <w:u w:val="none" w:color="auto"/>
        </w:rPr>
        <w:t>なお、不足する外来医療機能を担わない場合や協議の場での結果によって診療所の開設が妨げられるものではありません。</w:t>
      </w:r>
    </w:p>
    <w:p>
      <w:pPr>
        <w:pStyle w:val="0"/>
        <w:ind w:left="0" w:leftChars="0" w:firstLine="0" w:firstLineChars="0"/>
        <w:rPr>
          <w:rFonts w:hint="eastAsia"/>
        </w:rPr>
      </w:pPr>
    </w:p>
    <w:p>
      <w:pPr>
        <w:pStyle w:val="0"/>
        <w:spacing w:line="0" w:lineRule="atLeast"/>
        <w:jc w:val="left"/>
        <w:rPr>
          <w:rFonts w:hint="eastAsia"/>
          <w:b w:val="1"/>
          <w:sz w:val="24"/>
        </w:rPr>
      </w:pPr>
    </w:p>
    <w:p>
      <w:pPr>
        <w:pStyle w:val="0"/>
        <w:spacing w:line="0" w:lineRule="atLeast"/>
        <w:jc w:val="left"/>
        <w:rPr>
          <w:rFonts w:hint="eastAsia"/>
          <w:b w:val="1"/>
          <w:sz w:val="24"/>
        </w:rPr>
      </w:pPr>
      <w:r>
        <w:rPr>
          <w:rFonts w:hint="eastAsia"/>
        </w:rPr>
        <w:drawing>
          <wp:inline distT="0" distB="0" distL="203200" distR="203200">
            <wp:extent cx="5105400" cy="3429000"/>
            <wp:effectExtent l="0" t="0" r="0" b="0"/>
            <wp:docPr id="1083" name="オブジェクト 0"/>
            <a:graphic xmlns:a="http://schemas.openxmlformats.org/drawingml/2006/main">
              <a:graphicData uri="http://schemas.openxmlformats.org/drawingml/2006/picture">
                <pic:pic xmlns:pic="http://schemas.openxmlformats.org/drawingml/2006/picture">
                  <pic:nvPicPr>
                    <pic:cNvPr id="1083" name="オブジェクト 0"/>
                    <pic:cNvPicPr>
                      <a:picLocks noChangeAspect="1"/>
                    </pic:cNvPicPr>
                  </pic:nvPicPr>
                  <pic:blipFill>
                    <a:blip r:embed="rId68"/>
                    <a:stretch>
                      <a:fillRect/>
                    </a:stretch>
                  </pic:blipFill>
                  <pic:spPr>
                    <a:xfrm>
                      <a:off x="0" y="0"/>
                      <a:ext cx="5105400" cy="3429000"/>
                    </a:xfrm>
                    <a:prstGeom prst="rect">
                      <a:avLst/>
                    </a:prstGeom>
                  </pic:spPr>
                </pic:pic>
              </a:graphicData>
            </a:graphic>
          </wp:inline>
        </w:drawing>
      </w:r>
    </w:p>
    <w:p>
      <w:pPr>
        <w:pStyle w:val="0"/>
        <w:spacing w:line="0" w:lineRule="atLeast"/>
        <w:jc w:val="left"/>
        <w:rPr>
          <w:rFonts w:hint="eastAsia"/>
          <w:b w:val="1"/>
          <w:sz w:val="24"/>
        </w:rPr>
      </w:pPr>
    </w:p>
    <w:p>
      <w:pPr>
        <w:pStyle w:val="0"/>
        <w:spacing w:line="0" w:lineRule="atLeast"/>
        <w:jc w:val="left"/>
        <w:rPr>
          <w:rFonts w:hint="eastAsia"/>
          <w:b w:val="1"/>
          <w:sz w:val="24"/>
        </w:rPr>
      </w:pPr>
    </w:p>
    <w:p>
      <w:pPr>
        <w:pStyle w:val="0"/>
        <w:spacing w:line="0" w:lineRule="atLeast"/>
        <w:jc w:val="left"/>
        <w:rPr>
          <w:rFonts w:hint="eastAsia"/>
          <w:b w:val="1"/>
          <w:sz w:val="24"/>
        </w:rPr>
      </w:pPr>
      <w:r>
        <w:rPr>
          <w:rFonts w:hint="eastAsia"/>
          <w:b w:val="1"/>
          <w:sz w:val="24"/>
        </w:rPr>
        <w:t>２　その他の取組</w:t>
      </w:r>
    </w:p>
    <w:p>
      <w:pPr>
        <w:pStyle w:val="0"/>
        <w:ind w:left="0" w:leftChars="0" w:firstLine="227" w:firstLineChars="100"/>
        <w:jc w:val="both"/>
        <w:rPr>
          <w:rFonts w:hint="eastAsia"/>
          <w:b w:val="0"/>
          <w:sz w:val="22"/>
          <w:u w:val="none" w:color="auto"/>
        </w:rPr>
      </w:pPr>
      <w:r>
        <w:rPr>
          <w:rFonts w:hint="eastAsia"/>
          <w:u w:val="none" w:color="auto"/>
        </w:rPr>
        <w:t>協議の場での協議のほか、身近な地域で適切な外来医療が提供されるよう、県などが行っている５疾病５事業や在宅医療などの取り組みによる、診療所、病院、及び地域の関係機関との多職種間の連携体制の構築などにも取り組んでいただけるよう検討してもらうこととします。</w:t>
      </w:r>
    </w:p>
    <w:p>
      <w:pPr>
        <w:pStyle w:val="0"/>
        <w:ind w:left="0" w:leftChars="0" w:firstLine="227" w:firstLineChars="100"/>
        <w:jc w:val="both"/>
        <w:rPr>
          <w:rFonts w:hint="eastAsia"/>
          <w:b w:val="0"/>
          <w:sz w:val="22"/>
          <w:u w:val="none" w:color="auto"/>
        </w:rPr>
      </w:pPr>
      <w:r>
        <w:rPr>
          <w:rFonts w:hint="eastAsia"/>
          <w:u w:val="none" w:color="auto"/>
        </w:rPr>
        <w:t>具体的には「糖尿病重症化予防対策」としての外来看護師を核とした多職種が連携した糖尿病患者への継続的かつ効果的な生活指導体制の構築や、病院と診療所が連携した外来栄養食事指導の推進、「身近な地域での在宅医療の推進対策」としての、ＩＣＴを活用した在宅患者の情報共有システムである高知家＠ラインの普及の推進や、退院支援指針を活用した医師や看護師などの多職種と地域が連携した退院支援体制の仕組みづくりの構築などの取り組みへの協力を検討してもらうこととします。</w:t>
      </w:r>
    </w:p>
    <w:p>
      <w:pPr>
        <w:pStyle w:val="0"/>
        <w:spacing w:line="0" w:lineRule="atLeast"/>
        <w:ind w:firstLine="227" w:firstLineChars="100"/>
        <w:jc w:val="left"/>
        <w:rPr>
          <w:rFonts w:hint="eastAsia"/>
          <w:b w:val="1"/>
          <w:sz w:val="24"/>
        </w:rPr>
      </w:pPr>
      <w:r>
        <w:rPr>
          <w:rFonts w:hint="eastAsia"/>
          <w:u w:val="none" w:color="auto"/>
        </w:rPr>
        <w:t>さらに、身近な地域でのかかりつけ医の普及についても関係機関と連携して進めていくこととします。</w:t>
      </w:r>
    </w:p>
    <w:p>
      <w:pPr>
        <w:pStyle w:val="0"/>
        <w:spacing w:line="0" w:lineRule="atLeast"/>
        <w:jc w:val="left"/>
        <w:rPr>
          <w:rFonts w:hint="eastAsia"/>
          <w:b w:val="1"/>
          <w:sz w:val="24"/>
        </w:rPr>
      </w:pPr>
    </w:p>
    <w:p>
      <w:pPr>
        <w:pStyle w:val="0"/>
        <w:spacing w:line="0" w:lineRule="atLeast"/>
        <w:jc w:val="left"/>
        <w:rPr>
          <w:rFonts w:hint="eastAsia"/>
          <w:b w:val="1"/>
          <w:sz w:val="24"/>
        </w:rPr>
      </w:pPr>
    </w:p>
    <w:p>
      <w:pPr>
        <w:pStyle w:val="0"/>
        <w:spacing w:line="0" w:lineRule="atLeast"/>
        <w:jc w:val="left"/>
        <w:rPr>
          <w:rFonts w:hint="eastAsia"/>
          <w:b w:val="1"/>
          <w:sz w:val="24"/>
        </w:rPr>
      </w:pPr>
    </w:p>
    <w:p>
      <w:pPr>
        <w:pStyle w:val="0"/>
        <w:spacing w:line="0" w:lineRule="atLeast"/>
        <w:jc w:val="left"/>
        <w:rPr>
          <w:rFonts w:hint="eastAsia"/>
          <w:b w:val="1"/>
          <w:sz w:val="24"/>
        </w:rPr>
      </w:pPr>
    </w:p>
    <w:p>
      <w:pPr>
        <w:pStyle w:val="0"/>
        <w:spacing w:line="0" w:lineRule="atLeast"/>
        <w:jc w:val="left"/>
        <w:rPr>
          <w:rFonts w:hint="eastAsia"/>
          <w:b w:val="1"/>
          <w:sz w:val="24"/>
        </w:rPr>
      </w:pPr>
    </w:p>
    <w:p>
      <w:pPr>
        <w:pStyle w:val="0"/>
        <w:spacing w:line="0" w:lineRule="atLeast"/>
        <w:jc w:val="left"/>
        <w:rPr>
          <w:rFonts w:hint="eastAsia"/>
          <w:b w:val="1"/>
          <w:sz w:val="24"/>
        </w:rPr>
      </w:pPr>
    </w:p>
    <w:p>
      <w:pPr>
        <w:pStyle w:val="0"/>
        <w:spacing w:line="0" w:lineRule="atLeast"/>
        <w:jc w:val="left"/>
        <w:rPr>
          <w:rFonts w:hint="eastAsia"/>
          <w:b w:val="1"/>
          <w:sz w:val="24"/>
        </w:rPr>
      </w:pPr>
    </w:p>
    <w:p>
      <w:pPr>
        <w:pStyle w:val="0"/>
        <w:spacing w:line="0" w:lineRule="atLeast"/>
        <w:jc w:val="left"/>
        <w:rPr>
          <w:rFonts w:hint="eastAsia"/>
          <w:b w:val="1"/>
          <w:sz w:val="24"/>
        </w:rPr>
      </w:pPr>
    </w:p>
    <w:p>
      <w:pPr>
        <w:pStyle w:val="0"/>
        <w:spacing w:line="0" w:lineRule="atLeast"/>
        <w:jc w:val="left"/>
        <w:rPr>
          <w:rFonts w:hint="eastAsia"/>
          <w:b w:val="1"/>
          <w:sz w:val="24"/>
        </w:rPr>
      </w:pPr>
    </w:p>
    <w:p>
      <w:pPr>
        <w:pStyle w:val="0"/>
        <w:spacing w:line="0" w:lineRule="atLeast"/>
        <w:jc w:val="left"/>
        <w:rPr>
          <w:rFonts w:hint="eastAsia"/>
          <w:b w:val="1"/>
          <w:sz w:val="24"/>
        </w:rPr>
      </w:pPr>
    </w:p>
    <w:p>
      <w:pPr>
        <w:pStyle w:val="0"/>
        <w:tabs>
          <w:tab w:val="left" w:leader="none" w:pos="4280"/>
        </w:tabs>
        <w:rPr>
          <w:rFonts w:hint="eastAsia" w:ascii="ＭＳ 明朝" w:hAnsi="ＭＳ 明朝" w:eastAsia="ＭＳ 明朝"/>
          <w:b w:val="1"/>
          <w:sz w:val="28"/>
        </w:rPr>
      </w:pPr>
      <w:r>
        <w:rPr>
          <w:rFonts w:hint="eastAsia" w:ascii="ＭＳ 明朝" w:hAnsi="ＭＳ 明朝" w:eastAsia="ＭＳ 明朝"/>
          <w:b w:val="1"/>
          <w:sz w:val="28"/>
        </w:rPr>
        <w:t>第５章　医療機器の効率的な活用について</w:t>
      </w:r>
    </w:p>
    <w:p>
      <w:pPr>
        <w:pStyle w:val="0"/>
        <w:tabs>
          <w:tab w:val="left" w:leader="none" w:pos="4280"/>
        </w:tabs>
        <w:rPr>
          <w:rFonts w:hint="eastAsia" w:ascii="ＭＳ 明朝" w:hAnsi="ＭＳ 明朝" w:eastAsia="ＭＳ 明朝"/>
          <w:b w:val="1"/>
          <w:sz w:val="22"/>
        </w:rPr>
      </w:pPr>
    </w:p>
    <w:p>
      <w:pPr>
        <w:pStyle w:val="0"/>
        <w:tabs>
          <w:tab w:val="left" w:leader="none" w:pos="4280"/>
        </w:tabs>
        <w:rPr>
          <w:rFonts w:hint="eastAsia" w:ascii="ＭＳ 明朝" w:hAnsi="ＭＳ 明朝" w:eastAsia="ＭＳ 明朝"/>
          <w:b w:val="1"/>
          <w:sz w:val="24"/>
        </w:rPr>
      </w:pPr>
      <w:r>
        <w:rPr>
          <w:rFonts w:hint="eastAsia" w:ascii="ＭＳ 明朝" w:hAnsi="ＭＳ 明朝" w:eastAsia="ＭＳ 明朝"/>
          <w:b w:val="1"/>
          <w:sz w:val="24"/>
        </w:rPr>
        <w:t>１　趣旨</w:t>
      </w:r>
    </w:p>
    <w:p>
      <w:pPr>
        <w:pStyle w:val="0"/>
        <w:tabs>
          <w:tab w:val="left" w:leader="none" w:pos="4280"/>
        </w:tabs>
        <w:rPr>
          <w:rFonts w:hint="eastAsia" w:ascii="ＭＳ 明朝" w:hAnsi="ＭＳ 明朝" w:eastAsia="ＭＳ 明朝"/>
          <w:b w:val="0"/>
          <w:sz w:val="24"/>
        </w:rPr>
      </w:pPr>
      <w:r>
        <w:rPr>
          <w:rFonts w:hint="eastAsia" w:ascii="ＭＳ 明朝" w:hAnsi="ＭＳ 明朝" w:eastAsia="ＭＳ 明朝"/>
          <w:b w:val="0"/>
          <w:sz w:val="22"/>
        </w:rPr>
        <w:t>　人口当たりの医療機器の台数には地域差があり、また医療機器ごとに地域差の状況は異なっていますが、今後、人口減少が見込まれ、効率的な医療提供体制を構築する必要がある中、医療機器についても効率的な活用を行う必要があります。</w:t>
      </w:r>
    </w:p>
    <w:p>
      <w:pPr>
        <w:pStyle w:val="0"/>
        <w:tabs>
          <w:tab w:val="left" w:leader="none" w:pos="4280"/>
        </w:tabs>
        <w:rPr>
          <w:rFonts w:hint="eastAsia" w:ascii="ＭＳ 明朝" w:hAnsi="ＭＳ 明朝" w:eastAsia="ＭＳ 明朝"/>
          <w:b w:val="0"/>
          <w:sz w:val="22"/>
        </w:rPr>
      </w:pPr>
      <w:r>
        <w:rPr>
          <w:rFonts w:hint="eastAsia" w:ascii="ＭＳ 明朝" w:hAnsi="ＭＳ 明朝" w:eastAsia="ＭＳ 明朝"/>
          <w:b w:val="0"/>
          <w:sz w:val="22"/>
        </w:rPr>
        <w:t>　そういった中、地域における外来医療に係る医療提供体制の確保に関する事項の１つとして、「医療提供施設の建物の全部又は一部、設備、器械及び器具の効率的な活用に関する事項」が規定され、医療法第</w:t>
      </w:r>
      <w:r>
        <w:rPr>
          <w:rFonts w:hint="eastAsia" w:ascii="ＭＳ 明朝" w:hAnsi="ＭＳ 明朝" w:eastAsia="ＭＳ 明朝"/>
          <w:b w:val="0"/>
          <w:sz w:val="22"/>
        </w:rPr>
        <w:t>30</w:t>
      </w:r>
      <w:r>
        <w:rPr>
          <w:rFonts w:hint="eastAsia" w:ascii="ＭＳ 明朝" w:hAnsi="ＭＳ 明朝" w:eastAsia="ＭＳ 明朝"/>
          <w:b w:val="0"/>
          <w:sz w:val="22"/>
        </w:rPr>
        <w:t>条の</w:t>
      </w:r>
      <w:r>
        <w:rPr>
          <w:rFonts w:hint="eastAsia" w:ascii="ＭＳ 明朝" w:hAnsi="ＭＳ 明朝" w:eastAsia="ＭＳ 明朝"/>
          <w:b w:val="0"/>
          <w:sz w:val="22"/>
        </w:rPr>
        <w:t>18</w:t>
      </w:r>
      <w:r>
        <w:rPr>
          <w:rFonts w:hint="eastAsia" w:ascii="ＭＳ 明朝" w:hAnsi="ＭＳ 明朝" w:eastAsia="ＭＳ 明朝"/>
          <w:b w:val="0"/>
          <w:sz w:val="22"/>
        </w:rPr>
        <w:t>の２第１項第４号に基づき、当該事項について協議を行い、その結果を公表することとされました。</w:t>
      </w:r>
    </w:p>
    <w:p>
      <w:pPr>
        <w:pStyle w:val="0"/>
        <w:tabs>
          <w:tab w:val="left" w:leader="none" w:pos="4280"/>
        </w:tabs>
        <w:rPr>
          <w:rFonts w:hint="eastAsia" w:ascii="ＭＳ 明朝" w:hAnsi="ＭＳ 明朝" w:eastAsia="ＭＳ 明朝"/>
          <w:b w:val="0"/>
          <w:sz w:val="22"/>
        </w:rPr>
      </w:pPr>
    </w:p>
    <w:p>
      <w:pPr>
        <w:pStyle w:val="0"/>
        <w:tabs>
          <w:tab w:val="left" w:leader="none" w:pos="4280"/>
        </w:tabs>
        <w:rPr>
          <w:rFonts w:hint="eastAsia" w:ascii="ＭＳ 明朝" w:hAnsi="ＭＳ 明朝" w:eastAsia="ＭＳ 明朝"/>
          <w:b w:val="0"/>
          <w:sz w:val="22"/>
        </w:rPr>
      </w:pPr>
    </w:p>
    <w:p>
      <w:pPr>
        <w:pStyle w:val="0"/>
        <w:tabs>
          <w:tab w:val="left" w:leader="none" w:pos="4280"/>
        </w:tabs>
        <w:rPr>
          <w:rFonts w:hint="eastAsia" w:ascii="ＭＳ 明朝" w:hAnsi="ＭＳ 明朝" w:eastAsia="ＭＳ 明朝"/>
          <w:b w:val="0"/>
          <w:sz w:val="24"/>
        </w:rPr>
      </w:pPr>
      <w:r>
        <w:rPr>
          <w:rFonts w:hint="eastAsia" w:ascii="ＭＳ 明朝" w:hAnsi="ＭＳ 明朝" w:eastAsia="ＭＳ 明朝"/>
          <w:b w:val="1"/>
          <w:sz w:val="24"/>
        </w:rPr>
        <w:t>２　協議の場</w:t>
      </w:r>
    </w:p>
    <w:p>
      <w:pPr>
        <w:pStyle w:val="0"/>
        <w:tabs>
          <w:tab w:val="left" w:leader="none" w:pos="4280"/>
        </w:tabs>
        <w:rPr>
          <w:rFonts w:hint="eastAsia" w:ascii="ＭＳ 明朝" w:hAnsi="ＭＳ 明朝" w:eastAsia="ＭＳ 明朝"/>
          <w:b w:val="0"/>
          <w:color w:val="000000" w:themeColor="text1"/>
          <w:sz w:val="22"/>
          <w:u w:val="single" w:color="auto"/>
          <w:bdr w:val="none" w:color="auto" w:sz="0" w:space="0"/>
        </w:rPr>
      </w:pPr>
      <w:r>
        <w:rPr>
          <w:rFonts w:hint="eastAsia" w:ascii="ＭＳ 明朝" w:hAnsi="ＭＳ 明朝" w:eastAsia="ＭＳ 明朝"/>
          <w:b w:val="0"/>
          <w:sz w:val="22"/>
        </w:rPr>
        <w:t>　</w:t>
      </w:r>
      <w:r>
        <w:rPr>
          <w:rFonts w:hint="eastAsia" w:ascii="ＭＳ 明朝" w:hAnsi="ＭＳ 明朝" w:eastAsia="ＭＳ 明朝"/>
          <w:b w:val="0"/>
          <w:color w:val="000000" w:themeColor="text1"/>
          <w:sz w:val="22"/>
        </w:rPr>
        <w:t>医療の効率的な活用について、協議の場を確保する必要がありますが、外来医療に関する協議の場と同様に、</w:t>
      </w:r>
      <w:r>
        <w:rPr>
          <w:rFonts w:hint="eastAsia" w:ascii="ＭＳ 明朝" w:hAnsi="ＭＳ 明朝" w:eastAsia="ＭＳ 明朝"/>
          <w:b w:val="0"/>
          <w:color w:val="000000" w:themeColor="text1"/>
          <w:sz w:val="22"/>
          <w:u w:val="none" w:color="auto"/>
          <w:bdr w:val="none" w:color="auto" w:sz="0" w:space="0"/>
        </w:rPr>
        <w:t>地域医療構想調整会議を協議の場として活用します。</w:t>
      </w:r>
    </w:p>
    <w:p>
      <w:pPr>
        <w:pStyle w:val="0"/>
        <w:tabs>
          <w:tab w:val="left" w:leader="none" w:pos="4280"/>
        </w:tabs>
        <w:rPr>
          <w:rFonts w:hint="eastAsia" w:ascii="ＭＳ 明朝" w:hAnsi="ＭＳ 明朝" w:eastAsia="ＭＳ 明朝"/>
          <w:b w:val="0"/>
          <w:sz w:val="22"/>
        </w:rPr>
      </w:pPr>
    </w:p>
    <w:p>
      <w:pPr>
        <w:pStyle w:val="0"/>
        <w:tabs>
          <w:tab w:val="left" w:leader="none" w:pos="4280"/>
        </w:tabs>
        <w:rPr>
          <w:rFonts w:hint="eastAsia" w:ascii="ＭＳ 明朝" w:hAnsi="ＭＳ 明朝" w:eastAsia="ＭＳ 明朝"/>
          <w:b w:val="0"/>
          <w:sz w:val="22"/>
        </w:rPr>
      </w:pPr>
    </w:p>
    <w:p>
      <w:pPr>
        <w:pStyle w:val="0"/>
        <w:tabs>
          <w:tab w:val="left" w:leader="none" w:pos="4280"/>
        </w:tabs>
        <w:spacing w:after="0" w:afterLines="0" w:afterAutospacing="0"/>
        <w:rPr>
          <w:rFonts w:hint="eastAsia" w:ascii="ＭＳ 明朝" w:hAnsi="ＭＳ 明朝" w:eastAsia="ＭＳ 明朝"/>
          <w:b w:val="1"/>
          <w:sz w:val="22"/>
        </w:rPr>
      </w:pPr>
      <w:r>
        <w:rPr>
          <w:rFonts w:hint="eastAsia" w:ascii="ＭＳ 明朝" w:hAnsi="ＭＳ 明朝" w:eastAsia="ＭＳ 明朝"/>
          <w:b w:val="1"/>
          <w:sz w:val="24"/>
        </w:rPr>
        <w:t>３　医療機器の配置状況</w:t>
      </w:r>
    </w:p>
    <w:p>
      <w:pPr>
        <w:pStyle w:val="0"/>
        <w:tabs>
          <w:tab w:val="left" w:leader="none" w:pos="4280"/>
        </w:tabs>
        <w:spacing w:after="0" w:afterLines="0" w:afterAutospacing="0"/>
        <w:rPr>
          <w:rFonts w:hint="eastAsia" w:ascii="ＭＳ 明朝" w:hAnsi="ＭＳ 明朝" w:eastAsia="ＭＳ 明朝"/>
          <w:b w:val="0"/>
          <w:sz w:val="22"/>
        </w:rPr>
      </w:pPr>
      <w:r>
        <w:rPr>
          <w:rFonts w:hint="eastAsia" w:ascii="ＭＳ 明朝" w:hAnsi="ＭＳ 明朝" w:eastAsia="ＭＳ 明朝"/>
          <w:b w:val="0"/>
          <w:sz w:val="22"/>
        </w:rPr>
        <w:t>　厚生労働省より、地域の医療機器のニーズを踏まえて地域ごとの医療機器の配置状況を医療機器の項目ごとに可視化するための下記のとおり、指標が作成されました。</w:t>
      </w:r>
    </w:p>
    <w:p>
      <w:pPr>
        <w:pStyle w:val="0"/>
        <w:tabs>
          <w:tab w:val="left" w:leader="none" w:pos="4280"/>
        </w:tabs>
        <w:spacing w:after="0" w:afterLines="0" w:afterAutospacing="0"/>
        <w:rPr>
          <w:rFonts w:hint="eastAsia" w:ascii="ＭＳ 明朝" w:hAnsi="ＭＳ 明朝" w:eastAsia="ＭＳ 明朝"/>
          <w:b w:val="0"/>
          <w:sz w:val="22"/>
        </w:rPr>
      </w:pPr>
    </w:p>
    <w:p>
      <w:pPr>
        <w:pStyle w:val="0"/>
        <w:tabs>
          <w:tab w:val="left" w:leader="none" w:pos="4280"/>
        </w:tabs>
        <w:rPr>
          <w:rFonts w:hint="eastAsia" w:ascii="ＭＳ 明朝" w:hAnsi="ＭＳ 明朝" w:eastAsia="ＭＳ 明朝"/>
          <w:b w:val="0"/>
          <w:sz w:val="22"/>
          <w:vertAlign w:val="superscript"/>
        </w:rPr>
      </w:pPr>
      <w:r>
        <w:rPr>
          <w:rFonts w:hint="eastAsia" w:ascii="ＭＳ 明朝" w:hAnsi="ＭＳ 明朝" w:eastAsia="ＭＳ 明朝"/>
          <w:b w:val="0"/>
          <w:sz w:val="22"/>
        </w:rPr>
        <w:t>＜医療機器の効率的活用における性・年齢階級別検査率を用いた各地域の医療機器の配置状況に関する指標の計算方法＞</w:t>
      </w:r>
    </w:p>
    <w:p>
      <w:pPr>
        <w:pStyle w:val="0"/>
        <w:tabs>
          <w:tab w:val="left" w:leader="none" w:pos="4280"/>
        </w:tabs>
        <w:snapToGrid w:val="0"/>
        <w:rPr>
          <w:rFonts w:hint="eastAsia"/>
          <w:b w:val="0"/>
          <w:sz w:val="16"/>
          <w:vertAlign w:val="superscript"/>
        </w:rPr>
      </w:pPr>
      <w:r>
        <w:rPr>
          <w:rFonts w:hint="eastAsia"/>
        </w:rPr>
        <mc:AlternateContent>
          <mc:Choice Requires="wps">
            <w:drawing>
              <wp:anchor distT="0" distB="0" distL="203200" distR="203200" simplePos="0" relativeHeight="20" behindDoc="0" locked="0" layoutInCell="1" hidden="0" allowOverlap="1">
                <wp:simplePos x="0" y="0"/>
                <wp:positionH relativeFrom="column">
                  <wp:posOffset>0</wp:posOffset>
                </wp:positionH>
                <wp:positionV relativeFrom="paragraph">
                  <wp:posOffset>78740</wp:posOffset>
                </wp:positionV>
                <wp:extent cx="5762625" cy="2524125"/>
                <wp:effectExtent l="635" t="635" r="29845" b="10795"/>
                <wp:wrapNone/>
                <wp:docPr id="1084" name="オブジェクト 0"/>
                <a:graphic xmlns:a="http://schemas.openxmlformats.org/drawingml/2006/main">
                  <a:graphicData uri="http://schemas.microsoft.com/office/word/2010/wordprocessingShape">
                    <wps:wsp>
                      <wps:cNvPr id="1084" name="オブジェクト 0"/>
                      <wps:cNvSpPr>
                        <a:spLocks noChangeArrowheads="1"/>
                      </wps:cNvSpPr>
                      <wps:spPr>
                        <a:xfrm>
                          <a:off x="0" y="0"/>
                          <a:ext cx="5762625" cy="2524125"/>
                        </a:xfrm>
                        <a:prstGeom prst="rect">
                          <a:avLst/>
                        </a:prstGeom>
                        <a:noFill/>
                        <a:ln w="9525" cap="flat" cmpd="sng">
                          <a:solidFill>
                            <a:srgbClr val="000000"/>
                          </a:solidFill>
                          <a:prstDash val="solid"/>
                          <a:miter lim="800000"/>
                        </a:ln>
                      </wps:spPr>
                      <wps:bodyPr/>
                    </wps:wsp>
                  </a:graphicData>
                </a:graphic>
              </wp:anchor>
            </w:drawing>
          </mc:Choice>
          <mc:Fallback>
            <w:pict>
              <v:rect id="オブジェクト 0" style="mso-wrap-distance-right:16pt;mso-wrap-distance-bottom:0pt;margin-top:6.2pt;mso-position-vertical-relative:text;mso-position-horizontal-relative:text;position:absolute;height:198.75pt;mso-wrap-distance-top:0pt;width:453.75pt;mso-wrap-distance-left:16pt;margin-left:0pt;z-index:20;" o:spid="_x0000_s1084" o:allowincell="t" o:allowoverlap="t" filled="f" stroked="t" strokecolor="#000000" strokeweight="0.75pt" o:spt="1">
                <v:fill/>
                <v:stroke linestyle="single" miterlimit="8" endcap="flat" dashstyle="solid" filltype="solid"/>
                <v:textbox style="layout-flow:horizontal;"/>
                <v:imagedata o:title=""/>
                <w10:wrap type="none" anchorx="text" anchory="text"/>
              </v:rect>
            </w:pict>
          </mc:Fallback>
        </mc:AlternateContent>
      </w:r>
    </w:p>
    <w:p>
      <w:pPr>
        <w:pStyle w:val="0"/>
        <w:tabs>
          <w:tab w:val="left" w:leader="none" w:pos="4280"/>
        </w:tabs>
        <w:rPr>
          <w:rFonts w:hint="eastAsia"/>
          <w:b w:val="0"/>
          <w:sz w:val="22"/>
        </w:rPr>
      </w:pPr>
      <w:r>
        <w:rPr>
          <w:rFonts w:hint="eastAsia"/>
          <w:b w:val="0"/>
          <w:sz w:val="22"/>
        </w:rPr>
        <w:t>　</w:t>
      </w:r>
      <w:r>
        <w:rPr>
          <w:rFonts w:hint="eastAsia"/>
          <w:b w:val="0"/>
          <w:sz w:val="22"/>
        </w:rPr>
        <w:t xml:space="preserve"> </w:t>
      </w:r>
      <w:r>
        <w:rPr>
          <w:rFonts w:hint="eastAsia"/>
        </w:rPr>
        <w:drawing>
          <wp:inline distT="0" distB="0" distL="203200" distR="203200">
            <wp:extent cx="5325745" cy="2329180"/>
            <wp:effectExtent l="0" t="0" r="0" b="0"/>
            <wp:docPr id="1085" name="オブジェクト 0"/>
            <a:graphic xmlns:a="http://schemas.openxmlformats.org/drawingml/2006/main">
              <a:graphicData uri="http://schemas.openxmlformats.org/drawingml/2006/picture">
                <pic:pic xmlns:pic="http://schemas.openxmlformats.org/drawingml/2006/picture">
                  <pic:nvPicPr>
                    <pic:cNvPr id="1085" name="オブジェクト 0"/>
                    <pic:cNvPicPr>
                      <a:picLocks noChangeAspect="1"/>
                    </pic:cNvPicPr>
                  </pic:nvPicPr>
                  <pic:blipFill>
                    <a:blip r:embed="rId69"/>
                    <a:stretch>
                      <a:fillRect/>
                    </a:stretch>
                  </pic:blipFill>
                  <pic:spPr>
                    <a:xfrm>
                      <a:off x="0" y="0"/>
                      <a:ext cx="5325745" cy="2329180"/>
                    </a:xfrm>
                    <a:prstGeom prst="rect">
                      <a:avLst/>
                    </a:prstGeom>
                    <a:noFill/>
                    <a:ln>
                      <a:miter/>
                    </a:ln>
                  </pic:spPr>
                </pic:pic>
              </a:graphicData>
            </a:graphic>
          </wp:inline>
        </w:drawing>
      </w:r>
    </w:p>
    <w:p>
      <w:pPr>
        <w:pStyle w:val="0"/>
        <w:tabs>
          <w:tab w:val="left" w:leader="none" w:pos="4280"/>
        </w:tabs>
        <w:rPr>
          <w:rFonts w:hint="eastAsia"/>
          <w:b w:val="0"/>
          <w:sz w:val="22"/>
        </w:rPr>
      </w:pPr>
    </w:p>
    <w:p>
      <w:pPr>
        <w:pStyle w:val="0"/>
        <w:tabs>
          <w:tab w:val="left" w:leader="none" w:pos="4280"/>
        </w:tabs>
        <w:rPr>
          <w:rFonts w:hint="eastAsia"/>
          <w:b w:val="0"/>
          <w:sz w:val="22"/>
        </w:rPr>
      </w:pPr>
    </w:p>
    <w:p>
      <w:pPr>
        <w:pStyle w:val="0"/>
        <w:tabs>
          <w:tab w:val="left" w:leader="none" w:pos="4280"/>
        </w:tabs>
        <w:rPr>
          <w:rFonts w:hint="eastAsia"/>
          <w:b w:val="0"/>
          <w:sz w:val="22"/>
        </w:rPr>
      </w:pPr>
      <w:r>
        <w:rPr>
          <w:rFonts w:hint="eastAsia"/>
          <w:b w:val="0"/>
          <w:sz w:val="22"/>
        </w:rPr>
        <w:t>＜人口当たりの台数＞　（医療圏別）</w:t>
      </w:r>
    </w:p>
    <w:p>
      <w:pPr>
        <w:pStyle w:val="0"/>
        <w:tabs>
          <w:tab w:val="left" w:leader="none" w:pos="4280"/>
        </w:tabs>
        <w:rPr>
          <w:rFonts w:hint="eastAsia"/>
          <w:b w:val="0"/>
          <w:sz w:val="22"/>
        </w:rPr>
      </w:pPr>
      <w:r>
        <w:rPr>
          <w:rFonts w:hint="eastAsia"/>
        </w:rPr>
        <w:drawing>
          <wp:inline distT="0" distB="0" distL="203200" distR="203200">
            <wp:extent cx="5759450" cy="1435735"/>
            <wp:effectExtent l="0" t="0" r="0" b="0"/>
            <wp:docPr id="1086" name="オブジェクト 0"/>
            <a:graphic xmlns:a="http://schemas.openxmlformats.org/drawingml/2006/main">
              <a:graphicData uri="http://schemas.openxmlformats.org/drawingml/2006/picture">
                <pic:pic xmlns:pic="http://schemas.openxmlformats.org/drawingml/2006/picture">
                  <pic:nvPicPr>
                    <pic:cNvPr id="1086" name="オブジェクト 0"/>
                    <pic:cNvPicPr>
                      <a:picLocks noChangeAspect="1"/>
                    </pic:cNvPicPr>
                  </pic:nvPicPr>
                  <pic:blipFill>
                    <a:blip r:embed="rId70"/>
                    <a:stretch>
                      <a:fillRect/>
                    </a:stretch>
                  </pic:blipFill>
                  <pic:spPr>
                    <a:xfrm>
                      <a:off x="0" y="0"/>
                      <a:ext cx="5759450" cy="1435735"/>
                    </a:xfrm>
                    <a:prstGeom prst="rect">
                      <a:avLst/>
                    </a:prstGeom>
                  </pic:spPr>
                </pic:pic>
              </a:graphicData>
            </a:graphic>
          </wp:inline>
        </w:drawing>
      </w:r>
    </w:p>
    <w:p>
      <w:pPr>
        <w:pStyle w:val="0"/>
        <w:tabs>
          <w:tab w:val="left" w:leader="none" w:pos="4280"/>
        </w:tabs>
        <w:spacing w:line="120" w:lineRule="exact"/>
        <w:rPr>
          <w:rFonts w:hint="eastAsia"/>
          <w:b w:val="0"/>
          <w:sz w:val="22"/>
        </w:rPr>
      </w:pPr>
    </w:p>
    <w:p>
      <w:pPr>
        <w:pStyle w:val="0"/>
        <w:tabs>
          <w:tab w:val="left" w:leader="none" w:pos="4280"/>
        </w:tabs>
        <w:rPr>
          <w:rFonts w:hint="eastAsia"/>
          <w:b w:val="0"/>
          <w:sz w:val="22"/>
        </w:rPr>
      </w:pPr>
      <w:r>
        <w:rPr>
          <w:rFonts w:hint="eastAsia"/>
        </w:rPr>
        <w:drawing>
          <wp:inline distT="0" distB="0" distL="203200" distR="203200">
            <wp:extent cx="5759450" cy="1607185"/>
            <wp:effectExtent l="0" t="0" r="0" b="0"/>
            <wp:docPr id="1087" name="オブジェクト 0"/>
            <a:graphic xmlns:a="http://schemas.openxmlformats.org/drawingml/2006/main">
              <a:graphicData uri="http://schemas.openxmlformats.org/drawingml/2006/picture">
                <pic:pic xmlns:pic="http://schemas.openxmlformats.org/drawingml/2006/picture">
                  <pic:nvPicPr>
                    <pic:cNvPr id="1087" name="オブジェクト 0"/>
                    <pic:cNvPicPr>
                      <a:picLocks noChangeAspect="1"/>
                    </pic:cNvPicPr>
                  </pic:nvPicPr>
                  <pic:blipFill>
                    <a:blip r:embed="rId71"/>
                    <a:stretch>
                      <a:fillRect/>
                    </a:stretch>
                  </pic:blipFill>
                  <pic:spPr>
                    <a:xfrm>
                      <a:off x="0" y="0"/>
                      <a:ext cx="5759450" cy="1607185"/>
                    </a:xfrm>
                    <a:prstGeom prst="rect">
                      <a:avLst/>
                    </a:prstGeom>
                    <a:noFill/>
                    <a:ln>
                      <a:miter/>
                    </a:ln>
                  </pic:spPr>
                </pic:pic>
              </a:graphicData>
            </a:graphic>
          </wp:inline>
        </w:drawing>
      </w:r>
    </w:p>
    <w:p>
      <w:pPr>
        <w:pStyle w:val="0"/>
        <w:tabs>
          <w:tab w:val="left" w:leader="none" w:pos="4280"/>
        </w:tabs>
        <w:rPr>
          <w:rFonts w:hint="eastAsia"/>
          <w:b w:val="0"/>
          <w:sz w:val="22"/>
        </w:rPr>
      </w:pPr>
    </w:p>
    <w:p>
      <w:pPr>
        <w:pStyle w:val="0"/>
        <w:tabs>
          <w:tab w:val="left" w:leader="none" w:pos="4280"/>
        </w:tabs>
        <w:rPr>
          <w:rFonts w:hint="eastAsia"/>
          <w:b w:val="0"/>
          <w:sz w:val="22"/>
        </w:rPr>
      </w:pPr>
      <w:r>
        <w:rPr>
          <w:rFonts w:hint="eastAsia"/>
          <w:b w:val="0"/>
          <w:sz w:val="22"/>
        </w:rPr>
        <w:t>＜圏域別の保有台数＞（医療圏別）</w:t>
      </w:r>
    </w:p>
    <w:p>
      <w:pPr>
        <w:pStyle w:val="0"/>
        <w:tabs>
          <w:tab w:val="left" w:leader="none" w:pos="4280"/>
        </w:tabs>
        <w:rPr>
          <w:rFonts w:hint="eastAsia"/>
          <w:b w:val="0"/>
          <w:sz w:val="22"/>
        </w:rPr>
      </w:pPr>
      <w:r>
        <w:rPr>
          <w:rFonts w:hint="eastAsia"/>
        </w:rPr>
        <w:drawing>
          <wp:inline distT="0" distB="0" distL="203200" distR="203200">
            <wp:extent cx="3676650" cy="1714500"/>
            <wp:effectExtent l="0" t="0" r="0" b="0"/>
            <wp:docPr id="1088" name="オブジェクト 0"/>
            <a:graphic xmlns:a="http://schemas.openxmlformats.org/drawingml/2006/main">
              <a:graphicData uri="http://schemas.openxmlformats.org/drawingml/2006/picture">
                <pic:pic xmlns:pic="http://schemas.openxmlformats.org/drawingml/2006/picture">
                  <pic:nvPicPr>
                    <pic:cNvPr id="1088" name="オブジェクト 0"/>
                    <pic:cNvPicPr>
                      <a:picLocks noChangeAspect="1"/>
                    </pic:cNvPicPr>
                  </pic:nvPicPr>
                  <pic:blipFill>
                    <a:blip r:embed="rId72"/>
                    <a:stretch>
                      <a:fillRect/>
                    </a:stretch>
                  </pic:blipFill>
                  <pic:spPr>
                    <a:xfrm>
                      <a:off x="0" y="0"/>
                      <a:ext cx="3676650" cy="1714500"/>
                    </a:xfrm>
                    <a:prstGeom prst="rect">
                      <a:avLst/>
                    </a:prstGeom>
                  </pic:spPr>
                </pic:pic>
              </a:graphicData>
            </a:graphic>
          </wp:inline>
        </w:drawing>
      </w:r>
    </w:p>
    <w:p>
      <w:pPr>
        <w:pStyle w:val="0"/>
        <w:tabs>
          <w:tab w:val="left" w:leader="none" w:pos="4280"/>
        </w:tabs>
        <w:spacing w:line="200" w:lineRule="exact"/>
        <w:rPr>
          <w:rFonts w:hint="eastAsia"/>
          <w:b w:val="0"/>
          <w:sz w:val="22"/>
        </w:rPr>
      </w:pPr>
    </w:p>
    <w:p>
      <w:pPr>
        <w:pStyle w:val="0"/>
        <w:tabs>
          <w:tab w:val="left" w:leader="none" w:pos="4280"/>
        </w:tabs>
        <w:rPr>
          <w:rFonts w:hint="eastAsia"/>
          <w:b w:val="0"/>
          <w:sz w:val="22"/>
        </w:rPr>
      </w:pPr>
      <w:r>
        <w:rPr>
          <w:rFonts w:hint="eastAsia"/>
        </w:rPr>
        <w:drawing>
          <wp:inline distT="0" distB="0" distL="203200" distR="203200">
            <wp:extent cx="5759450" cy="1468120"/>
            <wp:effectExtent l="0" t="0" r="0" b="0"/>
            <wp:docPr id="1089" name="オブジェクト 0"/>
            <a:graphic xmlns:a="http://schemas.openxmlformats.org/drawingml/2006/main">
              <a:graphicData uri="http://schemas.openxmlformats.org/drawingml/2006/picture">
                <pic:pic xmlns:pic="http://schemas.openxmlformats.org/drawingml/2006/picture">
                  <pic:nvPicPr>
                    <pic:cNvPr id="1089" name="オブジェクト 0"/>
                    <pic:cNvPicPr>
                      <a:picLocks noChangeAspect="1"/>
                    </pic:cNvPicPr>
                  </pic:nvPicPr>
                  <pic:blipFill>
                    <a:blip r:embed="rId73"/>
                    <a:stretch>
                      <a:fillRect/>
                    </a:stretch>
                  </pic:blipFill>
                  <pic:spPr>
                    <a:xfrm>
                      <a:off x="0" y="0"/>
                      <a:ext cx="5759450" cy="1468120"/>
                    </a:xfrm>
                    <a:prstGeom prst="rect">
                      <a:avLst/>
                    </a:prstGeom>
                  </pic:spPr>
                </pic:pic>
              </a:graphicData>
            </a:graphic>
          </wp:inline>
        </w:drawing>
      </w:r>
    </w:p>
    <w:p>
      <w:pPr>
        <w:pStyle w:val="0"/>
        <w:tabs>
          <w:tab w:val="left" w:leader="none" w:pos="4280"/>
        </w:tabs>
        <w:rPr>
          <w:rFonts w:hint="eastAsia"/>
          <w:b w:val="0"/>
          <w:sz w:val="22"/>
        </w:rPr>
      </w:pPr>
    </w:p>
    <w:p>
      <w:pPr>
        <w:pStyle w:val="0"/>
        <w:tabs>
          <w:tab w:val="left" w:leader="none" w:pos="4280"/>
        </w:tabs>
        <w:rPr>
          <w:rFonts w:hint="eastAsia"/>
          <w:b w:val="0"/>
          <w:sz w:val="22"/>
        </w:rPr>
      </w:pPr>
      <w:r>
        <w:rPr>
          <w:rFonts w:hint="eastAsia"/>
          <w:b w:val="0"/>
          <w:sz w:val="22"/>
        </w:rPr>
        <w:t>＜現状と課題＞　</w:t>
      </w:r>
    </w:p>
    <w:p>
      <w:pPr>
        <w:pStyle w:val="0"/>
        <w:tabs>
          <w:tab w:val="left" w:leader="none" w:pos="4280"/>
        </w:tabs>
        <w:ind w:firstLine="227" w:firstLineChars="100"/>
        <w:rPr>
          <w:rFonts w:hint="eastAsia"/>
          <w:b w:val="0"/>
          <w:sz w:val="22"/>
        </w:rPr>
      </w:pPr>
      <w:r>
        <w:rPr>
          <w:rFonts w:hint="eastAsia"/>
          <w:b w:val="0"/>
          <w:sz w:val="22"/>
        </w:rPr>
        <w:t>ＣＴ及びＭＲＩの人口当たりの台数については、全国平均を上回っており、</w:t>
      </w:r>
      <w:r>
        <w:rPr>
          <w:rFonts w:hint="eastAsia"/>
          <w:b w:val="0"/>
          <w:color w:val="000000" w:themeColor="text1"/>
          <w:sz w:val="22"/>
        </w:rPr>
        <w:t>ＰＥＴ</w:t>
      </w:r>
      <w:r>
        <w:rPr>
          <w:rFonts w:hint="eastAsia"/>
          <w:b w:val="0"/>
          <w:sz w:val="22"/>
        </w:rPr>
        <w:t>及びマンモグラフィー、放射線治療（体外照射）については、ほぼ全国平均並となっています。</w:t>
      </w:r>
    </w:p>
    <w:p>
      <w:pPr>
        <w:pStyle w:val="0"/>
        <w:tabs>
          <w:tab w:val="left" w:leader="none" w:pos="4280"/>
        </w:tabs>
        <w:ind w:firstLine="227" w:firstLineChars="100"/>
        <w:rPr>
          <w:rFonts w:hint="eastAsia"/>
          <w:b w:val="0"/>
          <w:sz w:val="22"/>
        </w:rPr>
      </w:pPr>
      <w:r>
        <w:rPr>
          <w:rFonts w:hint="eastAsia"/>
          <w:b w:val="0"/>
          <w:sz w:val="22"/>
        </w:rPr>
        <w:t>今後人口減少による医療需要の減少を踏まえると、機器の稼働率についてもさらに減少すると見られるため、より効率的な医療機器の活用を進めていく必要があります。</w:t>
      </w:r>
    </w:p>
    <w:p>
      <w:pPr>
        <w:pStyle w:val="0"/>
        <w:tabs>
          <w:tab w:val="left" w:leader="none" w:pos="4280"/>
        </w:tabs>
        <w:rPr>
          <w:rFonts w:hint="eastAsia"/>
          <w:b w:val="1"/>
          <w:sz w:val="22"/>
        </w:rPr>
      </w:pPr>
      <w:r>
        <w:rPr>
          <w:rFonts w:hint="eastAsia"/>
          <w:b w:val="1"/>
          <w:sz w:val="24"/>
        </w:rPr>
        <w:t>４　医療機器の保有状況</w:t>
      </w:r>
    </w:p>
    <w:p>
      <w:pPr>
        <w:pStyle w:val="0"/>
        <w:tabs>
          <w:tab w:val="left" w:leader="none" w:pos="4280"/>
        </w:tabs>
        <w:rPr>
          <w:rFonts w:hint="eastAsia"/>
          <w:b w:val="0"/>
          <w:color w:val="FF0000"/>
          <w:sz w:val="22"/>
        </w:rPr>
      </w:pPr>
      <w:r>
        <w:rPr>
          <w:rFonts w:hint="eastAsia"/>
          <w:b w:val="0"/>
          <w:sz w:val="22"/>
        </w:rPr>
        <w:t>　今後、新規購入者の判断材料として、近隣の医療機関で保有している共同利用可能な医療機器の配置状況及び利用状況について、情報共有を行う必要があります。</w:t>
      </w:r>
    </w:p>
    <w:p>
      <w:pPr>
        <w:pStyle w:val="0"/>
        <w:tabs>
          <w:tab w:val="left" w:leader="none" w:pos="4280"/>
        </w:tabs>
        <w:rPr>
          <w:rFonts w:hint="eastAsia"/>
          <w:b w:val="0"/>
          <w:color w:val="FF0000"/>
          <w:sz w:val="22"/>
        </w:rPr>
      </w:pPr>
    </w:p>
    <w:p>
      <w:pPr>
        <w:pStyle w:val="0"/>
        <w:tabs>
          <w:tab w:val="left" w:leader="none" w:pos="4280"/>
        </w:tabs>
        <w:ind w:left="2494" w:hanging="2494" w:hangingChars="1100"/>
        <w:rPr>
          <w:rFonts w:hint="eastAsia"/>
          <w:b w:val="0"/>
          <w:sz w:val="16"/>
        </w:rPr>
      </w:pPr>
      <w:r>
        <w:rPr>
          <w:rFonts w:hint="eastAsia"/>
          <w:b w:val="0"/>
          <w:sz w:val="22"/>
        </w:rPr>
        <w:t>＜保有医療機関一覧＞（平成</w:t>
      </w:r>
      <w:r>
        <w:rPr>
          <w:rFonts w:hint="eastAsia"/>
          <w:b w:val="0"/>
          <w:sz w:val="22"/>
        </w:rPr>
        <w:t>29</w:t>
      </w:r>
      <w:r>
        <w:rPr>
          <w:rFonts w:hint="eastAsia"/>
          <w:b w:val="0"/>
          <w:sz w:val="22"/>
        </w:rPr>
        <w:t>年度時点　病床機能報告、医療政策課・医事薬務課調査）</w:t>
      </w:r>
      <w:r>
        <w:rPr>
          <w:rFonts w:hint="eastAsia"/>
          <w:b w:val="0"/>
          <w:color w:val="000000"/>
          <w:sz w:val="22"/>
        </w:rPr>
        <w:t>※令和元年９月時点で廃止の医療機関を除く</w:t>
      </w:r>
    </w:p>
    <w:p>
      <w:pPr>
        <w:pStyle w:val="0"/>
        <w:tabs>
          <w:tab w:val="left" w:leader="none" w:pos="4280"/>
        </w:tabs>
        <w:jc w:val="left"/>
        <w:rPr>
          <w:rFonts w:hint="eastAsia"/>
          <w:b w:val="0"/>
          <w:sz w:val="22"/>
        </w:rPr>
      </w:pPr>
      <w:r>
        <w:rPr>
          <w:rFonts w:hint="eastAsia" w:ascii="ＭＳ ゴシック" w:hAnsi="ＭＳ ゴシック" w:eastAsia="ＭＳ ゴシック"/>
          <w:b w:val="1"/>
          <w:sz w:val="22"/>
        </w:rPr>
        <w:t>【</w:t>
      </w:r>
      <w:r>
        <w:rPr>
          <w:rFonts w:hint="eastAsia" w:ascii="ＭＳ ゴシック" w:hAnsi="ＭＳ ゴシック" w:eastAsia="ＭＳ ゴシック"/>
          <w:b w:val="1"/>
          <w:sz w:val="22"/>
        </w:rPr>
        <w:t xml:space="preserve"> </w:t>
      </w:r>
      <w:r>
        <w:rPr>
          <w:rFonts w:hint="eastAsia" w:ascii="ＭＳ ゴシック" w:hAnsi="ＭＳ ゴシック" w:eastAsia="ＭＳ ゴシック"/>
          <w:b w:val="1"/>
          <w:sz w:val="22"/>
        </w:rPr>
        <w:t>①</w:t>
      </w:r>
      <w:r>
        <w:rPr>
          <w:rFonts w:hint="eastAsia" w:ascii="ＭＳ ゴシック" w:hAnsi="ＭＳ ゴシック" w:eastAsia="ＭＳ ゴシック"/>
          <w:b w:val="1"/>
          <w:sz w:val="22"/>
        </w:rPr>
        <w:t xml:space="preserve"> </w:t>
      </w:r>
      <w:r>
        <w:rPr>
          <w:rFonts w:hint="eastAsia" w:ascii="ＭＳ ゴシック" w:hAnsi="ＭＳ ゴシック" w:eastAsia="ＭＳ ゴシック"/>
          <w:b w:val="1"/>
          <w:sz w:val="22"/>
        </w:rPr>
        <w:t>ＣＴ</w:t>
      </w:r>
      <w:r>
        <w:rPr>
          <w:rFonts w:hint="eastAsia" w:ascii="ＭＳ ゴシック" w:hAnsi="ＭＳ ゴシック" w:eastAsia="ＭＳ ゴシック"/>
          <w:b w:val="1"/>
          <w:sz w:val="22"/>
        </w:rPr>
        <w:t xml:space="preserve"> </w:t>
      </w:r>
      <w:r>
        <w:rPr>
          <w:rFonts w:hint="eastAsia" w:ascii="ＭＳ ゴシック" w:hAnsi="ＭＳ ゴシック" w:eastAsia="ＭＳ ゴシック"/>
          <w:b w:val="1"/>
          <w:sz w:val="22"/>
        </w:rPr>
        <w:t>】　</w:t>
      </w:r>
      <w:r>
        <w:rPr>
          <w:rFonts w:hint="eastAsia"/>
        </w:rPr>
        <w:drawing>
          <wp:inline distT="0" distB="0" distL="203200" distR="203200">
            <wp:extent cx="5759450" cy="7058025"/>
            <wp:effectExtent l="0" t="0" r="0" b="0"/>
            <wp:docPr id="1090" name="オブジェクト 0"/>
            <a:graphic xmlns:a="http://schemas.openxmlformats.org/drawingml/2006/main">
              <a:graphicData uri="http://schemas.openxmlformats.org/drawingml/2006/picture">
                <pic:pic xmlns:pic="http://schemas.openxmlformats.org/drawingml/2006/picture">
                  <pic:nvPicPr>
                    <pic:cNvPr id="1090" name="オブジェクト 0"/>
                    <pic:cNvPicPr>
                      <a:picLocks noChangeAspect="1"/>
                    </pic:cNvPicPr>
                  </pic:nvPicPr>
                  <pic:blipFill>
                    <a:blip r:embed="rId74"/>
                    <a:stretch>
                      <a:fillRect/>
                    </a:stretch>
                  </pic:blipFill>
                  <pic:spPr>
                    <a:xfrm>
                      <a:off x="0" y="0"/>
                      <a:ext cx="5759450" cy="7058025"/>
                    </a:xfrm>
                    <a:prstGeom prst="rect">
                      <a:avLst/>
                    </a:prstGeom>
                  </pic:spPr>
                </pic:pic>
              </a:graphicData>
            </a:graphic>
          </wp:inline>
        </w:drawing>
      </w:r>
    </w:p>
    <w:p>
      <w:pPr>
        <w:pStyle w:val="0"/>
        <w:tabs>
          <w:tab w:val="left" w:leader="none" w:pos="4280"/>
        </w:tabs>
        <w:rPr>
          <w:rFonts w:hint="eastAsia"/>
          <w:b w:val="1"/>
          <w:sz w:val="22"/>
        </w:rPr>
      </w:pPr>
      <w:r>
        <w:rPr>
          <w:rFonts w:hint="eastAsia"/>
        </w:rPr>
        <w:drawing>
          <wp:inline distT="0" distB="0" distL="203200" distR="203200">
            <wp:extent cx="5759450" cy="2749550"/>
            <wp:effectExtent l="0" t="0" r="0" b="0"/>
            <wp:docPr id="1091" name="オブジェクト 0"/>
            <a:graphic xmlns:a="http://schemas.openxmlformats.org/drawingml/2006/main">
              <a:graphicData uri="http://schemas.openxmlformats.org/drawingml/2006/picture">
                <pic:pic xmlns:pic="http://schemas.openxmlformats.org/drawingml/2006/picture">
                  <pic:nvPicPr>
                    <pic:cNvPr id="1091" name="オブジェクト 0"/>
                    <pic:cNvPicPr>
                      <a:picLocks noChangeAspect="1"/>
                    </pic:cNvPicPr>
                  </pic:nvPicPr>
                  <pic:blipFill>
                    <a:blip r:embed="rId75"/>
                    <a:stretch>
                      <a:fillRect/>
                    </a:stretch>
                  </pic:blipFill>
                  <pic:spPr>
                    <a:xfrm>
                      <a:off x="0" y="0"/>
                      <a:ext cx="5759450" cy="2749550"/>
                    </a:xfrm>
                    <a:prstGeom prst="rect">
                      <a:avLst/>
                    </a:prstGeom>
                  </pic:spPr>
                </pic:pic>
              </a:graphicData>
            </a:graphic>
          </wp:inline>
        </w:drawing>
      </w:r>
    </w:p>
    <w:p>
      <w:pPr>
        <w:pStyle w:val="0"/>
        <w:tabs>
          <w:tab w:val="left" w:leader="none" w:pos="4280"/>
        </w:tabs>
        <w:spacing w:line="240" w:lineRule="exact"/>
        <w:rPr>
          <w:rFonts w:hint="eastAsia"/>
          <w:b w:val="1"/>
          <w:sz w:val="22"/>
        </w:rPr>
      </w:pPr>
    </w:p>
    <w:p>
      <w:pPr>
        <w:pStyle w:val="0"/>
        <w:tabs>
          <w:tab w:val="left" w:leader="none" w:pos="4280"/>
        </w:tabs>
        <w:rPr>
          <w:rFonts w:hint="eastAsia" w:ascii="ＭＳ ゴシック" w:hAnsi="ＭＳ ゴシック" w:eastAsia="ＭＳ ゴシック"/>
          <w:b w:val="1"/>
          <w:sz w:val="22"/>
        </w:rPr>
      </w:pPr>
      <w:r>
        <w:rPr>
          <w:rFonts w:hint="eastAsia" w:ascii="ＭＳ ゴシック" w:hAnsi="ＭＳ ゴシック" w:eastAsia="ＭＳ ゴシック"/>
          <w:b w:val="1"/>
          <w:sz w:val="22"/>
        </w:rPr>
        <w:t>【</w:t>
      </w:r>
      <w:r>
        <w:rPr>
          <w:rFonts w:hint="eastAsia" w:ascii="ＭＳ ゴシック" w:hAnsi="ＭＳ ゴシック" w:eastAsia="ＭＳ ゴシック"/>
          <w:b w:val="1"/>
          <w:sz w:val="22"/>
        </w:rPr>
        <w:t xml:space="preserve"> </w:t>
      </w:r>
      <w:r>
        <w:rPr>
          <w:rFonts w:hint="eastAsia" w:ascii="ＭＳ ゴシック" w:hAnsi="ＭＳ ゴシック" w:eastAsia="ＭＳ ゴシック"/>
          <w:b w:val="1"/>
          <w:sz w:val="22"/>
        </w:rPr>
        <w:t>②</w:t>
      </w:r>
      <w:r>
        <w:rPr>
          <w:rFonts w:hint="eastAsia" w:ascii="ＭＳ ゴシック" w:hAnsi="ＭＳ ゴシック" w:eastAsia="ＭＳ ゴシック"/>
          <w:b w:val="1"/>
          <w:sz w:val="22"/>
        </w:rPr>
        <w:t xml:space="preserve"> </w:t>
      </w:r>
      <w:r>
        <w:rPr>
          <w:rFonts w:hint="eastAsia" w:ascii="ＭＳ ゴシック" w:hAnsi="ＭＳ ゴシック" w:eastAsia="ＭＳ ゴシック"/>
          <w:b w:val="1"/>
          <w:sz w:val="22"/>
        </w:rPr>
        <w:t>ＭＲＩ</w:t>
      </w:r>
      <w:r>
        <w:rPr>
          <w:rFonts w:hint="eastAsia" w:ascii="ＭＳ ゴシック" w:hAnsi="ＭＳ ゴシック" w:eastAsia="ＭＳ ゴシック"/>
          <w:b w:val="1"/>
          <w:sz w:val="22"/>
        </w:rPr>
        <w:t xml:space="preserve"> </w:t>
      </w:r>
      <w:r>
        <w:rPr>
          <w:rFonts w:hint="eastAsia" w:ascii="ＭＳ ゴシック" w:hAnsi="ＭＳ ゴシック" w:eastAsia="ＭＳ ゴシック"/>
          <w:b w:val="1"/>
          <w:sz w:val="22"/>
        </w:rPr>
        <w:t>】</w:t>
      </w:r>
    </w:p>
    <w:p>
      <w:pPr>
        <w:pStyle w:val="0"/>
        <w:tabs>
          <w:tab w:val="left" w:leader="none" w:pos="4280"/>
        </w:tabs>
        <w:rPr>
          <w:rFonts w:hint="eastAsia"/>
          <w:b w:val="0"/>
          <w:sz w:val="22"/>
        </w:rPr>
      </w:pPr>
      <w:r>
        <w:rPr>
          <w:rFonts w:hint="eastAsia"/>
        </w:rPr>
        <w:drawing>
          <wp:inline distT="0" distB="0" distL="203200" distR="203200">
            <wp:extent cx="5759450" cy="833120"/>
            <wp:effectExtent l="0" t="0" r="0" b="0"/>
            <wp:docPr id="1092" name="オブジェクト 0"/>
            <a:graphic xmlns:a="http://schemas.openxmlformats.org/drawingml/2006/main">
              <a:graphicData uri="http://schemas.openxmlformats.org/drawingml/2006/picture">
                <pic:pic xmlns:pic="http://schemas.openxmlformats.org/drawingml/2006/picture">
                  <pic:nvPicPr>
                    <pic:cNvPr id="1092" name="オブジェクト 0"/>
                    <pic:cNvPicPr>
                      <a:picLocks noChangeAspect="1"/>
                    </pic:cNvPicPr>
                  </pic:nvPicPr>
                  <pic:blipFill>
                    <a:blip r:embed="rId76"/>
                    <a:stretch>
                      <a:fillRect/>
                    </a:stretch>
                  </pic:blipFill>
                  <pic:spPr>
                    <a:xfrm>
                      <a:off x="0" y="0"/>
                      <a:ext cx="5759450" cy="833120"/>
                    </a:xfrm>
                    <a:prstGeom prst="rect">
                      <a:avLst/>
                    </a:prstGeom>
                    <a:noFill/>
                    <a:ln>
                      <a:miter/>
                    </a:ln>
                  </pic:spPr>
                </pic:pic>
              </a:graphicData>
            </a:graphic>
          </wp:inline>
        </w:drawing>
      </w:r>
    </w:p>
    <w:p>
      <w:pPr>
        <w:pStyle w:val="0"/>
        <w:tabs>
          <w:tab w:val="left" w:leader="none" w:pos="4280"/>
        </w:tabs>
        <w:spacing w:line="140" w:lineRule="exact"/>
        <w:rPr>
          <w:rFonts w:hint="eastAsia"/>
          <w:b w:val="0"/>
          <w:sz w:val="22"/>
        </w:rPr>
      </w:pPr>
    </w:p>
    <w:p>
      <w:pPr>
        <w:pStyle w:val="0"/>
        <w:tabs>
          <w:tab w:val="left" w:leader="none" w:pos="4280"/>
        </w:tabs>
        <w:rPr>
          <w:rFonts w:hint="eastAsia"/>
          <w:b w:val="0"/>
          <w:sz w:val="22"/>
        </w:rPr>
      </w:pPr>
      <w:r>
        <w:rPr>
          <w:rFonts w:hint="eastAsia"/>
        </w:rPr>
        <w:drawing>
          <wp:inline distT="0" distB="0" distL="203200" distR="203200">
            <wp:extent cx="5759450" cy="2928620"/>
            <wp:effectExtent l="0" t="0" r="0" b="0"/>
            <wp:docPr id="1093" name="オブジェクト 0"/>
            <a:graphic xmlns:a="http://schemas.openxmlformats.org/drawingml/2006/main">
              <a:graphicData uri="http://schemas.openxmlformats.org/drawingml/2006/picture">
                <pic:pic xmlns:pic="http://schemas.openxmlformats.org/drawingml/2006/picture">
                  <pic:nvPicPr>
                    <pic:cNvPr id="1093" name="オブジェクト 0"/>
                    <pic:cNvPicPr>
                      <a:picLocks noChangeAspect="1"/>
                    </pic:cNvPicPr>
                  </pic:nvPicPr>
                  <pic:blipFill>
                    <a:blip r:embed="rId77"/>
                    <a:stretch>
                      <a:fillRect/>
                    </a:stretch>
                  </pic:blipFill>
                  <pic:spPr>
                    <a:xfrm>
                      <a:off x="0" y="0"/>
                      <a:ext cx="5759450" cy="2928620"/>
                    </a:xfrm>
                    <a:prstGeom prst="rect">
                      <a:avLst/>
                    </a:prstGeom>
                  </pic:spPr>
                </pic:pic>
              </a:graphicData>
            </a:graphic>
          </wp:inline>
        </w:drawing>
      </w:r>
    </w:p>
    <w:p>
      <w:pPr>
        <w:pStyle w:val="0"/>
        <w:tabs>
          <w:tab w:val="left" w:leader="none" w:pos="4280"/>
        </w:tabs>
        <w:spacing w:line="140" w:lineRule="exact"/>
        <w:rPr>
          <w:rFonts w:hint="eastAsia"/>
          <w:b w:val="0"/>
          <w:sz w:val="22"/>
        </w:rPr>
      </w:pPr>
    </w:p>
    <w:p>
      <w:pPr>
        <w:pStyle w:val="0"/>
        <w:tabs>
          <w:tab w:val="left" w:leader="none" w:pos="4280"/>
        </w:tabs>
        <w:rPr>
          <w:rFonts w:hint="eastAsia"/>
          <w:b w:val="0"/>
          <w:sz w:val="22"/>
        </w:rPr>
      </w:pPr>
      <w:r>
        <w:rPr>
          <w:rFonts w:hint="eastAsia"/>
        </w:rPr>
        <w:drawing>
          <wp:inline distT="0" distB="0" distL="203200" distR="203200">
            <wp:extent cx="5759450" cy="1029970"/>
            <wp:effectExtent l="0" t="0" r="0" b="0"/>
            <wp:docPr id="1094" name="オブジェクト 0"/>
            <a:graphic xmlns:a="http://schemas.openxmlformats.org/drawingml/2006/main">
              <a:graphicData uri="http://schemas.openxmlformats.org/drawingml/2006/picture">
                <pic:pic xmlns:pic="http://schemas.openxmlformats.org/drawingml/2006/picture">
                  <pic:nvPicPr>
                    <pic:cNvPr id="1094" name="オブジェクト 0"/>
                    <pic:cNvPicPr>
                      <a:picLocks noChangeAspect="1"/>
                    </pic:cNvPicPr>
                  </pic:nvPicPr>
                  <pic:blipFill>
                    <a:blip r:embed="rId78"/>
                    <a:stretch>
                      <a:fillRect/>
                    </a:stretch>
                  </pic:blipFill>
                  <pic:spPr>
                    <a:xfrm>
                      <a:off x="0" y="0"/>
                      <a:ext cx="5759450" cy="1029970"/>
                    </a:xfrm>
                    <a:prstGeom prst="rect">
                      <a:avLst/>
                    </a:prstGeom>
                  </pic:spPr>
                </pic:pic>
              </a:graphicData>
            </a:graphic>
          </wp:inline>
        </w:drawing>
      </w:r>
    </w:p>
    <w:p>
      <w:pPr>
        <w:pStyle w:val="0"/>
        <w:tabs>
          <w:tab w:val="left" w:leader="none" w:pos="4280"/>
        </w:tabs>
        <w:rPr>
          <w:rFonts w:hint="eastAsia"/>
          <w:b w:val="1"/>
          <w:sz w:val="22"/>
        </w:rPr>
      </w:pPr>
      <w:r>
        <w:rPr>
          <w:rFonts w:hint="eastAsia"/>
        </w:rPr>
        <w:drawing>
          <wp:inline distT="0" distB="0" distL="203200" distR="203200">
            <wp:extent cx="5759450" cy="2042160"/>
            <wp:effectExtent l="0" t="0" r="0" b="0"/>
            <wp:docPr id="1095" name="オブジェクト 0"/>
            <a:graphic xmlns:a="http://schemas.openxmlformats.org/drawingml/2006/main">
              <a:graphicData uri="http://schemas.openxmlformats.org/drawingml/2006/picture">
                <pic:pic xmlns:pic="http://schemas.openxmlformats.org/drawingml/2006/picture">
                  <pic:nvPicPr>
                    <pic:cNvPr id="1095" name="オブジェクト 0"/>
                    <pic:cNvPicPr>
                      <a:picLocks noChangeAspect="1"/>
                    </pic:cNvPicPr>
                  </pic:nvPicPr>
                  <pic:blipFill>
                    <a:blip r:embed="rId79"/>
                    <a:stretch>
                      <a:fillRect/>
                    </a:stretch>
                  </pic:blipFill>
                  <pic:spPr>
                    <a:xfrm>
                      <a:off x="0" y="0"/>
                      <a:ext cx="5759450" cy="2042160"/>
                    </a:xfrm>
                    <a:prstGeom prst="rect">
                      <a:avLst/>
                    </a:prstGeom>
                    <a:noFill/>
                    <a:ln>
                      <a:miter/>
                    </a:ln>
                  </pic:spPr>
                </pic:pic>
              </a:graphicData>
            </a:graphic>
          </wp:inline>
        </w:drawing>
      </w:r>
    </w:p>
    <w:p>
      <w:pPr>
        <w:pStyle w:val="0"/>
        <w:tabs>
          <w:tab w:val="left" w:leader="none" w:pos="4280"/>
        </w:tabs>
        <w:spacing w:line="240" w:lineRule="exact"/>
        <w:rPr>
          <w:rFonts w:hint="eastAsia"/>
          <w:b w:val="1"/>
          <w:sz w:val="22"/>
        </w:rPr>
      </w:pPr>
    </w:p>
    <w:p>
      <w:pPr>
        <w:pStyle w:val="0"/>
        <w:tabs>
          <w:tab w:val="left" w:leader="none" w:pos="4280"/>
        </w:tabs>
        <w:rPr>
          <w:rFonts w:hint="eastAsia"/>
          <w:b w:val="1"/>
          <w:sz w:val="22"/>
        </w:rPr>
      </w:pPr>
      <w:r>
        <w:rPr>
          <w:rFonts w:hint="eastAsia" w:ascii="ＭＳ ゴシック" w:hAnsi="ＭＳ ゴシック" w:eastAsia="ＭＳ ゴシック"/>
          <w:b w:val="1"/>
          <w:sz w:val="22"/>
        </w:rPr>
        <w:t>【</w:t>
      </w:r>
      <w:r>
        <w:rPr>
          <w:rFonts w:hint="eastAsia" w:ascii="ＭＳ ゴシック" w:hAnsi="ＭＳ ゴシック" w:eastAsia="ＭＳ ゴシック"/>
          <w:b w:val="1"/>
          <w:sz w:val="22"/>
        </w:rPr>
        <w:t xml:space="preserve"> </w:t>
      </w:r>
      <w:r>
        <w:rPr>
          <w:rFonts w:hint="eastAsia" w:ascii="ＭＳ ゴシック" w:hAnsi="ＭＳ ゴシック" w:eastAsia="ＭＳ ゴシック"/>
          <w:b w:val="1"/>
          <w:sz w:val="22"/>
        </w:rPr>
        <w:t>③</w:t>
      </w:r>
      <w:r>
        <w:rPr>
          <w:rFonts w:hint="eastAsia" w:ascii="ＭＳ ゴシック" w:hAnsi="ＭＳ ゴシック" w:eastAsia="ＭＳ ゴシック"/>
          <w:b w:val="1"/>
          <w:sz w:val="22"/>
        </w:rPr>
        <w:t xml:space="preserve"> </w:t>
      </w:r>
      <w:r>
        <w:rPr>
          <w:rFonts w:hint="eastAsia" w:ascii="ＭＳ ゴシック" w:hAnsi="ＭＳ ゴシック" w:eastAsia="ＭＳ ゴシック"/>
          <w:b w:val="1"/>
          <w:sz w:val="22"/>
        </w:rPr>
        <w:t>ＰＥＴ</w:t>
      </w:r>
      <w:r>
        <w:rPr>
          <w:rFonts w:hint="eastAsia" w:ascii="ＭＳ ゴシック" w:hAnsi="ＭＳ ゴシック" w:eastAsia="ＭＳ ゴシック"/>
          <w:b w:val="1"/>
          <w:sz w:val="22"/>
        </w:rPr>
        <w:t xml:space="preserve"> </w:t>
      </w:r>
      <w:r>
        <w:rPr>
          <w:rFonts w:hint="eastAsia" w:ascii="ＭＳ ゴシック" w:hAnsi="ＭＳ ゴシック" w:eastAsia="ＭＳ ゴシック"/>
          <w:b w:val="1"/>
          <w:sz w:val="22"/>
        </w:rPr>
        <w:t>】</w:t>
      </w:r>
    </w:p>
    <w:p>
      <w:pPr>
        <w:pStyle w:val="0"/>
        <w:tabs>
          <w:tab w:val="left" w:leader="none" w:pos="4280"/>
        </w:tabs>
        <w:rPr>
          <w:rFonts w:hint="eastAsia"/>
          <w:b w:val="0"/>
          <w:sz w:val="22"/>
        </w:rPr>
      </w:pPr>
      <w:r>
        <w:rPr>
          <w:rFonts w:hint="eastAsia"/>
        </w:rPr>
        <w:drawing>
          <wp:inline distT="0" distB="0" distL="203200" distR="203200">
            <wp:extent cx="5759450" cy="591185"/>
            <wp:effectExtent l="0" t="0" r="0" b="0"/>
            <wp:docPr id="1096" name="オブジェクト 0"/>
            <a:graphic xmlns:a="http://schemas.openxmlformats.org/drawingml/2006/main">
              <a:graphicData uri="http://schemas.openxmlformats.org/drawingml/2006/picture">
                <pic:pic xmlns:pic="http://schemas.openxmlformats.org/drawingml/2006/picture">
                  <pic:nvPicPr>
                    <pic:cNvPr id="1096" name="オブジェクト 0"/>
                    <pic:cNvPicPr>
                      <a:picLocks noChangeAspect="1"/>
                    </pic:cNvPicPr>
                  </pic:nvPicPr>
                  <pic:blipFill>
                    <a:blip r:embed="rId80"/>
                    <a:stretch>
                      <a:fillRect/>
                    </a:stretch>
                  </pic:blipFill>
                  <pic:spPr>
                    <a:xfrm>
                      <a:off x="0" y="0"/>
                      <a:ext cx="5759450" cy="591185"/>
                    </a:xfrm>
                    <a:prstGeom prst="rect">
                      <a:avLst/>
                    </a:prstGeom>
                    <a:noFill/>
                    <a:ln>
                      <a:miter/>
                    </a:ln>
                  </pic:spPr>
                </pic:pic>
              </a:graphicData>
            </a:graphic>
          </wp:inline>
        </w:drawing>
      </w:r>
    </w:p>
    <w:p>
      <w:pPr>
        <w:pStyle w:val="0"/>
        <w:tabs>
          <w:tab w:val="left" w:leader="none" w:pos="4280"/>
        </w:tabs>
        <w:spacing w:line="240" w:lineRule="exact"/>
        <w:rPr>
          <w:rFonts w:hint="eastAsia"/>
          <w:b w:val="1"/>
          <w:sz w:val="22"/>
        </w:rPr>
      </w:pPr>
    </w:p>
    <w:p>
      <w:pPr>
        <w:pStyle w:val="0"/>
        <w:tabs>
          <w:tab w:val="left" w:leader="none" w:pos="4280"/>
        </w:tabs>
        <w:rPr>
          <w:rFonts w:hint="eastAsia"/>
          <w:b w:val="1"/>
          <w:sz w:val="22"/>
        </w:rPr>
      </w:pPr>
      <w:r>
        <w:rPr>
          <w:rFonts w:hint="eastAsia" w:ascii="ＭＳ ゴシック" w:hAnsi="ＭＳ ゴシック" w:eastAsia="ＭＳ ゴシック"/>
          <w:b w:val="1"/>
          <w:sz w:val="22"/>
        </w:rPr>
        <w:t>【</w:t>
      </w:r>
      <w:r>
        <w:rPr>
          <w:rFonts w:hint="eastAsia" w:ascii="ＭＳ ゴシック" w:hAnsi="ＭＳ ゴシック" w:eastAsia="ＭＳ ゴシック"/>
          <w:b w:val="1"/>
          <w:sz w:val="22"/>
        </w:rPr>
        <w:t xml:space="preserve"> </w:t>
      </w:r>
      <w:r>
        <w:rPr>
          <w:rFonts w:hint="eastAsia" w:ascii="ＭＳ ゴシック" w:hAnsi="ＭＳ ゴシック" w:eastAsia="ＭＳ ゴシック"/>
          <w:b w:val="1"/>
          <w:sz w:val="22"/>
        </w:rPr>
        <w:t>④</w:t>
      </w:r>
      <w:r>
        <w:rPr>
          <w:rFonts w:hint="eastAsia" w:ascii="ＭＳ ゴシック" w:hAnsi="ＭＳ ゴシック" w:eastAsia="ＭＳ ゴシック"/>
          <w:b w:val="1"/>
          <w:sz w:val="22"/>
        </w:rPr>
        <w:t xml:space="preserve"> </w:t>
      </w:r>
      <w:r>
        <w:rPr>
          <w:rFonts w:hint="eastAsia" w:ascii="ＭＳ ゴシック" w:hAnsi="ＭＳ ゴシック" w:eastAsia="ＭＳ ゴシック"/>
          <w:b w:val="1"/>
          <w:sz w:val="22"/>
        </w:rPr>
        <w:t>マンモグラフィー</w:t>
      </w:r>
      <w:r>
        <w:rPr>
          <w:rFonts w:hint="eastAsia" w:ascii="ＭＳ ゴシック" w:hAnsi="ＭＳ ゴシック" w:eastAsia="ＭＳ ゴシック"/>
          <w:b w:val="1"/>
          <w:sz w:val="22"/>
        </w:rPr>
        <w:t xml:space="preserve"> </w:t>
      </w:r>
      <w:r>
        <w:rPr>
          <w:rFonts w:hint="eastAsia" w:ascii="ＭＳ ゴシック" w:hAnsi="ＭＳ ゴシック" w:eastAsia="ＭＳ ゴシック"/>
          <w:b w:val="1"/>
          <w:sz w:val="22"/>
        </w:rPr>
        <w:t>】</w:t>
      </w:r>
    </w:p>
    <w:p>
      <w:pPr>
        <w:pStyle w:val="0"/>
        <w:tabs>
          <w:tab w:val="left" w:leader="none" w:pos="4280"/>
        </w:tabs>
        <w:rPr>
          <w:rFonts w:hint="eastAsia"/>
          <w:b w:val="0"/>
          <w:sz w:val="22"/>
        </w:rPr>
      </w:pPr>
      <w:r>
        <w:rPr>
          <w:rFonts w:hint="eastAsia"/>
        </w:rPr>
        <w:drawing>
          <wp:inline distT="0" distB="0" distL="203200" distR="203200">
            <wp:extent cx="5759450" cy="2382520"/>
            <wp:effectExtent l="0" t="0" r="0" b="0"/>
            <wp:docPr id="1097" name="オブジェクト 0"/>
            <a:graphic xmlns:a="http://schemas.openxmlformats.org/drawingml/2006/main">
              <a:graphicData uri="http://schemas.openxmlformats.org/drawingml/2006/picture">
                <pic:pic xmlns:pic="http://schemas.openxmlformats.org/drawingml/2006/picture">
                  <pic:nvPicPr>
                    <pic:cNvPr id="1097" name="オブジェクト 0"/>
                    <pic:cNvPicPr>
                      <a:picLocks noChangeAspect="1"/>
                    </pic:cNvPicPr>
                  </pic:nvPicPr>
                  <pic:blipFill>
                    <a:blip r:embed="rId81"/>
                    <a:stretch>
                      <a:fillRect/>
                    </a:stretch>
                  </pic:blipFill>
                  <pic:spPr>
                    <a:xfrm>
                      <a:off x="0" y="0"/>
                      <a:ext cx="5759450" cy="2382520"/>
                    </a:xfrm>
                    <a:prstGeom prst="rect">
                      <a:avLst/>
                    </a:prstGeom>
                  </pic:spPr>
                </pic:pic>
              </a:graphicData>
            </a:graphic>
          </wp:inline>
        </w:drawing>
      </w:r>
    </w:p>
    <w:p>
      <w:pPr>
        <w:pStyle w:val="0"/>
        <w:tabs>
          <w:tab w:val="left" w:leader="none" w:pos="4280"/>
        </w:tabs>
        <w:spacing w:line="240" w:lineRule="exact"/>
        <w:rPr>
          <w:rFonts w:hint="eastAsia"/>
          <w:b w:val="0"/>
          <w:sz w:val="22"/>
        </w:rPr>
      </w:pPr>
    </w:p>
    <w:p>
      <w:pPr>
        <w:pStyle w:val="0"/>
        <w:tabs>
          <w:tab w:val="left" w:leader="none" w:pos="4280"/>
        </w:tabs>
        <w:rPr>
          <w:rFonts w:hint="eastAsia"/>
          <w:b w:val="0"/>
          <w:sz w:val="22"/>
        </w:rPr>
      </w:pPr>
      <w:r>
        <w:rPr>
          <w:rFonts w:hint="eastAsia" w:ascii="ＭＳ ゴシック" w:hAnsi="ＭＳ ゴシック" w:eastAsia="ＭＳ ゴシック"/>
          <w:b w:val="1"/>
          <w:sz w:val="22"/>
        </w:rPr>
        <w:t>【</w:t>
      </w:r>
      <w:r>
        <w:rPr>
          <w:rFonts w:hint="eastAsia" w:ascii="ＭＳ ゴシック" w:hAnsi="ＭＳ ゴシック" w:eastAsia="ＭＳ ゴシック"/>
          <w:b w:val="1"/>
          <w:sz w:val="22"/>
        </w:rPr>
        <w:t xml:space="preserve"> </w:t>
      </w:r>
      <w:r>
        <w:rPr>
          <w:rFonts w:hint="eastAsia" w:ascii="ＭＳ ゴシック" w:hAnsi="ＭＳ ゴシック" w:eastAsia="ＭＳ ゴシック"/>
          <w:b w:val="1"/>
          <w:sz w:val="22"/>
        </w:rPr>
        <w:t>⑤</w:t>
      </w:r>
      <w:r>
        <w:rPr>
          <w:rFonts w:hint="eastAsia" w:ascii="ＭＳ ゴシック" w:hAnsi="ＭＳ ゴシック" w:eastAsia="ＭＳ ゴシック"/>
          <w:b w:val="1"/>
          <w:sz w:val="22"/>
        </w:rPr>
        <w:t xml:space="preserve"> </w:t>
      </w:r>
      <w:r>
        <w:rPr>
          <w:rFonts w:hint="eastAsia" w:ascii="ＭＳ ゴシック" w:hAnsi="ＭＳ ゴシック" w:eastAsia="ＭＳ ゴシック"/>
          <w:b w:val="1"/>
          <w:sz w:val="22"/>
        </w:rPr>
        <w:t>放射線治療（体外照射）】</w:t>
      </w:r>
    </w:p>
    <w:p>
      <w:pPr>
        <w:pStyle w:val="0"/>
        <w:tabs>
          <w:tab w:val="left" w:leader="none" w:pos="4280"/>
        </w:tabs>
        <w:rPr>
          <w:rFonts w:hint="eastAsia"/>
          <w:b w:val="0"/>
          <w:sz w:val="22"/>
        </w:rPr>
      </w:pPr>
      <w:r>
        <w:rPr>
          <w:rFonts w:hint="eastAsia"/>
        </w:rPr>
        <w:drawing>
          <wp:inline distT="0" distB="0" distL="203200" distR="203200">
            <wp:extent cx="5759450" cy="1075055"/>
            <wp:effectExtent l="0" t="0" r="0" b="0"/>
            <wp:docPr id="1098" name="オブジェクト 0"/>
            <a:graphic xmlns:a="http://schemas.openxmlformats.org/drawingml/2006/main">
              <a:graphicData uri="http://schemas.openxmlformats.org/drawingml/2006/picture">
                <pic:pic xmlns:pic="http://schemas.openxmlformats.org/drawingml/2006/picture">
                  <pic:nvPicPr>
                    <pic:cNvPr id="1098" name="オブジェクト 0"/>
                    <pic:cNvPicPr>
                      <a:picLocks noChangeAspect="1"/>
                    </pic:cNvPicPr>
                  </pic:nvPicPr>
                  <pic:blipFill>
                    <a:blip r:embed="rId82"/>
                    <a:stretch>
                      <a:fillRect/>
                    </a:stretch>
                  </pic:blipFill>
                  <pic:spPr>
                    <a:xfrm>
                      <a:off x="0" y="0"/>
                      <a:ext cx="5759450" cy="1075055"/>
                    </a:xfrm>
                    <a:prstGeom prst="rect">
                      <a:avLst/>
                    </a:prstGeom>
                  </pic:spPr>
                </pic:pic>
              </a:graphicData>
            </a:graphic>
          </wp:inline>
        </w:drawing>
      </w:r>
    </w:p>
    <w:p>
      <w:pPr>
        <w:pStyle w:val="0"/>
        <w:tabs>
          <w:tab w:val="left" w:leader="none" w:pos="4280"/>
        </w:tabs>
        <w:spacing w:line="140" w:lineRule="exact"/>
        <w:rPr>
          <w:rFonts w:hint="eastAsia"/>
          <w:b w:val="0"/>
          <w:sz w:val="22"/>
        </w:rPr>
      </w:pPr>
    </w:p>
    <w:p>
      <w:pPr>
        <w:pStyle w:val="0"/>
        <w:tabs>
          <w:tab w:val="left" w:leader="none" w:pos="4280"/>
        </w:tabs>
        <w:rPr>
          <w:rFonts w:hint="eastAsia"/>
          <w:b w:val="0"/>
          <w:sz w:val="22"/>
        </w:rPr>
      </w:pPr>
      <w:r>
        <w:rPr>
          <w:rFonts w:hint="eastAsia"/>
        </w:rPr>
        <w:drawing>
          <wp:inline distT="0" distB="0" distL="203200" distR="203200">
            <wp:extent cx="5759450" cy="465455"/>
            <wp:effectExtent l="0" t="0" r="0" b="0"/>
            <wp:docPr id="1099" name="オブジェクト 0"/>
            <a:graphic xmlns:a="http://schemas.openxmlformats.org/drawingml/2006/main">
              <a:graphicData uri="http://schemas.openxmlformats.org/drawingml/2006/picture">
                <pic:pic xmlns:pic="http://schemas.openxmlformats.org/drawingml/2006/picture">
                  <pic:nvPicPr>
                    <pic:cNvPr id="1099" name="オブジェクト 0"/>
                    <pic:cNvPicPr>
                      <a:picLocks noChangeAspect="1"/>
                    </pic:cNvPicPr>
                  </pic:nvPicPr>
                  <pic:blipFill>
                    <a:blip r:embed="rId83"/>
                    <a:stretch>
                      <a:fillRect/>
                    </a:stretch>
                  </pic:blipFill>
                  <pic:spPr>
                    <a:xfrm>
                      <a:off x="0" y="0"/>
                      <a:ext cx="5759450" cy="465455"/>
                    </a:xfrm>
                    <a:prstGeom prst="rect">
                      <a:avLst/>
                    </a:prstGeom>
                    <a:noFill/>
                    <a:ln>
                      <a:miter/>
                    </a:ln>
                  </pic:spPr>
                </pic:pic>
              </a:graphicData>
            </a:graphic>
          </wp:inline>
        </w:drawing>
      </w:r>
    </w:p>
    <w:p>
      <w:pPr>
        <w:pStyle w:val="0"/>
        <w:tabs>
          <w:tab w:val="left" w:leader="none" w:pos="4280"/>
        </w:tabs>
        <w:rPr>
          <w:rFonts w:hint="eastAsia"/>
          <w:b w:val="0"/>
          <w:color w:val="FF0000"/>
          <w:sz w:val="22"/>
        </w:rPr>
      </w:pPr>
    </w:p>
    <w:p>
      <w:pPr>
        <w:pStyle w:val="0"/>
        <w:tabs>
          <w:tab w:val="left" w:leader="none" w:pos="4280"/>
        </w:tabs>
        <w:rPr>
          <w:rFonts w:hint="eastAsia"/>
          <w:b w:val="1"/>
          <w:sz w:val="22"/>
        </w:rPr>
      </w:pPr>
    </w:p>
    <w:p>
      <w:pPr>
        <w:pStyle w:val="0"/>
        <w:tabs>
          <w:tab w:val="left" w:leader="none" w:pos="4280"/>
        </w:tabs>
        <w:rPr>
          <w:rFonts w:hint="eastAsia"/>
          <w:b w:val="1"/>
          <w:sz w:val="22"/>
        </w:rPr>
      </w:pPr>
      <w:r>
        <w:rPr>
          <w:rFonts w:hint="eastAsia"/>
          <w:b w:val="1"/>
          <w:sz w:val="22"/>
        </w:rPr>
        <w:t>５．共同利用方針</w:t>
      </w:r>
    </w:p>
    <w:p>
      <w:pPr>
        <w:pStyle w:val="0"/>
        <w:tabs>
          <w:tab w:val="left" w:leader="none" w:pos="4280"/>
        </w:tabs>
        <w:spacing w:after="184" w:afterLines="50" w:afterAutospacing="0"/>
        <w:rPr>
          <w:rFonts w:hint="eastAsia"/>
          <w:b w:val="0"/>
          <w:sz w:val="22"/>
        </w:rPr>
      </w:pPr>
      <w:r>
        <w:rPr>
          <w:rFonts w:hint="eastAsia"/>
        </w:rPr>
        <mc:AlternateContent>
          <mc:Choice Requires="wps">
            <w:drawing>
              <wp:anchor distT="0" distB="0" distL="203200" distR="203200" simplePos="0" relativeHeight="25" behindDoc="0" locked="0" layoutInCell="1" hidden="0" allowOverlap="1">
                <wp:simplePos x="0" y="0"/>
                <wp:positionH relativeFrom="column">
                  <wp:posOffset>-86995</wp:posOffset>
                </wp:positionH>
                <wp:positionV relativeFrom="paragraph">
                  <wp:posOffset>332740</wp:posOffset>
                </wp:positionV>
                <wp:extent cx="5886450" cy="808990"/>
                <wp:effectExtent l="635" t="635" r="29845" b="10795"/>
                <wp:wrapNone/>
                <wp:docPr id="1100" name="オブジェクト 0"/>
                <a:graphic xmlns:a="http://schemas.openxmlformats.org/drawingml/2006/main">
                  <a:graphicData uri="http://schemas.microsoft.com/office/word/2010/wordprocessingShape">
                    <wps:wsp>
                      <wps:cNvPr id="1100" name="オブジェクト 0"/>
                      <wps:cNvSpPr>
                        <a:spLocks noChangeArrowheads="1"/>
                      </wps:cNvSpPr>
                      <wps:spPr>
                        <a:xfrm>
                          <a:off x="0" y="0"/>
                          <a:ext cx="5886450" cy="808990"/>
                        </a:xfrm>
                        <a:prstGeom prst="rect">
                          <a:avLst/>
                        </a:prstGeom>
                        <a:noFill/>
                        <a:ln w="9525" cap="flat" cmpd="sng">
                          <a:solidFill>
                            <a:srgbClr val="000000"/>
                          </a:solidFill>
                          <a:prstDash val="solid"/>
                          <a:miter lim="800000"/>
                        </a:ln>
                      </wps:spPr>
                      <wps:bodyPr/>
                    </wps:wsp>
                  </a:graphicData>
                </a:graphic>
              </wp:anchor>
            </w:drawing>
          </mc:Choice>
          <mc:Fallback>
            <w:pict>
              <v:rect id="オブジェクト 0" style="mso-wrap-distance-right:16pt;mso-wrap-distance-bottom:0pt;margin-top:26.2pt;mso-position-vertical-relative:text;mso-position-horizontal-relative:text;position:absolute;height:63.7pt;mso-wrap-distance-top:0pt;width:463.5pt;mso-wrap-distance-left:16pt;margin-left:-6.85pt;z-index:25;" o:spid="_x0000_s1100" o:allowincell="t" o:allowoverlap="t" filled="f" stroked="t" strokecolor="#000000" strokeweight="0.75pt" o:spt="1">
                <v:fill/>
                <v:stroke linestyle="single" miterlimit="8" endcap="flat" dashstyle="solid" filltype="solid"/>
                <v:textbox style="layout-flow:horizontal;"/>
                <v:imagedata o:title=""/>
                <w10:wrap type="none" anchorx="text" anchory="text"/>
              </v:rect>
            </w:pict>
          </mc:Fallback>
        </mc:AlternateContent>
      </w:r>
      <w:r>
        <w:rPr>
          <w:rFonts w:hint="eastAsia"/>
          <w:b w:val="0"/>
          <w:sz w:val="22"/>
        </w:rPr>
        <w:t>①対象医療機器の共同利用の方針（県内全区域、全医療機器共通）</w:t>
      </w:r>
    </w:p>
    <w:p>
      <w:pPr>
        <w:pStyle w:val="0"/>
        <w:tabs>
          <w:tab w:val="left" w:leader="none" w:pos="4280"/>
        </w:tabs>
        <w:spacing w:after="0" w:afterLines="0" w:afterAutospacing="0"/>
        <w:ind w:left="0" w:leftChars="0" w:firstLine="227" w:firstLineChars="100"/>
        <w:rPr>
          <w:rFonts w:hint="eastAsia"/>
          <w:b w:val="1"/>
          <w:sz w:val="20"/>
        </w:rPr>
      </w:pPr>
      <w:r>
        <w:rPr>
          <w:rFonts w:hint="eastAsia"/>
          <w:b w:val="1"/>
          <w:sz w:val="22"/>
        </w:rPr>
        <w:t>対象医療機器（ＣＴ、ＭＲＩ、ＰＥＴ、マンモグラフィ並びに放射線治療）については、共同利用（対象医療機器について連携先の病院又は診療所から紹介された患者のために利用される場合を含む）に努めるものとする。</w:t>
      </w:r>
    </w:p>
    <w:p>
      <w:pPr>
        <w:pStyle w:val="0"/>
        <w:tabs>
          <w:tab w:val="left" w:leader="none" w:pos="4280"/>
        </w:tabs>
        <w:spacing w:after="184" w:afterLines="50" w:afterAutospacing="0"/>
        <w:rPr>
          <w:rFonts w:hint="eastAsia"/>
          <w:b w:val="0"/>
          <w:sz w:val="22"/>
        </w:rPr>
      </w:pPr>
    </w:p>
    <w:p>
      <w:pPr>
        <w:pStyle w:val="0"/>
        <w:tabs>
          <w:tab w:val="left" w:leader="none" w:pos="4280"/>
        </w:tabs>
        <w:rPr>
          <w:rFonts w:hint="eastAsia"/>
          <w:b w:val="1"/>
          <w:sz w:val="22"/>
        </w:rPr>
      </w:pPr>
      <w:r>
        <w:rPr>
          <w:rFonts w:hint="eastAsia"/>
          <w:b w:val="1"/>
          <w:sz w:val="22"/>
        </w:rPr>
        <w:t>６．共同利用計画の記載事項とチェックのためのプロセス</w:t>
      </w:r>
    </w:p>
    <w:p>
      <w:pPr>
        <w:pStyle w:val="0"/>
        <w:tabs>
          <w:tab w:val="left" w:leader="none" w:pos="4280"/>
        </w:tabs>
        <w:spacing w:after="184" w:afterLines="50" w:afterAutospacing="0"/>
        <w:ind w:firstLine="227" w:firstLineChars="100"/>
        <w:rPr>
          <w:rFonts w:hint="eastAsia"/>
          <w:b w:val="0"/>
          <w:sz w:val="22"/>
        </w:rPr>
      </w:pPr>
      <w:r>
        <w:rPr>
          <w:rFonts w:hint="eastAsia"/>
          <w:b w:val="0"/>
          <w:sz w:val="22"/>
        </w:rPr>
        <w:t>医療機関が対象医療機器を購入・更新する場合は、下記の記載事項により当該医療機器の共同利用計画を策定し、協議の場</w:t>
      </w:r>
      <w:r>
        <w:rPr>
          <w:rFonts w:hint="eastAsia"/>
          <w:b w:val="0"/>
          <w:sz w:val="22"/>
          <w:u w:val="none" w:color="auto"/>
        </w:rPr>
        <w:t>（地域医療構想調整会議）</w:t>
      </w:r>
      <w:r>
        <w:rPr>
          <w:rFonts w:hint="eastAsia"/>
          <w:b w:val="0"/>
          <w:sz w:val="22"/>
        </w:rPr>
        <w:t>において確認を行います。　　</w:t>
      </w:r>
    </w:p>
    <w:p>
      <w:pPr>
        <w:pStyle w:val="0"/>
        <w:tabs>
          <w:tab w:val="left" w:leader="none" w:pos="4280"/>
        </w:tabs>
        <w:spacing w:after="184" w:afterLines="50" w:afterAutospacing="0"/>
        <w:rPr>
          <w:rFonts w:hint="eastAsia"/>
          <w:b w:val="0"/>
          <w:sz w:val="22"/>
        </w:rPr>
      </w:pPr>
      <w:r>
        <w:rPr>
          <w:rFonts w:hint="eastAsia"/>
        </w:rPr>
        <mc:AlternateContent>
          <mc:Choice Requires="wps">
            <w:drawing>
              <wp:anchor distT="0" distB="0" distL="203200" distR="203200" simplePos="0" relativeHeight="21" behindDoc="0" locked="0" layoutInCell="1" hidden="0" allowOverlap="1">
                <wp:simplePos x="0" y="0"/>
                <wp:positionH relativeFrom="column">
                  <wp:posOffset>0</wp:posOffset>
                </wp:positionH>
                <wp:positionV relativeFrom="paragraph">
                  <wp:posOffset>281940</wp:posOffset>
                </wp:positionV>
                <wp:extent cx="5724525" cy="1433195"/>
                <wp:effectExtent l="635" t="635" r="29845" b="10795"/>
                <wp:wrapNone/>
                <wp:docPr id="1101" name="オブジェクト 0"/>
                <a:graphic xmlns:a="http://schemas.openxmlformats.org/drawingml/2006/main">
                  <a:graphicData uri="http://schemas.microsoft.com/office/word/2010/wordprocessingShape">
                    <wps:wsp>
                      <wps:cNvPr id="1101" name="オブジェクト 0"/>
                      <wps:cNvSpPr>
                        <a:spLocks noChangeArrowheads="1"/>
                      </wps:cNvSpPr>
                      <wps:spPr>
                        <a:xfrm>
                          <a:off x="0" y="0"/>
                          <a:ext cx="5724525" cy="1433195"/>
                        </a:xfrm>
                        <a:prstGeom prst="rect">
                          <a:avLst/>
                        </a:prstGeom>
                        <a:noFill/>
                        <a:ln w="9525" cap="flat" cmpd="sng">
                          <a:solidFill>
                            <a:srgbClr val="000000"/>
                          </a:solidFill>
                          <a:prstDash val="solid"/>
                          <a:miter lim="800000"/>
                        </a:ln>
                      </wps:spPr>
                      <wps:bodyPr/>
                    </wps:wsp>
                  </a:graphicData>
                </a:graphic>
              </wp:anchor>
            </w:drawing>
          </mc:Choice>
          <mc:Fallback>
            <w:pict>
              <v:rect id="オブジェクト 0" style="mso-wrap-distance-right:16pt;mso-wrap-distance-bottom:0pt;margin-top:22.2pt;mso-position-vertical-relative:text;mso-position-horizontal-relative:text;position:absolute;height:112.85pt;mso-wrap-distance-top:0pt;width:450.75pt;mso-wrap-distance-left:16pt;margin-left:0pt;z-index:21;" o:spid="_x0000_s1101" o:allowincell="t" o:allowoverlap="t" filled="f" stroked="t" strokecolor="#000000" strokeweight="0.75pt" o:spt="1">
                <v:fill/>
                <v:stroke linestyle="single" miterlimit="8" endcap="flat" dashstyle="solid" filltype="solid"/>
                <v:textbox style="layout-flow:horizontal;"/>
                <v:imagedata o:title=""/>
                <w10:wrap type="none" anchorx="text" anchory="text"/>
              </v:rect>
            </w:pict>
          </mc:Fallback>
        </mc:AlternateContent>
      </w:r>
      <w:r>
        <w:rPr>
          <w:rFonts w:hint="eastAsia"/>
          <w:b w:val="1"/>
          <w:sz w:val="22"/>
        </w:rPr>
        <w:t>①記載事項</w:t>
      </w:r>
      <w:r>
        <w:rPr>
          <w:rFonts w:hint="eastAsia"/>
          <w:b w:val="1"/>
          <w:sz w:val="22"/>
        </w:rPr>
        <w:t xml:space="preserve"> </w:t>
      </w:r>
      <w:r>
        <w:rPr>
          <w:rFonts w:hint="eastAsia"/>
          <w:b w:val="0"/>
          <w:sz w:val="22"/>
        </w:rPr>
        <w:t>【</w:t>
      </w:r>
      <w:r>
        <w:rPr>
          <w:rFonts w:hint="eastAsia"/>
          <w:b w:val="0"/>
          <w:sz w:val="22"/>
        </w:rPr>
        <w:t>P30</w:t>
      </w:r>
      <w:r>
        <w:rPr>
          <w:rFonts w:hint="eastAsia"/>
          <w:b w:val="0"/>
          <w:sz w:val="22"/>
        </w:rPr>
        <w:t>　共同利用計画（様式イメージ）のとおり】</w:t>
      </w:r>
    </w:p>
    <w:p>
      <w:pPr>
        <w:pStyle w:val="0"/>
        <w:tabs>
          <w:tab w:val="left" w:leader="none" w:pos="4280"/>
        </w:tabs>
        <w:ind w:firstLine="227" w:firstLineChars="100"/>
        <w:rPr>
          <w:rFonts w:hint="eastAsia"/>
          <w:b w:val="0"/>
          <w:sz w:val="22"/>
        </w:rPr>
      </w:pPr>
      <w:r>
        <w:rPr>
          <w:rFonts w:hint="eastAsia"/>
          <w:b w:val="0"/>
          <w:sz w:val="22"/>
        </w:rPr>
        <w:t>○共同利用の対象とする医療機器</w:t>
      </w:r>
    </w:p>
    <w:p>
      <w:pPr>
        <w:pStyle w:val="0"/>
        <w:tabs>
          <w:tab w:val="left" w:leader="none" w:pos="4280"/>
        </w:tabs>
        <w:ind w:firstLine="227" w:firstLineChars="100"/>
        <w:rPr>
          <w:rFonts w:hint="eastAsia"/>
          <w:b w:val="0"/>
          <w:sz w:val="22"/>
        </w:rPr>
      </w:pPr>
      <w:r>
        <w:rPr>
          <w:rFonts w:hint="eastAsia"/>
          <w:b w:val="0"/>
          <w:sz w:val="22"/>
        </w:rPr>
        <w:t>○共同利用の方針</w:t>
      </w:r>
    </w:p>
    <w:p>
      <w:pPr>
        <w:pStyle w:val="0"/>
        <w:tabs>
          <w:tab w:val="left" w:leader="none" w:pos="4280"/>
        </w:tabs>
        <w:ind w:firstLine="227" w:firstLineChars="100"/>
        <w:rPr>
          <w:rFonts w:hint="eastAsia"/>
          <w:b w:val="0"/>
          <w:sz w:val="22"/>
        </w:rPr>
      </w:pPr>
      <w:r>
        <w:rPr>
          <w:rFonts w:hint="eastAsia"/>
          <w:b w:val="0"/>
          <w:sz w:val="22"/>
        </w:rPr>
        <w:t>○共同利用の相手方となる医療機関</w:t>
      </w:r>
    </w:p>
    <w:p>
      <w:pPr>
        <w:pStyle w:val="0"/>
        <w:tabs>
          <w:tab w:val="left" w:leader="none" w:pos="4280"/>
        </w:tabs>
        <w:ind w:firstLine="227" w:firstLineChars="100"/>
        <w:rPr>
          <w:rFonts w:hint="eastAsia"/>
          <w:b w:val="0"/>
          <w:sz w:val="22"/>
        </w:rPr>
      </w:pPr>
      <w:r>
        <w:rPr>
          <w:rFonts w:hint="eastAsia"/>
          <w:b w:val="0"/>
          <w:sz w:val="22"/>
        </w:rPr>
        <w:t>○保守、整備等の実施に関する方針</w:t>
      </w:r>
    </w:p>
    <w:p>
      <w:pPr>
        <w:pStyle w:val="0"/>
        <w:tabs>
          <w:tab w:val="left" w:leader="none" w:pos="4280"/>
        </w:tabs>
        <w:ind w:firstLine="227" w:firstLineChars="100"/>
        <w:rPr>
          <w:rFonts w:hint="eastAsia"/>
          <w:b w:val="0"/>
          <w:sz w:val="22"/>
        </w:rPr>
      </w:pPr>
      <w:r>
        <w:rPr>
          <w:rFonts w:hint="eastAsia"/>
          <w:b w:val="0"/>
          <w:sz w:val="22"/>
        </w:rPr>
        <w:t>○画像撮影等の検査機器については、画像情報及び画像診断情報の提供に関する方針</w:t>
      </w:r>
    </w:p>
    <w:p>
      <w:pPr>
        <w:pStyle w:val="0"/>
        <w:tabs>
          <w:tab w:val="left" w:leader="none" w:pos="4280"/>
        </w:tabs>
        <w:rPr>
          <w:rFonts w:hint="eastAsia"/>
          <w:b w:val="0"/>
          <w:sz w:val="22"/>
        </w:rPr>
      </w:pPr>
    </w:p>
    <w:p>
      <w:pPr>
        <w:pStyle w:val="0"/>
        <w:tabs>
          <w:tab w:val="left" w:leader="none" w:pos="4280"/>
        </w:tabs>
        <w:rPr>
          <w:rFonts w:hint="eastAsia"/>
          <w:b w:val="0"/>
          <w:color w:val="000000"/>
          <w:sz w:val="22"/>
        </w:rPr>
      </w:pPr>
      <w:r>
        <w:rPr>
          <w:rFonts w:hint="eastAsia"/>
          <w:b w:val="1"/>
          <w:sz w:val="22"/>
        </w:rPr>
        <w:t>②チェックのためのプロセス　</w:t>
      </w:r>
    </w:p>
    <w:p>
      <w:pPr>
        <w:pStyle w:val="0"/>
        <w:tabs>
          <w:tab w:val="left" w:leader="none" w:pos="4280"/>
        </w:tabs>
        <w:rPr>
          <w:rFonts w:hint="eastAsia"/>
          <w:b w:val="0"/>
          <w:color w:val="000000"/>
          <w:sz w:val="22"/>
        </w:rPr>
      </w:pPr>
      <w:r>
        <w:rPr>
          <w:rFonts w:hint="eastAsia"/>
          <w:b w:val="0"/>
          <w:color w:val="000000"/>
          <w:sz w:val="22"/>
        </w:rPr>
        <w:t>○制度の周知（計画策定後書面により、全医療機関及び関係機関への通知）</w:t>
      </w:r>
    </w:p>
    <w:p>
      <w:pPr>
        <w:pStyle w:val="0"/>
        <w:tabs>
          <w:tab w:val="left" w:leader="none" w:pos="4280"/>
        </w:tabs>
        <w:rPr>
          <w:rFonts w:hint="eastAsia"/>
          <w:b w:val="0"/>
          <w:color w:val="000000"/>
          <w:sz w:val="22"/>
        </w:rPr>
      </w:pPr>
      <w:r>
        <w:rPr>
          <w:rFonts w:hint="eastAsia"/>
          <w:b w:val="0"/>
          <w:color w:val="000000"/>
          <w:sz w:val="22"/>
        </w:rPr>
        <w:t>　現在の医療機器の保有状況について情報共有（県ホームページで公表）</w:t>
      </w:r>
    </w:p>
    <w:p>
      <w:pPr>
        <w:pStyle w:val="0"/>
        <w:tabs>
          <w:tab w:val="left" w:leader="none" w:pos="4280"/>
        </w:tabs>
        <w:spacing w:after="184" w:afterLines="50" w:afterAutospacing="0"/>
        <w:rPr>
          <w:rFonts w:hint="eastAsia"/>
          <w:b w:val="1"/>
          <w:color w:val="000000" w:themeColor="text1"/>
          <w:sz w:val="22"/>
        </w:rPr>
      </w:pPr>
      <w:r>
        <w:rPr>
          <w:rFonts w:hint="eastAsia"/>
          <w:b w:val="1"/>
          <w:color w:val="000000"/>
          <w:sz w:val="22"/>
        </w:rPr>
        <w:t>　</w:t>
      </w:r>
      <w:r>
        <w:rPr>
          <w:rFonts w:hint="eastAsia"/>
          <w:b w:val="0"/>
          <w:strike w:val="0"/>
          <w:dstrike w:val="0"/>
          <w:color w:val="000000" w:themeColor="text1"/>
          <w:sz w:val="22"/>
          <w:u w:val="none" w:color="auto"/>
        </w:rPr>
        <w:t>関係する手続きの際にも合わせて周知（エックス線装置設置届など）</w:t>
      </w:r>
    </w:p>
    <w:p>
      <w:pPr>
        <w:pStyle w:val="0"/>
        <w:tabs>
          <w:tab w:val="left" w:leader="none" w:pos="4280"/>
        </w:tabs>
        <w:spacing w:after="184" w:afterLines="50" w:afterAutospacing="0"/>
        <w:ind w:leftChars="0" w:hanging="225" w:hangingChars="99"/>
        <w:rPr>
          <w:rFonts w:hint="eastAsia"/>
          <w:b w:val="0"/>
          <w:sz w:val="22"/>
        </w:rPr>
      </w:pPr>
      <w:r>
        <w:rPr>
          <w:rFonts w:hint="eastAsia"/>
          <w:b w:val="0"/>
          <w:color w:val="000000" w:themeColor="text1"/>
          <w:sz w:val="22"/>
        </w:rPr>
        <w:t>○対象医療機器を購入・更新する医療機関は、共同利用計画等を、</w:t>
      </w:r>
      <w:r>
        <w:rPr>
          <w:rFonts w:hint="eastAsia"/>
          <w:b w:val="0"/>
          <w:color w:val="000000" w:themeColor="text1"/>
          <w:sz w:val="22"/>
          <w:u w:val="none" w:color="auto"/>
        </w:rPr>
        <w:t>対象医療機器の設置の原則４か月前に</w:t>
      </w:r>
      <w:r>
        <w:rPr>
          <w:rFonts w:hint="eastAsia"/>
          <w:b w:val="0"/>
          <w:color w:val="000000" w:themeColor="text1"/>
          <w:sz w:val="22"/>
        </w:rPr>
        <w:t>地域医療構想調整会議事務局（窓口：保健所）宛に提出することとします。</w:t>
      </w:r>
    </w:p>
    <w:p>
      <w:pPr>
        <w:pStyle w:val="0"/>
        <w:tabs>
          <w:tab w:val="left" w:leader="none" w:pos="4280"/>
        </w:tabs>
        <w:spacing w:after="184" w:afterLines="50" w:afterAutospacing="0"/>
        <w:ind w:leftChars="0" w:hanging="225" w:hangingChars="99"/>
        <w:rPr>
          <w:rFonts w:hint="eastAsia"/>
          <w:b w:val="0"/>
          <w:sz w:val="22"/>
        </w:rPr>
      </w:pPr>
      <w:r>
        <w:rPr>
          <w:rFonts w:hint="eastAsia"/>
          <w:b w:val="0"/>
          <w:sz w:val="22"/>
        </w:rPr>
        <w:t>○事務局は共同利用計画</w:t>
      </w:r>
      <w:r>
        <w:rPr>
          <w:rFonts w:hint="eastAsia"/>
          <w:b w:val="0"/>
          <w:strike w:val="0"/>
          <w:dstrike w:val="0"/>
          <w:sz w:val="22"/>
        </w:rPr>
        <w:t>及び保守点検計画、医療法に基づく医療機器の設置届等に</w:t>
      </w:r>
      <w:r>
        <w:rPr>
          <w:rFonts w:hint="eastAsia"/>
          <w:b w:val="0"/>
          <w:sz w:val="22"/>
        </w:rPr>
        <w:t>より、共同利用の方針や医療機器の安全管理に係る体制並びに診療用放射線の安全管理に係る体制等について確認を行います。</w:t>
      </w:r>
    </w:p>
    <w:p>
      <w:pPr>
        <w:pStyle w:val="0"/>
        <w:tabs>
          <w:tab w:val="left" w:leader="none" w:pos="4280"/>
        </w:tabs>
        <w:spacing w:after="184" w:afterLines="50" w:afterAutospacing="0"/>
        <w:ind w:leftChars="0" w:hanging="225" w:hangingChars="99"/>
        <w:rPr>
          <w:rFonts w:hint="eastAsia"/>
          <w:b w:val="0"/>
          <w:sz w:val="22"/>
          <w:u w:val="none" w:color="auto"/>
        </w:rPr>
      </w:pPr>
      <w:r>
        <w:rPr>
          <w:rFonts w:hint="eastAsia"/>
          <w:b w:val="0"/>
          <w:sz w:val="22"/>
        </w:rPr>
        <w:t>○</w:t>
      </w:r>
      <w:r>
        <w:rPr>
          <w:rFonts w:hint="eastAsia"/>
          <w:b w:val="0"/>
          <w:sz w:val="22"/>
          <w:u w:val="none" w:color="auto"/>
        </w:rPr>
        <w:t>協議の場において、提出された共同利用計画等により共同利用の方針について報告を行うこととし、医療機関が共同利用を行わない場合については、その内容を確認し、必要に応じて出席を依頼のうえ協議を行います。なお、協議の場における協議結果については、公表することとします。</w:t>
      </w:r>
    </w:p>
    <w:p>
      <w:pPr>
        <w:pStyle w:val="0"/>
        <w:tabs>
          <w:tab w:val="left" w:leader="none" w:pos="4280"/>
        </w:tabs>
        <w:ind w:leftChars="0" w:hanging="225" w:hangingChars="99"/>
        <w:rPr>
          <w:rFonts w:hint="eastAsia"/>
          <w:b w:val="0"/>
          <w:sz w:val="22"/>
          <w:u w:val="thick" w:color="auto"/>
        </w:rPr>
      </w:pPr>
      <w:r>
        <w:rPr>
          <w:rFonts w:hint="eastAsia"/>
          <w:b w:val="0"/>
          <w:sz w:val="22"/>
          <w:u w:val="none" w:color="auto"/>
        </w:rPr>
        <w:t>※なお、共同利用を行わない場合や協議の場での結果により、医療機器の購入・更新が妨げられるものではありません。</w:t>
      </w:r>
    </w:p>
    <w:p>
      <w:pPr>
        <w:pStyle w:val="0"/>
        <w:tabs>
          <w:tab w:val="left" w:leader="none" w:pos="4280"/>
        </w:tabs>
        <w:rPr>
          <w:rFonts w:hint="eastAsia"/>
          <w:b w:val="0"/>
          <w:sz w:val="22"/>
        </w:rPr>
      </w:pPr>
      <w:r>
        <w:rPr>
          <w:rFonts w:hint="eastAsia"/>
          <w:b w:val="0"/>
          <w:sz w:val="22"/>
        </w:rPr>
        <w:t>　＜手続きの流れのイメージ図＞</w:t>
      </w:r>
    </w:p>
    <w:p>
      <w:pPr>
        <w:pStyle w:val="0"/>
        <w:tabs>
          <w:tab w:val="left" w:leader="none" w:pos="4280"/>
        </w:tabs>
        <w:rPr>
          <w:rFonts w:hint="eastAsia"/>
          <w:b w:val="0"/>
          <w:sz w:val="22"/>
        </w:rPr>
      </w:pPr>
      <w:r>
        <w:rPr>
          <w:rFonts w:hint="eastAsia"/>
        </w:rPr>
        <mc:AlternateContent>
          <mc:Choice Requires="wps">
            <w:drawing>
              <wp:anchor distT="0" distB="0" distL="71755" distR="71755" simplePos="0" relativeHeight="26" behindDoc="0" locked="0" layoutInCell="1" hidden="0" allowOverlap="1">
                <wp:simplePos x="0" y="0"/>
                <wp:positionH relativeFrom="column">
                  <wp:posOffset>66675</wp:posOffset>
                </wp:positionH>
                <wp:positionV relativeFrom="paragraph">
                  <wp:posOffset>40005</wp:posOffset>
                </wp:positionV>
                <wp:extent cx="5724525" cy="285750"/>
                <wp:effectExtent l="635" t="635" r="29845" b="10795"/>
                <wp:wrapNone/>
                <wp:docPr id="1102" name="オブジェクト 0"/>
                <a:graphic xmlns:a="http://schemas.openxmlformats.org/drawingml/2006/main">
                  <a:graphicData uri="http://schemas.microsoft.com/office/word/2010/wordprocessingShape">
                    <wps:wsp>
                      <wps:cNvPr id="1102" name="オブジェクト 0"/>
                      <wps:cNvSpPr txBox="1">
                        <a:spLocks noChangeArrowheads="1"/>
                      </wps:cNvSpPr>
                      <wps:spPr>
                        <a:xfrm>
                          <a:off x="0" y="0"/>
                          <a:ext cx="5724525" cy="285750"/>
                        </a:xfrm>
                        <a:prstGeom prst="rect">
                          <a:avLst/>
                        </a:prstGeom>
                        <a:solidFill>
                          <a:srgbClr val="FFFFFF"/>
                        </a:solidFill>
                        <a:ln w="6350" cmpd="sng">
                          <a:solidFill>
                            <a:srgbClr val="000000"/>
                          </a:solidFill>
                          <a:miter/>
                        </a:ln>
                      </wps:spPr>
                      <wps:txbx>
                        <w:txbxContent>
                          <w:p>
                            <w:pPr>
                              <w:pStyle w:val="0"/>
                              <w:jc w:val="left"/>
                              <w:rPr>
                                <w:rFonts w:hint="eastAsia"/>
                                <w:sz w:val="22"/>
                              </w:rPr>
                            </w:pPr>
                            <w:r>
                              <w:rPr>
                                <w:rFonts w:hint="eastAsia" w:ascii="ＭＳ ゴシック" w:hAnsi="ＭＳ ゴシック" w:eastAsia="ＭＳ ゴシック"/>
                                <w:sz w:val="22"/>
                                <w:u w:val="none" w:color="auto"/>
                              </w:rPr>
                              <w:t>「医療機器の保有状況に関する情報」及び「共同利用の方針」などの制度の周知</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3.15pt;mso-position-vertical-relative:text;mso-position-horizontal-relative:text;position:absolute;height:22.5pt;mso-wrap-distance-top:0pt;width:450.75pt;mso-wrap-distance-left:5.65pt;margin-left:5.25pt;z-index:26;" o:spid="_x0000_s1102"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jc w:val="left"/>
                        <w:rPr>
                          <w:rFonts w:hint="eastAsia"/>
                          <w:sz w:val="22"/>
                        </w:rPr>
                      </w:pPr>
                      <w:r>
                        <w:rPr>
                          <w:rFonts w:hint="eastAsia" w:ascii="ＭＳ ゴシック" w:hAnsi="ＭＳ ゴシック" w:eastAsia="ＭＳ ゴシック"/>
                          <w:sz w:val="22"/>
                          <w:u w:val="none" w:color="auto"/>
                        </w:rPr>
                        <w:t>「医療機器の保有状況に関する情報」及び「共同利用の方針」などの制度の周知</w:t>
                      </w:r>
                    </w:p>
                  </w:txbxContent>
                </v:textbox>
                <v:imagedata o:title=""/>
                <w10:wrap type="none" anchorx="text" anchory="text"/>
              </v:shape>
            </w:pict>
          </mc:Fallback>
        </mc:AlternateContent>
      </w:r>
    </w:p>
    <w:p>
      <w:pPr>
        <w:pStyle w:val="0"/>
        <w:tabs>
          <w:tab w:val="left" w:leader="none" w:pos="4280"/>
        </w:tabs>
        <w:rPr>
          <w:rFonts w:hint="eastAsia"/>
          <w:b w:val="0"/>
          <w:sz w:val="22"/>
        </w:rPr>
      </w:pPr>
      <w:r>
        <w:rPr>
          <w:rFonts w:hint="eastAsia"/>
        </w:rPr>
        <mc:AlternateContent>
          <mc:Choice Requires="wps">
            <w:drawing>
              <wp:anchor distT="0" distB="0" distL="203200" distR="203200" simplePos="0" relativeHeight="28" behindDoc="0" locked="0" layoutInCell="1" hidden="0" allowOverlap="1">
                <wp:simplePos x="0" y="0"/>
                <wp:positionH relativeFrom="column">
                  <wp:posOffset>2466975</wp:posOffset>
                </wp:positionH>
                <wp:positionV relativeFrom="paragraph">
                  <wp:posOffset>77470</wp:posOffset>
                </wp:positionV>
                <wp:extent cx="485775" cy="344805"/>
                <wp:effectExtent l="1270" t="635" r="30480" b="10795"/>
                <wp:wrapNone/>
                <wp:docPr id="1103" name="オブジェクト 0"/>
                <a:graphic xmlns:a="http://schemas.openxmlformats.org/drawingml/2006/main">
                  <a:graphicData uri="http://schemas.microsoft.com/office/word/2010/wordprocessingShape">
                    <wps:wsp>
                      <wps:cNvPr id="1103" name="オブジェクト 0"/>
                      <wps:cNvSpPr>
                        <a:spLocks noChangeArrowheads="1"/>
                      </wps:cNvSpPr>
                      <wps:spPr>
                        <a:xfrm>
                          <a:off x="0" y="0"/>
                          <a:ext cx="485775" cy="344805"/>
                        </a:xfrm>
                        <a:prstGeom prst="downArrow">
                          <a:avLst>
                            <a:gd name="adj1" fmla="val 50000"/>
                            <a:gd name="adj2" fmla="val 50000"/>
                          </a:avLst>
                        </a:prstGeom>
                        <a:solidFill>
                          <a:srgbClr val="5B9BD5"/>
                        </a:solidFill>
                        <a:ln w="12700" cap="flat" cmpd="sng">
                          <a:solidFill>
                            <a:srgbClr val="42709C"/>
                          </a:solidFill>
                          <a:prstDash val="solid"/>
                          <a:miter lim="800000"/>
                        </a:ln>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オブジェクト 0" style="mso-wrap-distance-right:16pt;mso-wrap-distance-bottom:0pt;margin-top:6.1pt;mso-position-vertical-relative:text;mso-position-horizontal-relative:text;position:absolute;height:27.15pt;mso-wrap-distance-top:0pt;width:38.25pt;mso-wrap-distance-left:16pt;margin-left:194.25pt;z-index:28;" o:spid="_x0000_s1103"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w:pict>
          </mc:Fallback>
        </mc:AlternateContent>
      </w:r>
    </w:p>
    <w:p>
      <w:pPr>
        <w:pStyle w:val="0"/>
        <w:tabs>
          <w:tab w:val="left" w:leader="none" w:pos="4280"/>
        </w:tabs>
        <w:rPr>
          <w:rFonts w:hint="eastAsia"/>
          <w:b w:val="0"/>
          <w:sz w:val="22"/>
        </w:rPr>
      </w:pPr>
      <w:r>
        <w:rPr>
          <w:rFonts w:hint="eastAsia"/>
        </w:rPr>
        <mc:AlternateContent>
          <mc:Choice Requires="wps">
            <w:drawing>
              <wp:anchor distT="0" distB="0" distL="71755" distR="71755" simplePos="0" relativeHeight="23" behindDoc="0" locked="0" layoutInCell="1" hidden="0" allowOverlap="1">
                <wp:simplePos x="0" y="0"/>
                <wp:positionH relativeFrom="column">
                  <wp:posOffset>66675</wp:posOffset>
                </wp:positionH>
                <wp:positionV relativeFrom="paragraph">
                  <wp:posOffset>166370</wp:posOffset>
                </wp:positionV>
                <wp:extent cx="5743575" cy="304800"/>
                <wp:effectExtent l="635" t="635" r="29845" b="10795"/>
                <wp:wrapNone/>
                <wp:docPr id="1104" name="オブジェクト 0"/>
                <a:graphic xmlns:a="http://schemas.openxmlformats.org/drawingml/2006/main">
                  <a:graphicData uri="http://schemas.microsoft.com/office/word/2010/wordprocessingShape">
                    <wps:wsp>
                      <wps:cNvPr id="1104" name="オブジェクト 0"/>
                      <wps:cNvSpPr txBox="1">
                        <a:spLocks noChangeArrowheads="1"/>
                      </wps:cNvSpPr>
                      <wps:spPr>
                        <a:xfrm>
                          <a:off x="0" y="0"/>
                          <a:ext cx="5743575" cy="304800"/>
                        </a:xfrm>
                        <a:prstGeom prst="rect">
                          <a:avLst/>
                        </a:prstGeom>
                        <a:solidFill>
                          <a:srgbClr val="FFFFFF"/>
                        </a:solidFill>
                        <a:ln w="6350" cmpd="sng">
                          <a:solidFill>
                            <a:srgbClr val="000000"/>
                          </a:solidFill>
                          <a:miter/>
                        </a:ln>
                      </wps:spPr>
                      <wps:txbx>
                        <w:txbxContent>
                          <w:p>
                            <w:pPr>
                              <w:pStyle w:val="0"/>
                              <w:autoSpaceDE w:val="0"/>
                              <w:autoSpaceDN w:val="0"/>
                              <w:adjustRightInd w:val="0"/>
                              <w:snapToGrid w:val="0"/>
                              <w:spacing w:before="73" w:beforeLines="20" w:beforeAutospacing="0"/>
                              <w:ind w:left="0" w:leftChars="0" w:firstLine="227" w:firstLineChars="100"/>
                              <w:jc w:val="left"/>
                              <w:rPr>
                                <w:rFonts w:hint="eastAsia"/>
                                <w:color w:val="000000" w:themeColor="text1"/>
                                <w:sz w:val="21"/>
                              </w:rPr>
                            </w:pPr>
                            <w:r>
                              <w:rPr>
                                <w:rFonts w:hint="eastAsia" w:ascii="ＭＳ ゴシック" w:hAnsi="ＭＳ ゴシック" w:eastAsia="ＭＳ ゴシック"/>
                                <w:strike w:val="0"/>
                                <w:color w:val="000000"/>
                                <w:sz w:val="22"/>
                                <w:u w:val="none" w:color="auto"/>
                                <w:bdr w:val="none" w:color="auto" w:sz="0" w:space="0"/>
                              </w:rPr>
                              <w:t>共同利用計画の策定・提出</w:t>
                            </w:r>
                            <w:r>
                              <w:rPr>
                                <w:rFonts w:hint="eastAsia" w:ascii="ＭＳ ゴシック" w:hAnsi="ＭＳ ゴシック" w:eastAsia="ＭＳ ゴシック"/>
                                <w:strike w:val="0"/>
                                <w:dstrike w:val="0"/>
                                <w:color w:val="000000" w:themeColor="text1"/>
                                <w:sz w:val="21"/>
                                <w:u w:val="none" w:color="auto"/>
                                <w:bdr w:val="none" w:color="auto" w:sz="0" w:space="0"/>
                              </w:rPr>
                              <w:t>（設置の原則４か月前、窓口：県福祉保健所、市保健所）</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3.1pt;mso-position-vertical-relative:text;mso-position-horizontal-relative:text;position:absolute;height:24pt;mso-wrap-distance-top:0pt;width:452.25pt;mso-wrap-distance-left:5.65pt;margin-left:5.25pt;z-index:23;" o:spid="_x0000_s1104"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autoSpaceDE w:val="0"/>
                        <w:autoSpaceDN w:val="0"/>
                        <w:adjustRightInd w:val="0"/>
                        <w:snapToGrid w:val="0"/>
                        <w:spacing w:before="73" w:beforeLines="20" w:beforeAutospacing="0"/>
                        <w:ind w:left="0" w:leftChars="0" w:firstLine="227" w:firstLineChars="100"/>
                        <w:jc w:val="left"/>
                        <w:rPr>
                          <w:rFonts w:hint="eastAsia"/>
                          <w:color w:val="000000" w:themeColor="text1"/>
                          <w:sz w:val="21"/>
                        </w:rPr>
                      </w:pPr>
                      <w:r>
                        <w:rPr>
                          <w:rFonts w:hint="eastAsia" w:ascii="ＭＳ ゴシック" w:hAnsi="ＭＳ ゴシック" w:eastAsia="ＭＳ ゴシック"/>
                          <w:strike w:val="0"/>
                          <w:color w:val="000000"/>
                          <w:sz w:val="22"/>
                          <w:u w:val="none" w:color="auto"/>
                          <w:bdr w:val="none" w:color="auto" w:sz="0" w:space="0"/>
                        </w:rPr>
                        <w:t>共同利用計画の策定・提出</w:t>
                      </w:r>
                      <w:r>
                        <w:rPr>
                          <w:rFonts w:hint="eastAsia" w:ascii="ＭＳ ゴシック" w:hAnsi="ＭＳ ゴシック" w:eastAsia="ＭＳ ゴシック"/>
                          <w:strike w:val="0"/>
                          <w:dstrike w:val="0"/>
                          <w:color w:val="000000" w:themeColor="text1"/>
                          <w:sz w:val="21"/>
                          <w:u w:val="none" w:color="auto"/>
                          <w:bdr w:val="none" w:color="auto" w:sz="0" w:space="0"/>
                        </w:rPr>
                        <w:t>（設置の原則４か月前、窓口：県福祉保健所、市保健所）</w:t>
                      </w:r>
                    </w:p>
                  </w:txbxContent>
                </v:textbox>
                <v:imagedata o:title=""/>
                <w10:wrap type="none" anchorx="text" anchory="text"/>
              </v:shape>
            </w:pict>
          </mc:Fallback>
        </mc:AlternateContent>
      </w:r>
    </w:p>
    <w:p>
      <w:pPr>
        <w:pStyle w:val="0"/>
        <w:tabs>
          <w:tab w:val="left" w:leader="none" w:pos="4280"/>
        </w:tabs>
        <w:rPr>
          <w:rFonts w:hint="eastAsia"/>
          <w:b w:val="0"/>
          <w:sz w:val="22"/>
        </w:rPr>
      </w:pPr>
      <w:r>
        <w:rPr>
          <w:rFonts w:hint="eastAsia"/>
        </w:rPr>
        <mc:AlternateContent>
          <mc:Choice Requires="wps">
            <w:drawing>
              <wp:anchor distT="0" distB="0" distL="203200" distR="203200" simplePos="0" relativeHeight="29" behindDoc="0" locked="0" layoutInCell="1" hidden="0" allowOverlap="1">
                <wp:simplePos x="0" y="0"/>
                <wp:positionH relativeFrom="column">
                  <wp:posOffset>2466975</wp:posOffset>
                </wp:positionH>
                <wp:positionV relativeFrom="paragraph">
                  <wp:posOffset>224790</wp:posOffset>
                </wp:positionV>
                <wp:extent cx="485775" cy="344805"/>
                <wp:effectExtent l="1270" t="635" r="30480" b="10795"/>
                <wp:wrapNone/>
                <wp:docPr id="1105" name="オブジェクト 0"/>
                <a:graphic xmlns:a="http://schemas.openxmlformats.org/drawingml/2006/main">
                  <a:graphicData uri="http://schemas.microsoft.com/office/word/2010/wordprocessingShape">
                    <wps:wsp>
                      <wps:cNvPr id="1105" name="オブジェクト 0"/>
                      <wps:cNvSpPr>
                        <a:spLocks noChangeArrowheads="1"/>
                      </wps:cNvSpPr>
                      <wps:spPr>
                        <a:xfrm>
                          <a:off x="0" y="0"/>
                          <a:ext cx="485775" cy="344805"/>
                        </a:xfrm>
                        <a:prstGeom prst="downArrow">
                          <a:avLst>
                            <a:gd name="adj1" fmla="val 50000"/>
                            <a:gd name="adj2" fmla="val 50000"/>
                          </a:avLst>
                        </a:prstGeom>
                        <a:solidFill>
                          <a:srgbClr val="5B9BD5"/>
                        </a:solidFill>
                        <a:ln w="12700" cap="flat" cmpd="sng">
                          <a:solidFill>
                            <a:srgbClr val="42709C"/>
                          </a:solidFill>
                          <a:prstDash val="solid"/>
                          <a:miter lim="800000"/>
                        </a:ln>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オブジェクト 0" style="mso-wrap-distance-right:16pt;mso-wrap-distance-bottom:0pt;margin-top:17.7pt;mso-position-vertical-relative:text;mso-position-horizontal-relative:text;position:absolute;height:27.15pt;mso-wrap-distance-top:0pt;width:38.25pt;mso-wrap-distance-left:16pt;margin-left:194.25pt;z-index:29;" o:spid="_x0000_s1105"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w:pict>
          </mc:Fallback>
        </mc:AlternateContent>
      </w:r>
    </w:p>
    <w:p>
      <w:pPr>
        <w:pStyle w:val="0"/>
        <w:tabs>
          <w:tab w:val="left" w:leader="none" w:pos="4280"/>
        </w:tabs>
        <w:rPr>
          <w:rFonts w:hint="eastAsia"/>
          <w:b w:val="0"/>
          <w:sz w:val="22"/>
        </w:rPr>
      </w:pPr>
    </w:p>
    <w:p>
      <w:pPr>
        <w:pStyle w:val="0"/>
        <w:tabs>
          <w:tab w:val="left" w:leader="none" w:pos="4280"/>
        </w:tabs>
        <w:rPr>
          <w:rFonts w:hint="eastAsia"/>
          <w:b w:val="0"/>
          <w:sz w:val="22"/>
        </w:rPr>
      </w:pPr>
      <w:r>
        <w:rPr>
          <w:rFonts w:hint="eastAsia"/>
        </w:rPr>
        <mc:AlternateContent>
          <mc:Choice Requires="wps">
            <w:drawing>
              <wp:anchor distT="0" distB="0" distL="71755" distR="71755" simplePos="0" relativeHeight="27" behindDoc="0" locked="0" layoutInCell="1" hidden="0" allowOverlap="1">
                <wp:simplePos x="0" y="0"/>
                <wp:positionH relativeFrom="column">
                  <wp:posOffset>99695</wp:posOffset>
                </wp:positionH>
                <wp:positionV relativeFrom="paragraph">
                  <wp:posOffset>36830</wp:posOffset>
                </wp:positionV>
                <wp:extent cx="5724525" cy="342900"/>
                <wp:effectExtent l="635" t="635" r="29845" b="10795"/>
                <wp:wrapNone/>
                <wp:docPr id="1106" name="オブジェクト 0"/>
                <a:graphic xmlns:a="http://schemas.openxmlformats.org/drawingml/2006/main">
                  <a:graphicData uri="http://schemas.microsoft.com/office/word/2010/wordprocessingShape">
                    <wps:wsp>
                      <wps:cNvPr id="1106" name="オブジェクト 0"/>
                      <wps:cNvSpPr txBox="1">
                        <a:spLocks noChangeArrowheads="1"/>
                      </wps:cNvSpPr>
                      <wps:spPr>
                        <a:xfrm>
                          <a:off x="0" y="0"/>
                          <a:ext cx="5724525" cy="342900"/>
                        </a:xfrm>
                        <a:prstGeom prst="rect">
                          <a:avLst/>
                        </a:prstGeom>
                        <a:solidFill>
                          <a:srgbClr val="FFFFFF"/>
                        </a:solidFill>
                        <a:ln w="6350" cmpd="sng">
                          <a:solidFill>
                            <a:srgbClr val="000000"/>
                          </a:solidFill>
                          <a:miter/>
                        </a:ln>
                      </wps:spPr>
                      <wps:txbx>
                        <w:txbxContent>
                          <w:p>
                            <w:pPr>
                              <w:pStyle w:val="0"/>
                              <w:autoSpaceDE w:val="0"/>
                              <w:autoSpaceDN w:val="0"/>
                              <w:adjustRightInd w:val="0"/>
                              <w:snapToGrid w:val="0"/>
                              <w:spacing w:before="113" w:beforeLines="0" w:beforeAutospacing="0"/>
                              <w:ind w:left="0" w:leftChars="0" w:firstLine="227" w:firstLineChars="100"/>
                              <w:jc w:val="left"/>
                              <w:rPr>
                                <w:rFonts w:hint="eastAsia"/>
                                <w:color w:val="000000" w:themeColor="text1"/>
                              </w:rPr>
                            </w:pPr>
                            <w:r>
                              <w:rPr>
                                <w:rFonts w:hint="eastAsia" w:ascii="ＭＳ ゴシック" w:hAnsi="ＭＳ ゴシック" w:eastAsia="ＭＳ ゴシック"/>
                                <w:strike w:val="0"/>
                                <w:color w:val="000000" w:themeColor="text1"/>
                                <w:sz w:val="22"/>
                                <w:u w:val="none" w:color="auto"/>
                                <w:bdr w:val="none" w:color="auto" w:sz="0" w:space="0"/>
                              </w:rPr>
                              <w:t>事務局による共同利用計画等の確認</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2.9pt;mso-position-vertical-relative:text;mso-position-horizontal-relative:text;position:absolute;height:27pt;mso-wrap-distance-top:0pt;width:450.75pt;mso-wrap-distance-left:5.65pt;margin-left:7.85pt;z-index:27;" o:spid="_x0000_s1106"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autoSpaceDE w:val="0"/>
                        <w:autoSpaceDN w:val="0"/>
                        <w:adjustRightInd w:val="0"/>
                        <w:snapToGrid w:val="0"/>
                        <w:spacing w:before="113" w:beforeLines="0" w:beforeAutospacing="0"/>
                        <w:ind w:left="0" w:leftChars="0" w:firstLine="227" w:firstLineChars="100"/>
                        <w:jc w:val="left"/>
                        <w:rPr>
                          <w:rFonts w:hint="eastAsia"/>
                          <w:color w:val="000000" w:themeColor="text1"/>
                        </w:rPr>
                      </w:pPr>
                      <w:r>
                        <w:rPr>
                          <w:rFonts w:hint="eastAsia" w:ascii="ＭＳ ゴシック" w:hAnsi="ＭＳ ゴシック" w:eastAsia="ＭＳ ゴシック"/>
                          <w:strike w:val="0"/>
                          <w:color w:val="000000" w:themeColor="text1"/>
                          <w:sz w:val="22"/>
                          <w:u w:val="none" w:color="auto"/>
                          <w:bdr w:val="none" w:color="auto" w:sz="0" w:space="0"/>
                        </w:rPr>
                        <w:t>事務局による共同利用計画等の確認</w:t>
                      </w:r>
                    </w:p>
                  </w:txbxContent>
                </v:textbox>
                <v:imagedata o:title=""/>
                <w10:wrap type="none" anchorx="text" anchory="text"/>
              </v:shape>
            </w:pict>
          </mc:Fallback>
        </mc:AlternateContent>
      </w:r>
    </w:p>
    <w:p>
      <w:pPr>
        <w:pStyle w:val="0"/>
        <w:tabs>
          <w:tab w:val="left" w:leader="none" w:pos="4280"/>
        </w:tabs>
        <w:rPr>
          <w:rFonts w:hint="eastAsia"/>
          <w:b w:val="0"/>
          <w:sz w:val="22"/>
        </w:rPr>
      </w:pPr>
      <w:r>
        <w:rPr>
          <w:rFonts w:hint="eastAsia"/>
        </w:rPr>
        <mc:AlternateContent>
          <mc:Choice Requires="wps">
            <w:drawing>
              <wp:anchor distT="0" distB="0" distL="203200" distR="203200" simplePos="0" relativeHeight="30" behindDoc="0" locked="0" layoutInCell="1" hidden="0" allowOverlap="1">
                <wp:simplePos x="0" y="0"/>
                <wp:positionH relativeFrom="column">
                  <wp:posOffset>2465070</wp:posOffset>
                </wp:positionH>
                <wp:positionV relativeFrom="paragraph">
                  <wp:posOffset>137795</wp:posOffset>
                </wp:positionV>
                <wp:extent cx="485775" cy="344805"/>
                <wp:effectExtent l="1270" t="2540" r="30480" b="10795"/>
                <wp:wrapNone/>
                <wp:docPr id="1107" name="オブジェクト 0"/>
                <a:graphic xmlns:a="http://schemas.openxmlformats.org/drawingml/2006/main">
                  <a:graphicData uri="http://schemas.microsoft.com/office/word/2010/wordprocessingShape">
                    <wps:wsp>
                      <wps:cNvPr id="1107" name="オブジェクト 0"/>
                      <wps:cNvSpPr>
                        <a:spLocks noChangeArrowheads="1"/>
                      </wps:cNvSpPr>
                      <wps:spPr>
                        <a:xfrm rot="60000">
                          <a:off x="0" y="0"/>
                          <a:ext cx="485775" cy="344805"/>
                        </a:xfrm>
                        <a:prstGeom prst="downArrow">
                          <a:avLst>
                            <a:gd name="adj1" fmla="val 50000"/>
                            <a:gd name="adj2" fmla="val 50000"/>
                          </a:avLst>
                        </a:prstGeom>
                        <a:solidFill>
                          <a:srgbClr val="5B9BD5"/>
                        </a:solidFill>
                        <a:ln w="12700" cap="flat" cmpd="sng">
                          <a:solidFill>
                            <a:srgbClr val="42709C"/>
                          </a:solidFill>
                          <a:prstDash val="solid"/>
                          <a:miter lim="800000"/>
                        </a:ln>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オブジェクト 0" style="mso-wrap-distance-right:16pt;mso-wrap-distance-bottom:0pt;margin-top:10.85pt;mso-position-vertical-relative:text;mso-position-horizontal-relative:text;position:absolute;height:27.15pt;mso-wrap-distance-top:0pt;width:38.25pt;mso-wrap-distance-left:16pt;margin-left:194.1pt;z-index:30;rotation:1;" o:spid="_x0000_s1107"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w:pict>
          </mc:Fallback>
        </mc:AlternateContent>
      </w:r>
    </w:p>
    <w:p>
      <w:pPr>
        <w:pStyle w:val="0"/>
        <w:tabs>
          <w:tab w:val="left" w:leader="none" w:pos="4280"/>
        </w:tabs>
        <w:rPr>
          <w:rFonts w:hint="eastAsia"/>
          <w:b w:val="0"/>
          <w:sz w:val="22"/>
        </w:rPr>
      </w:pPr>
      <w:r>
        <w:rPr>
          <w:rFonts w:hint="eastAsia"/>
        </w:rPr>
        <mc:AlternateContent>
          <mc:Choice Requires="wps">
            <w:drawing>
              <wp:anchor distT="0" distB="0" distL="71755" distR="71755" simplePos="0" relativeHeight="24" behindDoc="0" locked="0" layoutInCell="1" hidden="0" allowOverlap="1">
                <wp:simplePos x="0" y="0"/>
                <wp:positionH relativeFrom="column">
                  <wp:posOffset>99695</wp:posOffset>
                </wp:positionH>
                <wp:positionV relativeFrom="paragraph">
                  <wp:posOffset>177165</wp:posOffset>
                </wp:positionV>
                <wp:extent cx="5724525" cy="571500"/>
                <wp:effectExtent l="635" t="635" r="29845" b="10795"/>
                <wp:wrapNone/>
                <wp:docPr id="1108" name="オブジェクト 0"/>
                <a:graphic xmlns:a="http://schemas.openxmlformats.org/drawingml/2006/main">
                  <a:graphicData uri="http://schemas.microsoft.com/office/word/2010/wordprocessingShape">
                    <wps:wsp>
                      <wps:cNvPr id="1108" name="オブジェクト 0"/>
                      <wps:cNvSpPr txBox="1">
                        <a:spLocks noChangeArrowheads="1"/>
                      </wps:cNvSpPr>
                      <wps:spPr>
                        <a:xfrm>
                          <a:off x="0" y="0"/>
                          <a:ext cx="5724525" cy="571500"/>
                        </a:xfrm>
                        <a:prstGeom prst="rect">
                          <a:avLst/>
                        </a:prstGeom>
                        <a:solidFill>
                          <a:srgbClr val="FFFFFF"/>
                        </a:solidFill>
                        <a:ln w="6350" cmpd="sng">
                          <a:solidFill>
                            <a:srgbClr val="000000"/>
                          </a:solidFill>
                          <a:miter/>
                        </a:ln>
                      </wps:spPr>
                      <wps:txbx>
                        <w:txbxContent>
                          <w:p>
                            <w:pPr>
                              <w:pStyle w:val="0"/>
                              <w:autoSpaceDE w:val="0"/>
                              <w:autoSpaceDN w:val="0"/>
                              <w:adjustRightInd w:val="0"/>
                              <w:snapToGrid w:val="0"/>
                              <w:spacing w:before="73" w:beforeLines="20" w:beforeAutospacing="0"/>
                              <w:ind w:firstLine="240" w:firstLineChars="100"/>
                              <w:rPr>
                                <w:rFonts w:hint="eastAsia" w:ascii="ＭＳ ゴシック" w:hAnsi="ＭＳ ゴシック" w:eastAsia="ＭＳ ゴシック"/>
                                <w:color w:val="000000" w:themeColor="text1"/>
                              </w:rPr>
                            </w:pPr>
                            <w:r>
                              <w:rPr>
                                <w:rFonts w:hint="eastAsia" w:ascii="ＭＳ ゴシック" w:hAnsi="ＭＳ ゴシック" w:eastAsia="ＭＳ ゴシック"/>
                                <w:strike w:val="0"/>
                                <w:color w:val="000000" w:themeColor="text1"/>
                                <w:sz w:val="22"/>
                                <w:u w:val="none" w:color="auto"/>
                                <w:bdr w:val="none" w:color="auto" w:sz="0" w:space="0"/>
                              </w:rPr>
                              <w:t>協議の場（地域医療構想調整会議）において、報告・確認</w:t>
                            </w:r>
                          </w:p>
                          <w:p>
                            <w:pPr>
                              <w:pStyle w:val="0"/>
                              <w:autoSpaceDE w:val="0"/>
                              <w:autoSpaceDN w:val="0"/>
                              <w:adjustRightInd w:val="0"/>
                              <w:snapToGrid w:val="0"/>
                              <w:spacing w:before="100" w:beforeLines="0" w:beforeAutospacing="0"/>
                              <w:ind w:left="0" w:leftChars="0" w:firstLine="240" w:firstLineChars="100"/>
                              <w:rPr>
                                <w:rFonts w:hint="eastAsia"/>
                                <w:color w:val="000000" w:themeColor="text1"/>
                              </w:rPr>
                            </w:pPr>
                            <w:r>
                              <w:rPr>
                                <w:rFonts w:hint="eastAsia" w:ascii="ＭＳ ゴシック" w:hAnsi="ＭＳ ゴシック" w:eastAsia="ＭＳ ゴシック"/>
                                <w:strike w:val="0"/>
                                <w:color w:val="000000" w:themeColor="text1"/>
                                <w:sz w:val="22"/>
                                <w:u w:val="none" w:color="auto"/>
                                <w:bdr w:val="none" w:color="auto" w:sz="0" w:space="0"/>
                              </w:rPr>
                              <w:t>協議状況の公表・報告（県のＨＰで公表、医療審議会等へ報告）</w:t>
                            </w:r>
                          </w:p>
                          <w:p>
                            <w:pPr>
                              <w:pStyle w:val="0"/>
                              <w:autoSpaceDE w:val="0"/>
                              <w:autoSpaceDN w:val="0"/>
                              <w:adjustRightInd w:val="0"/>
                              <w:snapToGrid w:val="0"/>
                              <w:spacing w:before="73" w:beforeLines="20" w:beforeAutospacing="0"/>
                              <w:ind w:firstLine="240" w:firstLineChars="100"/>
                              <w:rPr>
                                <w:rFonts w:hint="eastAsia" w:ascii="ＭＳ ゴシック" w:hAnsi="ＭＳ ゴシック" w:eastAsia="ＭＳ ゴシック"/>
                                <w:color w:val="000000" w:themeColor="text1"/>
                              </w:rPr>
                            </w:pP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3.95pt;mso-position-vertical-relative:text;mso-position-horizontal-relative:text;position:absolute;height:45pt;mso-wrap-distance-top:0pt;width:450.75pt;mso-wrap-distance-left:5.65pt;margin-left:7.85pt;z-index:24;" o:spid="_x0000_s1108"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autoSpaceDE w:val="0"/>
                        <w:autoSpaceDN w:val="0"/>
                        <w:adjustRightInd w:val="0"/>
                        <w:snapToGrid w:val="0"/>
                        <w:spacing w:before="73" w:beforeLines="20" w:beforeAutospacing="0"/>
                        <w:ind w:firstLine="240" w:firstLineChars="100"/>
                        <w:rPr>
                          <w:rFonts w:hint="eastAsia" w:ascii="ＭＳ ゴシック" w:hAnsi="ＭＳ ゴシック" w:eastAsia="ＭＳ ゴシック"/>
                          <w:color w:val="000000" w:themeColor="text1"/>
                        </w:rPr>
                      </w:pPr>
                      <w:r>
                        <w:rPr>
                          <w:rFonts w:hint="eastAsia" w:ascii="ＭＳ ゴシック" w:hAnsi="ＭＳ ゴシック" w:eastAsia="ＭＳ ゴシック"/>
                          <w:strike w:val="0"/>
                          <w:color w:val="000000" w:themeColor="text1"/>
                          <w:sz w:val="22"/>
                          <w:u w:val="none" w:color="auto"/>
                          <w:bdr w:val="none" w:color="auto" w:sz="0" w:space="0"/>
                        </w:rPr>
                        <w:t>協議の場（地域医療構想調整会議）において、報告・確認</w:t>
                      </w:r>
                    </w:p>
                    <w:p>
                      <w:pPr>
                        <w:pStyle w:val="0"/>
                        <w:autoSpaceDE w:val="0"/>
                        <w:autoSpaceDN w:val="0"/>
                        <w:adjustRightInd w:val="0"/>
                        <w:snapToGrid w:val="0"/>
                        <w:spacing w:before="100" w:beforeLines="0" w:beforeAutospacing="0"/>
                        <w:ind w:left="0" w:leftChars="0" w:firstLine="240" w:firstLineChars="100"/>
                        <w:rPr>
                          <w:rFonts w:hint="eastAsia"/>
                          <w:color w:val="000000" w:themeColor="text1"/>
                        </w:rPr>
                      </w:pPr>
                      <w:r>
                        <w:rPr>
                          <w:rFonts w:hint="eastAsia" w:ascii="ＭＳ ゴシック" w:hAnsi="ＭＳ ゴシック" w:eastAsia="ＭＳ ゴシック"/>
                          <w:strike w:val="0"/>
                          <w:color w:val="000000" w:themeColor="text1"/>
                          <w:sz w:val="22"/>
                          <w:u w:val="none" w:color="auto"/>
                          <w:bdr w:val="none" w:color="auto" w:sz="0" w:space="0"/>
                        </w:rPr>
                        <w:t>協議状況の公表・報告（県のＨＰで公表、医療審議会等へ報告）</w:t>
                      </w:r>
                    </w:p>
                    <w:p>
                      <w:pPr>
                        <w:pStyle w:val="0"/>
                        <w:autoSpaceDE w:val="0"/>
                        <w:autoSpaceDN w:val="0"/>
                        <w:adjustRightInd w:val="0"/>
                        <w:snapToGrid w:val="0"/>
                        <w:spacing w:before="73" w:beforeLines="20" w:beforeAutospacing="0"/>
                        <w:ind w:firstLine="240" w:firstLineChars="100"/>
                        <w:rPr>
                          <w:rFonts w:hint="eastAsia" w:ascii="ＭＳ ゴシック" w:hAnsi="ＭＳ ゴシック" w:eastAsia="ＭＳ ゴシック"/>
                          <w:color w:val="000000" w:themeColor="text1"/>
                        </w:rPr>
                      </w:pPr>
                    </w:p>
                  </w:txbxContent>
                </v:textbox>
                <v:imagedata o:title=""/>
                <w10:wrap type="none" anchorx="text" anchory="text"/>
              </v:shape>
            </w:pict>
          </mc:Fallback>
        </mc:AlternateContent>
      </w:r>
    </w:p>
    <w:p>
      <w:pPr>
        <w:pStyle w:val="0"/>
        <w:tabs>
          <w:tab w:val="left" w:leader="none" w:pos="4280"/>
        </w:tabs>
        <w:rPr>
          <w:rFonts w:hint="eastAsia"/>
          <w:b w:val="0"/>
          <w:sz w:val="22"/>
        </w:rPr>
      </w:pPr>
    </w:p>
    <w:p>
      <w:pPr>
        <w:pStyle w:val="0"/>
        <w:tabs>
          <w:tab w:val="left" w:leader="none" w:pos="4280"/>
        </w:tabs>
        <w:rPr>
          <w:rFonts w:hint="eastAsia"/>
          <w:b w:val="0"/>
          <w:sz w:val="22"/>
        </w:rPr>
      </w:pPr>
    </w:p>
    <w:p>
      <w:pPr>
        <w:pStyle w:val="0"/>
        <w:tabs>
          <w:tab w:val="left" w:leader="none" w:pos="4280"/>
        </w:tabs>
        <w:rPr>
          <w:rFonts w:hint="eastAsia"/>
          <w:b w:val="0"/>
          <w:sz w:val="22"/>
        </w:rPr>
      </w:pPr>
    </w:p>
    <w:p>
      <w:pPr>
        <w:pStyle w:val="0"/>
        <w:tabs>
          <w:tab w:val="left" w:leader="none" w:pos="4280"/>
        </w:tabs>
        <w:rPr>
          <w:rFonts w:hint="eastAsia"/>
          <w:b w:val="1"/>
          <w:sz w:val="22"/>
        </w:rPr>
      </w:pPr>
    </w:p>
    <w:p>
      <w:pPr>
        <w:pStyle w:val="0"/>
        <w:tabs>
          <w:tab w:val="left" w:leader="none" w:pos="4280"/>
        </w:tabs>
        <w:rPr>
          <w:rFonts w:hint="eastAsia"/>
          <w:b w:val="1"/>
          <w:sz w:val="22"/>
        </w:rPr>
      </w:pPr>
      <w:r>
        <w:rPr>
          <w:rFonts w:hint="eastAsia"/>
          <w:b w:val="1"/>
          <w:sz w:val="22"/>
        </w:rPr>
        <w:t>（参考）特別償却の優遇措置について</w:t>
      </w:r>
    </w:p>
    <w:p>
      <w:pPr>
        <w:pStyle w:val="0"/>
        <w:tabs>
          <w:tab w:val="left" w:leader="none" w:pos="4280"/>
        </w:tabs>
        <w:rPr>
          <w:rFonts w:hint="eastAsia"/>
          <w:b w:val="0"/>
          <w:sz w:val="22"/>
        </w:rPr>
      </w:pPr>
      <w:r>
        <w:rPr>
          <w:rFonts w:hint="eastAsia"/>
          <w:b w:val="0"/>
          <w:sz w:val="22"/>
        </w:rPr>
        <w:t>　医療機器の共同利用については、平成</w:t>
      </w:r>
      <w:r>
        <w:rPr>
          <w:rFonts w:hint="eastAsia"/>
          <w:b w:val="0"/>
          <w:sz w:val="22"/>
        </w:rPr>
        <w:t>28</w:t>
      </w:r>
      <w:r>
        <w:rPr>
          <w:rFonts w:hint="eastAsia"/>
          <w:b w:val="0"/>
          <w:sz w:val="22"/>
        </w:rPr>
        <w:t>年診療報酬改定にて評価されているほか、地域医療構想調整会議で情報共有したものについては、特別償却の優遇措置を受けられる場合があります。</w:t>
      </w:r>
    </w:p>
    <w:p>
      <w:pPr>
        <w:pStyle w:val="0"/>
        <w:tabs>
          <w:tab w:val="left" w:leader="none" w:pos="4280"/>
        </w:tabs>
        <w:rPr>
          <w:rFonts w:hint="eastAsia"/>
          <w:b w:val="0"/>
          <w:sz w:val="22"/>
        </w:rPr>
      </w:pPr>
    </w:p>
    <w:p>
      <w:pPr>
        <w:pStyle w:val="0"/>
        <w:tabs>
          <w:tab w:val="left" w:leader="none" w:pos="4280"/>
        </w:tabs>
        <w:rPr>
          <w:rFonts w:hint="eastAsia"/>
          <w:b w:val="0"/>
          <w:sz w:val="22"/>
        </w:rPr>
      </w:pPr>
      <w:r>
        <w:rPr>
          <w:rFonts w:hint="eastAsia"/>
          <w:b w:val="0"/>
          <w:sz w:val="22"/>
        </w:rPr>
        <w:t>＜医療用機器の効率的な配置の促進に向けた特別償却＞</w:t>
      </w:r>
    </w:p>
    <w:p>
      <w:pPr>
        <w:pStyle w:val="0"/>
        <w:tabs>
          <w:tab w:val="left" w:leader="none" w:pos="4280"/>
        </w:tabs>
        <w:ind w:leftChars="0" w:hanging="225" w:hangingChars="99"/>
        <w:rPr>
          <w:rFonts w:hint="eastAsia"/>
          <w:b w:val="0"/>
          <w:sz w:val="22"/>
        </w:rPr>
      </w:pPr>
      <w:r>
        <w:rPr>
          <w:rFonts w:hint="eastAsia"/>
          <w:b w:val="0"/>
          <w:sz w:val="22"/>
        </w:rPr>
        <w:t>・概要：青色申告書を提出する法人又は個人において、</w:t>
      </w:r>
      <w:r>
        <w:rPr>
          <w:rFonts w:hint="eastAsia"/>
          <w:b w:val="0"/>
          <w:sz w:val="22"/>
        </w:rPr>
        <w:t>H31.4.1</w:t>
      </w:r>
      <w:r>
        <w:rPr>
          <w:rFonts w:hint="eastAsia"/>
          <w:b w:val="0"/>
          <w:sz w:val="22"/>
        </w:rPr>
        <w:t>～</w:t>
      </w:r>
      <w:r>
        <w:rPr>
          <w:rFonts w:hint="eastAsia"/>
          <w:b w:val="0"/>
          <w:sz w:val="22"/>
        </w:rPr>
        <w:t>R3.3.31</w:t>
      </w:r>
      <w:r>
        <w:rPr>
          <w:rFonts w:hint="eastAsia"/>
          <w:b w:val="0"/>
          <w:sz w:val="22"/>
        </w:rPr>
        <w:t>の間に医療用機器の取得をして医療保険業に供した場合には、その取得額の</w:t>
      </w:r>
      <w:r>
        <w:rPr>
          <w:rFonts w:hint="eastAsia"/>
          <w:b w:val="0"/>
          <w:sz w:val="22"/>
        </w:rPr>
        <w:t>12%</w:t>
      </w:r>
      <w:r>
        <w:rPr>
          <w:rFonts w:hint="eastAsia"/>
          <w:b w:val="0"/>
          <w:sz w:val="22"/>
        </w:rPr>
        <w:t>の特別償却ができます。</w:t>
      </w:r>
    </w:p>
    <w:p>
      <w:pPr>
        <w:pStyle w:val="0"/>
        <w:tabs>
          <w:tab w:val="left" w:leader="none" w:pos="4280"/>
        </w:tabs>
        <w:rPr>
          <w:rFonts w:hint="eastAsia"/>
          <w:b w:val="0"/>
          <w:sz w:val="22"/>
        </w:rPr>
      </w:pPr>
      <w:r>
        <w:rPr>
          <w:rFonts w:hint="eastAsia"/>
          <w:b w:val="0"/>
          <w:sz w:val="22"/>
        </w:rPr>
        <w:t>・対象医療機器：全身用</w:t>
      </w:r>
      <w:r>
        <w:rPr>
          <w:rFonts w:hint="eastAsia"/>
          <w:b w:val="0"/>
          <w:sz w:val="22"/>
        </w:rPr>
        <w:t>CT</w:t>
      </w:r>
      <w:r>
        <w:rPr>
          <w:rFonts w:hint="eastAsia"/>
          <w:b w:val="0"/>
          <w:sz w:val="22"/>
        </w:rPr>
        <w:t>・</w:t>
      </w:r>
      <w:r>
        <w:rPr>
          <w:rFonts w:hint="eastAsia"/>
          <w:b w:val="0"/>
          <w:sz w:val="22"/>
        </w:rPr>
        <w:t>MRI</w:t>
      </w:r>
      <w:r>
        <w:rPr>
          <w:rFonts w:hint="eastAsia"/>
          <w:b w:val="0"/>
          <w:sz w:val="22"/>
        </w:rPr>
        <w:t>※のうち、下記のいずれかを満たすものです。</w:t>
      </w:r>
    </w:p>
    <w:p>
      <w:pPr>
        <w:pStyle w:val="0"/>
        <w:tabs>
          <w:tab w:val="left" w:leader="none" w:pos="4280"/>
        </w:tabs>
        <w:rPr>
          <w:rFonts w:hint="eastAsia"/>
          <w:b w:val="0"/>
          <w:sz w:val="22"/>
        </w:rPr>
      </w:pPr>
      <w:r>
        <w:rPr>
          <w:rFonts w:hint="eastAsia"/>
        </w:rPr>
        <mc:AlternateContent>
          <mc:Choice Requires="wps">
            <w:drawing>
              <wp:anchor distT="0" distB="0" distL="203200" distR="203200" simplePos="0" relativeHeight="22" behindDoc="0" locked="0" layoutInCell="1" hidden="0" allowOverlap="1">
                <wp:simplePos x="0" y="0"/>
                <wp:positionH relativeFrom="column">
                  <wp:posOffset>36195</wp:posOffset>
                </wp:positionH>
                <wp:positionV relativeFrom="paragraph">
                  <wp:posOffset>101600</wp:posOffset>
                </wp:positionV>
                <wp:extent cx="5848350" cy="1695450"/>
                <wp:effectExtent l="635" t="635" r="29845" b="10795"/>
                <wp:wrapNone/>
                <wp:docPr id="1109" name="オブジェクト 0"/>
                <a:graphic xmlns:a="http://schemas.openxmlformats.org/drawingml/2006/main">
                  <a:graphicData uri="http://schemas.microsoft.com/office/word/2010/wordprocessingShape">
                    <wps:wsp>
                      <wps:cNvPr id="1109" name="オブジェクト 0"/>
                      <wps:cNvSpPr>
                        <a:spLocks noChangeArrowheads="1"/>
                      </wps:cNvSpPr>
                      <wps:spPr>
                        <a:xfrm>
                          <a:off x="0" y="0"/>
                          <a:ext cx="5848350" cy="1695450"/>
                        </a:xfrm>
                        <a:prstGeom prst="rect">
                          <a:avLst/>
                        </a:prstGeom>
                        <a:noFill/>
                        <a:ln w="9525" cap="flat" cmpd="sng">
                          <a:solidFill>
                            <a:srgbClr val="000000"/>
                          </a:solidFill>
                          <a:prstDash val="solid"/>
                          <a:miter lim="800000"/>
                        </a:ln>
                      </wps:spPr>
                      <wps:bodyPr/>
                    </wps:wsp>
                  </a:graphicData>
                </a:graphic>
              </wp:anchor>
            </w:drawing>
          </mc:Choice>
          <mc:Fallback>
            <w:pict>
              <v:rect id="オブジェクト 0" style="mso-wrap-distance-right:16pt;mso-wrap-distance-bottom:0pt;margin-top:8pt;mso-position-vertical-relative:text;mso-position-horizontal-relative:text;position:absolute;height:133.5pt;mso-wrap-distance-top:0pt;width:460.5pt;mso-wrap-distance-left:16pt;margin-left:2.85pt;z-index:22;" o:spid="_x0000_s1109" o:allowincell="t" o:allowoverlap="t" filled="f" stroked="t" strokecolor="#000000" strokeweight="0.75pt" o:spt="1">
                <v:fill/>
                <v:stroke linestyle="single" miterlimit="8" endcap="flat" dashstyle="solid" filltype="solid"/>
                <v:textbox style="layout-flow:horizontal;"/>
                <v:imagedata o:title=""/>
                <w10:wrap type="none" anchorx="text" anchory="text"/>
              </v:rect>
            </w:pict>
          </mc:Fallback>
        </mc:AlternateContent>
      </w:r>
    </w:p>
    <w:p>
      <w:pPr>
        <w:pStyle w:val="0"/>
        <w:tabs>
          <w:tab w:val="left" w:leader="none" w:pos="4280"/>
        </w:tabs>
        <w:ind w:firstLine="227" w:firstLineChars="100"/>
        <w:rPr>
          <w:rFonts w:hint="eastAsia"/>
          <w:b w:val="0"/>
          <w:sz w:val="22"/>
        </w:rPr>
      </w:pPr>
      <w:r>
        <w:rPr>
          <w:rFonts w:hint="eastAsia"/>
          <w:b w:val="0"/>
          <w:sz w:val="22"/>
        </w:rPr>
        <w:t>①買い換えの場合、買い換える年の前年の各月における利用回数が、一定回数以上の</w:t>
      </w:r>
    </w:p>
    <w:p>
      <w:pPr>
        <w:pStyle w:val="0"/>
        <w:tabs>
          <w:tab w:val="left" w:leader="none" w:pos="4280"/>
        </w:tabs>
        <w:ind w:firstLine="454" w:firstLineChars="200"/>
        <w:rPr>
          <w:rFonts w:hint="eastAsia"/>
          <w:b w:val="0"/>
          <w:sz w:val="22"/>
        </w:rPr>
      </w:pPr>
      <w:r>
        <w:rPr>
          <w:rFonts w:hint="eastAsia"/>
          <w:b w:val="0"/>
          <w:sz w:val="22"/>
        </w:rPr>
        <w:t>もの（全身用</w:t>
      </w:r>
      <w:r>
        <w:rPr>
          <w:rFonts w:hint="eastAsia"/>
          <w:b w:val="0"/>
          <w:sz w:val="22"/>
        </w:rPr>
        <w:t>CT</w:t>
      </w:r>
      <w:r>
        <w:rPr>
          <w:rFonts w:hint="eastAsia"/>
          <w:b w:val="0"/>
          <w:sz w:val="22"/>
        </w:rPr>
        <w:t>：</w:t>
      </w:r>
      <w:r>
        <w:rPr>
          <w:rFonts w:hint="eastAsia"/>
          <w:b w:val="0"/>
          <w:sz w:val="22"/>
        </w:rPr>
        <w:t>20</w:t>
      </w:r>
      <w:r>
        <w:rPr>
          <w:rFonts w:hint="eastAsia"/>
          <w:b w:val="0"/>
          <w:sz w:val="22"/>
        </w:rPr>
        <w:t>件／月、全身用</w:t>
      </w:r>
      <w:r>
        <w:rPr>
          <w:rFonts w:hint="eastAsia"/>
          <w:b w:val="0"/>
          <w:sz w:val="22"/>
        </w:rPr>
        <w:t>MRI</w:t>
      </w:r>
      <w:r>
        <w:rPr>
          <w:rFonts w:hint="eastAsia"/>
          <w:b w:val="0"/>
          <w:sz w:val="22"/>
        </w:rPr>
        <w:t>：</w:t>
      </w:r>
      <w:r>
        <w:rPr>
          <w:rFonts w:hint="eastAsia"/>
          <w:b w:val="0"/>
          <w:sz w:val="22"/>
        </w:rPr>
        <w:t>40</w:t>
      </w:r>
      <w:r>
        <w:rPr>
          <w:rFonts w:hint="eastAsia"/>
          <w:b w:val="0"/>
          <w:sz w:val="22"/>
        </w:rPr>
        <w:t>件／月）</w:t>
      </w:r>
    </w:p>
    <w:p>
      <w:pPr>
        <w:pStyle w:val="0"/>
        <w:tabs>
          <w:tab w:val="left" w:leader="none" w:pos="4280"/>
        </w:tabs>
        <w:ind w:firstLine="227" w:firstLineChars="100"/>
        <w:rPr>
          <w:rFonts w:hint="eastAsia"/>
          <w:b w:val="0"/>
          <w:sz w:val="22"/>
        </w:rPr>
      </w:pPr>
      <w:r>
        <w:rPr>
          <w:rFonts w:hint="eastAsia"/>
          <w:b w:val="0"/>
          <w:sz w:val="22"/>
        </w:rPr>
        <w:t>②新規購入の場合、他の病院又は診療所と連携して共同利用を行うことが外形的に確認</w:t>
      </w:r>
    </w:p>
    <w:p>
      <w:pPr>
        <w:pStyle w:val="0"/>
        <w:tabs>
          <w:tab w:val="left" w:leader="none" w:pos="4280"/>
        </w:tabs>
        <w:ind w:firstLine="454" w:firstLineChars="200"/>
        <w:rPr>
          <w:rFonts w:hint="eastAsia"/>
          <w:b w:val="0"/>
          <w:sz w:val="22"/>
        </w:rPr>
      </w:pPr>
      <w:r>
        <w:rPr>
          <w:rFonts w:hint="eastAsia"/>
          <w:b w:val="0"/>
          <w:sz w:val="22"/>
        </w:rPr>
        <w:t>できること</w:t>
      </w:r>
    </w:p>
    <w:p>
      <w:pPr>
        <w:pStyle w:val="0"/>
        <w:tabs>
          <w:tab w:val="left" w:leader="none" w:pos="4280"/>
        </w:tabs>
        <w:ind w:firstLine="227" w:firstLineChars="100"/>
        <w:rPr>
          <w:rFonts w:hint="eastAsia"/>
          <w:b w:val="0"/>
          <w:sz w:val="22"/>
        </w:rPr>
      </w:pPr>
      <w:r>
        <w:rPr>
          <w:rFonts w:hint="eastAsia"/>
          <w:b w:val="0"/>
          <w:sz w:val="22"/>
        </w:rPr>
        <w:t>③①、②に掲げる条件に該当しない場合、地域医療構想調整会議にて必要な医療機器の</w:t>
      </w:r>
    </w:p>
    <w:p>
      <w:pPr>
        <w:pStyle w:val="0"/>
        <w:tabs>
          <w:tab w:val="left" w:leader="none" w:pos="4280"/>
        </w:tabs>
        <w:ind w:firstLine="454" w:firstLineChars="200"/>
        <w:rPr>
          <w:rFonts w:hint="eastAsia"/>
          <w:b w:val="0"/>
          <w:sz w:val="22"/>
        </w:rPr>
      </w:pPr>
      <w:r>
        <w:rPr>
          <w:rFonts w:hint="eastAsia"/>
          <w:b w:val="0"/>
          <w:sz w:val="22"/>
        </w:rPr>
        <w:t>整備だと認められたもの</w:t>
      </w:r>
    </w:p>
    <w:p>
      <w:pPr>
        <w:pStyle w:val="0"/>
        <w:tabs>
          <w:tab w:val="left" w:leader="none" w:pos="4280"/>
        </w:tabs>
        <w:rPr>
          <w:rFonts w:hint="eastAsia"/>
          <w:b w:val="0"/>
          <w:sz w:val="22"/>
        </w:rPr>
      </w:pPr>
    </w:p>
    <w:p>
      <w:pPr>
        <w:pStyle w:val="0"/>
        <w:tabs>
          <w:tab w:val="left" w:leader="none" w:pos="4280"/>
        </w:tabs>
        <w:rPr>
          <w:rFonts w:hint="default" w:ascii="ＭＳ 明朝" w:hAnsi="ＭＳ 明朝" w:eastAsia="ＭＳ 明朝"/>
          <w:color w:val="000000"/>
          <w:sz w:val="23"/>
        </w:rPr>
      </w:pPr>
      <w:r>
        <w:rPr>
          <w:rFonts w:hint="eastAsia"/>
          <w:b w:val="0"/>
          <w:sz w:val="22"/>
        </w:rPr>
        <w:t>※超電導磁石式全身用</w:t>
      </w:r>
      <w:r>
        <w:rPr>
          <w:rFonts w:hint="eastAsia"/>
          <w:b w:val="0"/>
          <w:sz w:val="22"/>
        </w:rPr>
        <w:t>MR</w:t>
      </w:r>
      <w:r>
        <w:rPr>
          <w:rFonts w:hint="eastAsia"/>
          <w:b w:val="0"/>
          <w:sz w:val="22"/>
        </w:rPr>
        <w:t>装置、永久磁石式全身用</w:t>
      </w:r>
      <w:r>
        <w:rPr>
          <w:rFonts w:hint="eastAsia"/>
          <w:b w:val="0"/>
          <w:sz w:val="22"/>
        </w:rPr>
        <w:t>MR</w:t>
      </w:r>
      <w:r>
        <w:rPr>
          <w:rFonts w:hint="eastAsia"/>
          <w:b w:val="0"/>
          <w:sz w:val="22"/>
        </w:rPr>
        <w:t>装置、全身用</w:t>
      </w:r>
      <w:r>
        <w:rPr>
          <w:rFonts w:hint="eastAsia"/>
          <w:b w:val="0"/>
          <w:sz w:val="22"/>
        </w:rPr>
        <w:t>X</w:t>
      </w:r>
      <w:r>
        <w:rPr>
          <w:rFonts w:hint="eastAsia"/>
          <w:b w:val="0"/>
          <w:sz w:val="22"/>
        </w:rPr>
        <w:t>線</w:t>
      </w:r>
      <w:r>
        <w:rPr>
          <w:rFonts w:hint="eastAsia"/>
          <w:b w:val="0"/>
          <w:sz w:val="22"/>
        </w:rPr>
        <w:t>CT</w:t>
      </w:r>
      <w:r>
        <w:rPr>
          <w:rFonts w:hint="eastAsia"/>
          <w:b w:val="0"/>
          <w:sz w:val="22"/>
        </w:rPr>
        <w:t>診断装置（</w:t>
      </w:r>
      <w:r>
        <w:rPr>
          <w:rFonts w:hint="eastAsia"/>
          <w:b w:val="0"/>
          <w:sz w:val="22"/>
        </w:rPr>
        <w:t>4</w:t>
      </w:r>
      <w:r>
        <w:rPr>
          <w:rFonts w:hint="eastAsia"/>
          <w:b w:val="0"/>
          <w:sz w:val="22"/>
        </w:rPr>
        <w:t>列</w:t>
      </w:r>
    </w:p>
    <w:p>
      <w:pPr>
        <w:pStyle w:val="0"/>
        <w:tabs>
          <w:tab w:val="left" w:leader="none" w:pos="4280"/>
        </w:tabs>
        <w:ind w:left="227" w:leftChars="100" w:firstLineChars="0"/>
        <w:rPr>
          <w:rFonts w:hint="default" w:ascii="ＭＳ 明朝" w:hAnsi="ＭＳ 明朝" w:eastAsia="ＭＳ 明朝"/>
          <w:color w:val="000000"/>
          <w:sz w:val="23"/>
        </w:rPr>
      </w:pPr>
      <w:r>
        <w:rPr>
          <w:rFonts w:hint="eastAsia"/>
          <w:b w:val="0"/>
          <w:sz w:val="22"/>
        </w:rPr>
        <w:t>未満を除く）、人体回転型全身</w:t>
      </w:r>
      <w:r>
        <w:rPr>
          <w:rFonts w:hint="eastAsia"/>
          <w:b w:val="0"/>
          <w:sz w:val="22"/>
        </w:rPr>
        <w:t>X</w:t>
      </w:r>
      <w:r>
        <w:rPr>
          <w:rFonts w:hint="eastAsia"/>
          <w:b w:val="0"/>
          <w:sz w:val="22"/>
        </w:rPr>
        <w:t>線</w:t>
      </w:r>
      <w:r>
        <w:rPr>
          <w:rFonts w:hint="eastAsia"/>
          <w:b w:val="0"/>
          <w:sz w:val="22"/>
        </w:rPr>
        <w:t>CT</w:t>
      </w:r>
      <w:r>
        <w:rPr>
          <w:rFonts w:hint="eastAsia"/>
          <w:b w:val="0"/>
          <w:sz w:val="22"/>
        </w:rPr>
        <w:t>診断装置</w:t>
      </w:r>
    </w:p>
    <w:p>
      <w:pPr>
        <w:pStyle w:val="0"/>
        <w:tabs>
          <w:tab w:val="left" w:leader="none" w:pos="4280"/>
        </w:tabs>
        <w:ind w:leftChars="0" w:firstLineChars="0"/>
        <w:rPr>
          <w:rFonts w:hint="default" w:ascii="ＭＳ 明朝" w:hAnsi="ＭＳ 明朝" w:eastAsia="ＭＳ 明朝"/>
          <w:color w:val="000000"/>
          <w:sz w:val="23"/>
        </w:rPr>
      </w:pPr>
    </w:p>
    <w:p>
      <w:pPr>
        <w:pStyle w:val="0"/>
        <w:tabs>
          <w:tab w:val="left" w:leader="none" w:pos="4280"/>
        </w:tabs>
        <w:ind w:leftChars="0" w:firstLineChars="0"/>
        <w:rPr>
          <w:rFonts w:hint="default" w:ascii="ＭＳ 明朝" w:hAnsi="ＭＳ 明朝" w:eastAsia="ＭＳ 明朝"/>
          <w:color w:val="000000"/>
          <w:sz w:val="23"/>
        </w:rPr>
      </w:pPr>
    </w:p>
    <w:p>
      <w:pPr>
        <w:pStyle w:val="0"/>
        <w:tabs>
          <w:tab w:val="left" w:leader="none" w:pos="4280"/>
        </w:tabs>
        <w:ind w:leftChars="0" w:firstLineChars="0"/>
        <w:rPr>
          <w:rFonts w:hint="default" w:ascii="ＭＳ 明朝" w:hAnsi="ＭＳ 明朝" w:eastAsia="ＭＳ 明朝"/>
          <w:color w:val="000000"/>
          <w:sz w:val="23"/>
        </w:rPr>
      </w:pPr>
    </w:p>
    <w:p>
      <w:pPr>
        <w:pStyle w:val="0"/>
        <w:tabs>
          <w:tab w:val="left" w:leader="none" w:pos="4280"/>
        </w:tabs>
        <w:ind w:leftChars="0" w:firstLineChars="0"/>
        <w:rPr>
          <w:rFonts w:hint="default" w:ascii="ＭＳ 明朝" w:hAnsi="ＭＳ 明朝" w:eastAsia="ＭＳ 明朝"/>
          <w:color w:val="000000"/>
          <w:sz w:val="23"/>
        </w:rPr>
      </w:pPr>
    </w:p>
    <w:p>
      <w:pPr>
        <w:pStyle w:val="0"/>
        <w:autoSpaceDE w:val="0"/>
        <w:autoSpaceDN w:val="0"/>
        <w:adjustRightInd w:val="0"/>
        <w:snapToGrid w:val="0"/>
        <w:jc w:val="center"/>
        <w:rPr>
          <w:rFonts w:hint="default" w:ascii="ＭＳ 明朝" w:hAnsi="ＭＳ 明朝" w:eastAsia="ＭＳ 明朝"/>
          <w:color w:val="000000"/>
          <w:sz w:val="23"/>
        </w:rPr>
      </w:pPr>
      <w:r>
        <w:rPr>
          <w:rFonts w:hint="eastAsia" w:ascii="ＭＳ 明朝" w:hAnsi="ＭＳ 明朝" w:eastAsia="ＭＳ 明朝"/>
          <w:sz w:val="23"/>
        </w:rPr>
        <w:t>医療機器の</w:t>
      </w:r>
      <w:r>
        <w:rPr>
          <w:rFonts w:hint="default" w:ascii="ＭＳ 明朝" w:hAnsi="ＭＳ 明朝" w:eastAsia="ＭＳ 明朝"/>
          <w:sz w:val="23"/>
        </w:rPr>
        <w:t>共同利用計画</w:t>
      </w:r>
    </w:p>
    <w:p>
      <w:pPr>
        <w:pStyle w:val="0"/>
        <w:autoSpaceDE w:val="0"/>
        <w:autoSpaceDN w:val="0"/>
        <w:adjustRightInd w:val="0"/>
        <w:snapToGrid w:val="0"/>
        <w:jc w:val="center"/>
        <w:rPr>
          <w:rFonts w:hint="default" w:ascii="ＭＳ 明朝" w:hAnsi="ＭＳ 明朝" w:eastAsia="ＭＳ 明朝"/>
          <w:color w:val="000000"/>
          <w:sz w:val="23"/>
        </w:rPr>
      </w:pPr>
    </w:p>
    <w:tbl>
      <w:tblPr>
        <w:tblStyle w:val="11"/>
        <w:tblpPr w:leftFromText="0" w:rightFromText="0" w:topFromText="0" w:bottomFromText="0" w:vertAnchor="text" w:horzAnchor="margin" w:tblpX="25" w:tblpY="5"/>
        <w:tblOverlap w:val="never"/>
        <w:tblBorders>
          <w:top w:val="none" w:color="auto" w:sz="0" w:space="0"/>
          <w:left w:val="none" w:color="auto" w:sz="0" w:space="0"/>
          <w:bottom w:val="none" w:color="auto" w:sz="0" w:space="0"/>
          <w:right w:val="none" w:color="auto" w:sz="0" w:space="0"/>
        </w:tblBorders>
        <w:tblLayout w:type="fixed"/>
        <w:tblCellMar>
          <w:top w:w="0" w:type="dxa"/>
          <w:left w:w="108" w:type="dxa"/>
          <w:bottom w:w="0" w:type="dxa"/>
          <w:right w:w="108" w:type="dxa"/>
        </w:tblCellMar>
        <w:tblLook w:firstRow="1" w:lastRow="0" w:firstColumn="1" w:lastColumn="0" w:noHBand="0" w:noVBand="1" w:val="04A0"/>
      </w:tblPr>
      <w:tblGrid>
        <w:gridCol w:w="1243"/>
        <w:gridCol w:w="1589"/>
        <w:gridCol w:w="454"/>
        <w:gridCol w:w="1362"/>
        <w:gridCol w:w="4635"/>
      </w:tblGrid>
      <w:tr>
        <w:trPr>
          <w:trHeight w:val="388" w:hRule="atLeast"/>
        </w:trPr>
        <w:tc>
          <w:tcPr>
            <w:tcW w:w="1243" w:type="dxa"/>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pStyle w:val="0"/>
              <w:autoSpaceDE w:val="0"/>
              <w:autoSpaceDN w:val="0"/>
              <w:adjustRightInd w:val="0"/>
              <w:snapToGrid w:val="0"/>
              <w:jc w:val="distribute"/>
              <w:rPr>
                <w:rFonts w:hint="default" w:ascii="ＭＳ 明朝" w:hAnsi="ＭＳ 明朝" w:eastAsia="ＭＳ 明朝"/>
                <w:strike w:val="0"/>
                <w:color w:val="000000"/>
                <w:sz w:val="20"/>
                <w:u w:val="none" w:color="auto"/>
              </w:rPr>
            </w:pPr>
            <w:r>
              <w:rPr>
                <w:rFonts w:hint="default" w:ascii="ＭＳ 明朝" w:hAnsi="ＭＳ 明朝" w:eastAsia="ＭＳ 明朝"/>
                <w:color w:val="000000"/>
                <w:sz w:val="20"/>
              </w:rPr>
              <w:t>病院又は診</w:t>
            </w:r>
            <w:r>
              <w:rPr>
                <w:rFonts w:hint="eastAsia" w:ascii="ＭＳ 明朝" w:hAnsi="ＭＳ 明朝" w:eastAsia="ＭＳ 明朝"/>
                <w:color w:val="000000"/>
                <w:sz w:val="20"/>
              </w:rPr>
              <w:t xml:space="preserve"> </w:t>
            </w:r>
            <w:r>
              <w:rPr>
                <w:rFonts w:hint="default" w:ascii="ＭＳ 明朝" w:hAnsi="ＭＳ 明朝" w:eastAsia="ＭＳ 明朝"/>
                <w:color w:val="000000"/>
                <w:sz w:val="20"/>
              </w:rPr>
              <w:t>療</w:t>
            </w:r>
            <w:r>
              <w:rPr>
                <w:rFonts w:hint="eastAsia" w:ascii="ＭＳ 明朝" w:hAnsi="ＭＳ 明朝" w:eastAsia="ＭＳ 明朝"/>
                <w:color w:val="000000"/>
                <w:sz w:val="20"/>
              </w:rPr>
              <w:t xml:space="preserve"> </w:t>
            </w:r>
            <w:r>
              <w:rPr>
                <w:rFonts w:hint="default" w:ascii="ＭＳ 明朝" w:hAnsi="ＭＳ 明朝" w:eastAsia="ＭＳ 明朝"/>
                <w:color w:val="000000"/>
                <w:sz w:val="20"/>
              </w:rPr>
              <w:t>所</w:t>
            </w:r>
          </w:p>
        </w:tc>
        <w:tc>
          <w:tcPr>
            <w:tcW w:w="1589"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0"/>
              <w:snapToGrid w:val="0"/>
              <w:jc w:val="distribute"/>
              <w:rPr>
                <w:rFonts w:hint="eastAsia"/>
                <w:sz w:val="20"/>
              </w:rPr>
            </w:pPr>
            <w:r>
              <w:rPr>
                <w:rFonts w:hint="eastAsia"/>
                <w:sz w:val="20"/>
              </w:rPr>
              <w:t>名称</w:t>
            </w:r>
          </w:p>
        </w:tc>
        <w:tc>
          <w:tcPr>
            <w:tcW w:w="6451" w:type="dxa"/>
            <w:gridSpan w:val="3"/>
            <w:tcBorders>
              <w:top w:val="single" w:color="000000" w:sz="4" w:space="0"/>
              <w:left w:val="single" w:color="000000" w:sz="4" w:space="0"/>
              <w:bottom w:val="single" w:color="000000" w:sz="4" w:space="0"/>
              <w:right w:val="single" w:color="000000" w:sz="4" w:space="0"/>
              <w:tl2br w:val="nil"/>
              <w:tr2bl w:val="nil"/>
            </w:tcBorders>
            <w:vAlign w:val="top"/>
          </w:tcPr>
          <w:p>
            <w:pPr>
              <w:pStyle w:val="0"/>
              <w:autoSpaceDE w:val="0"/>
              <w:autoSpaceDN w:val="0"/>
              <w:adjustRightInd w:val="0"/>
              <w:snapToGrid w:val="0"/>
              <w:rPr>
                <w:rFonts w:hint="default" w:ascii="ＭＳ 明朝" w:hAnsi="ＭＳ 明朝" w:eastAsia="ＭＳ 明朝"/>
                <w:strike w:val="0"/>
                <w:color w:val="000000"/>
                <w:sz w:val="20"/>
                <w:u w:val="none" w:color="auto"/>
              </w:rPr>
            </w:pPr>
          </w:p>
        </w:tc>
      </w:tr>
      <w:tr>
        <w:trPr>
          <w:trHeight w:val="358" w:hRule="atLeast"/>
        </w:trPr>
        <w:tc>
          <w:tcPr>
            <w:tcW w:w="1243"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0"/>
              <w:rPr>
                <w:rFonts w:hint="eastAsia"/>
              </w:rPr>
            </w:pPr>
          </w:p>
        </w:tc>
        <w:tc>
          <w:tcPr>
            <w:tcW w:w="1589"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0"/>
              <w:snapToGrid w:val="0"/>
              <w:jc w:val="distribute"/>
              <w:rPr>
                <w:rFonts w:hint="eastAsia"/>
                <w:sz w:val="20"/>
              </w:rPr>
            </w:pPr>
            <w:r>
              <w:rPr>
                <w:rFonts w:hint="eastAsia"/>
                <w:sz w:val="20"/>
              </w:rPr>
              <w:t>所在地</w:t>
            </w:r>
          </w:p>
        </w:tc>
        <w:tc>
          <w:tcPr>
            <w:tcW w:w="6451" w:type="dxa"/>
            <w:gridSpan w:val="3"/>
            <w:tcBorders>
              <w:top w:val="single" w:color="000000" w:sz="4" w:space="0"/>
              <w:left w:val="single" w:color="000000" w:sz="4" w:space="0"/>
              <w:bottom w:val="single" w:color="000000" w:sz="4" w:space="0"/>
              <w:right w:val="single" w:color="000000" w:sz="4" w:space="0"/>
              <w:tl2br w:val="nil"/>
              <w:tr2bl w:val="nil"/>
            </w:tcBorders>
            <w:vAlign w:val="top"/>
          </w:tcPr>
          <w:p>
            <w:pPr>
              <w:pStyle w:val="0"/>
              <w:snapToGrid w:val="0"/>
              <w:rPr>
                <w:rFonts w:hint="eastAsia"/>
                <w:sz w:val="20"/>
              </w:rPr>
            </w:pPr>
          </w:p>
        </w:tc>
      </w:tr>
      <w:tr>
        <w:trPr>
          <w:trHeight w:val="358" w:hRule="atLeast"/>
        </w:trPr>
        <w:tc>
          <w:tcPr>
            <w:tcW w:w="1243"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0"/>
              <w:rPr>
                <w:rFonts w:hint="eastAsia"/>
              </w:rPr>
            </w:pPr>
          </w:p>
        </w:tc>
        <w:tc>
          <w:tcPr>
            <w:tcW w:w="1589"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0"/>
              <w:jc w:val="distribute"/>
              <w:rPr>
                <w:rFonts w:hint="eastAsia"/>
              </w:rPr>
            </w:pPr>
            <w:r>
              <w:rPr>
                <w:rFonts w:hint="eastAsia"/>
              </w:rPr>
              <w:t>担当者名</w:t>
            </w:r>
          </w:p>
        </w:tc>
        <w:tc>
          <w:tcPr>
            <w:tcW w:w="6451" w:type="dxa"/>
            <w:gridSpan w:val="3"/>
            <w:tcBorders>
              <w:top w:val="single" w:color="000000" w:sz="4" w:space="0"/>
              <w:left w:val="single" w:color="000000" w:sz="4" w:space="0"/>
              <w:bottom w:val="single" w:color="000000" w:sz="4" w:space="0"/>
              <w:right w:val="single" w:color="000000" w:sz="4" w:space="0"/>
              <w:tl2br w:val="nil"/>
              <w:tr2bl w:val="nil"/>
            </w:tcBorders>
            <w:vAlign w:val="top"/>
          </w:tcPr>
          <w:p>
            <w:pPr>
              <w:pStyle w:val="0"/>
              <w:rPr>
                <w:rFonts w:hint="eastAsia"/>
              </w:rPr>
            </w:pPr>
          </w:p>
        </w:tc>
      </w:tr>
      <w:tr>
        <w:trPr>
          <w:trHeight w:val="358" w:hRule="atLeast"/>
        </w:trPr>
        <w:tc>
          <w:tcPr>
            <w:tcW w:w="1243"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0"/>
              <w:rPr>
                <w:rFonts w:hint="eastAsia"/>
              </w:rPr>
            </w:pPr>
          </w:p>
        </w:tc>
        <w:tc>
          <w:tcPr>
            <w:tcW w:w="1589"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0"/>
              <w:jc w:val="distribute"/>
              <w:rPr>
                <w:rFonts w:hint="eastAsia"/>
              </w:rPr>
            </w:pPr>
            <w:r>
              <w:rPr>
                <w:rFonts w:hint="eastAsia"/>
              </w:rPr>
              <w:t>連絡先</w:t>
            </w:r>
          </w:p>
        </w:tc>
        <w:tc>
          <w:tcPr>
            <w:tcW w:w="6451" w:type="dxa"/>
            <w:gridSpan w:val="3"/>
            <w:tcBorders>
              <w:top w:val="single" w:color="000000" w:sz="4" w:space="0"/>
              <w:left w:val="single" w:color="000000" w:sz="4" w:space="0"/>
              <w:bottom w:val="single" w:color="000000" w:sz="4" w:space="0"/>
              <w:right w:val="single" w:color="000000" w:sz="4" w:space="0"/>
              <w:tl2br w:val="nil"/>
              <w:tr2bl w:val="nil"/>
            </w:tcBorders>
            <w:vAlign w:val="top"/>
          </w:tcPr>
          <w:p>
            <w:pPr>
              <w:pStyle w:val="0"/>
              <w:rPr>
                <w:rFonts w:hint="eastAsia"/>
              </w:rPr>
            </w:pPr>
          </w:p>
        </w:tc>
      </w:tr>
      <w:tr>
        <w:trPr>
          <w:trHeight w:val="851" w:hRule="atLeast"/>
        </w:trPr>
        <w:tc>
          <w:tcPr>
            <w:tcW w:w="1243" w:type="dxa"/>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pStyle w:val="0"/>
              <w:autoSpaceDE w:val="0"/>
              <w:autoSpaceDN w:val="0"/>
              <w:adjustRightInd w:val="0"/>
              <w:snapToGrid w:val="0"/>
              <w:jc w:val="distribute"/>
              <w:rPr>
                <w:rFonts w:hint="default" w:ascii="ＭＳ 明朝" w:hAnsi="ＭＳ 明朝" w:eastAsia="ＭＳ 明朝"/>
                <w:strike w:val="0"/>
                <w:color w:val="000000"/>
                <w:sz w:val="20"/>
                <w:u w:val="none" w:color="auto"/>
              </w:rPr>
            </w:pPr>
            <w:r>
              <w:rPr>
                <w:rFonts w:hint="default" w:ascii="ＭＳ 明朝" w:hAnsi="ＭＳ 明朝" w:eastAsia="ＭＳ 明朝"/>
                <w:color w:val="000000"/>
                <w:sz w:val="20"/>
              </w:rPr>
              <w:t>共同</w:t>
            </w:r>
            <w:r>
              <w:rPr>
                <w:rFonts w:hint="eastAsia" w:ascii="ＭＳ 明朝" w:hAnsi="ＭＳ 明朝" w:eastAsia="ＭＳ 明朝"/>
                <w:color w:val="000000"/>
                <w:sz w:val="20"/>
              </w:rPr>
              <w:t>利用</w:t>
            </w:r>
          </w:p>
          <w:p>
            <w:pPr>
              <w:pStyle w:val="0"/>
              <w:autoSpaceDE w:val="0"/>
              <w:autoSpaceDN w:val="0"/>
              <w:adjustRightInd w:val="0"/>
              <w:snapToGrid w:val="0"/>
              <w:jc w:val="distribute"/>
              <w:rPr>
                <w:rFonts w:hint="default" w:ascii="ＭＳ 明朝" w:hAnsi="ＭＳ 明朝" w:eastAsia="ＭＳ 明朝"/>
                <w:strike w:val="0"/>
                <w:color w:val="000000"/>
                <w:sz w:val="20"/>
                <w:u w:val="none" w:color="auto"/>
              </w:rPr>
            </w:pPr>
            <w:r>
              <w:rPr>
                <w:rFonts w:hint="eastAsia" w:ascii="ＭＳ 明朝" w:hAnsi="ＭＳ 明朝" w:eastAsia="ＭＳ 明朝"/>
                <w:color w:val="000000"/>
                <w:sz w:val="20"/>
              </w:rPr>
              <w:t>対</w:t>
            </w:r>
            <w:r>
              <w:rPr>
                <w:rFonts w:hint="default" w:ascii="ＭＳ 明朝" w:hAnsi="ＭＳ 明朝" w:eastAsia="ＭＳ 明朝"/>
                <w:color w:val="000000"/>
                <w:sz w:val="20"/>
              </w:rPr>
              <w:t>象機器</w:t>
            </w:r>
          </w:p>
        </w:tc>
        <w:tc>
          <w:tcPr>
            <w:tcW w:w="1589" w:type="dxa"/>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pStyle w:val="0"/>
              <w:autoSpaceDE w:val="0"/>
              <w:autoSpaceDN w:val="0"/>
              <w:adjustRightInd w:val="0"/>
              <w:snapToGrid w:val="0"/>
              <w:jc w:val="center"/>
              <w:rPr>
                <w:rFonts w:hint="default" w:ascii="ＭＳ 明朝" w:hAnsi="ＭＳ 明朝" w:eastAsia="ＭＳ 明朝"/>
                <w:strike w:val="0"/>
                <w:color w:val="000000"/>
                <w:sz w:val="20"/>
                <w:u w:val="none" w:color="auto"/>
              </w:rPr>
            </w:pPr>
            <w:r>
              <w:rPr>
                <w:rFonts w:hint="default" w:ascii="ＭＳ 明朝" w:hAnsi="ＭＳ 明朝" w:eastAsia="ＭＳ 明朝"/>
                <w:color w:val="000000"/>
                <w:sz w:val="20"/>
              </w:rPr>
              <w:t>種</w:t>
            </w:r>
            <w:r>
              <w:rPr>
                <w:rFonts w:hint="eastAsia" w:ascii="ＭＳ 明朝" w:hAnsi="ＭＳ 明朝" w:eastAsia="ＭＳ 明朝"/>
                <w:color w:val="000000"/>
                <w:sz w:val="20"/>
              </w:rPr>
              <w:t xml:space="preserve">       </w:t>
            </w:r>
            <w:r>
              <w:rPr>
                <w:rFonts w:hint="default" w:ascii="ＭＳ 明朝" w:hAnsi="ＭＳ 明朝" w:eastAsia="ＭＳ 明朝"/>
                <w:color w:val="000000"/>
                <w:sz w:val="20"/>
              </w:rPr>
              <w:t>別</w:t>
            </w:r>
          </w:p>
        </w:tc>
        <w:tc>
          <w:tcPr>
            <w:tcW w:w="6451" w:type="dxa"/>
            <w:gridSpan w:val="3"/>
            <w:tcBorders>
              <w:top w:val="single" w:color="000000" w:sz="4" w:space="0"/>
              <w:left w:val="single" w:color="000000" w:sz="4" w:space="0"/>
              <w:bottom w:val="single" w:color="000000" w:sz="4" w:space="0"/>
              <w:right w:val="single" w:color="000000" w:sz="4" w:space="0"/>
              <w:tl2br w:val="nil"/>
              <w:tr2bl w:val="nil"/>
            </w:tcBorders>
            <w:vAlign w:val="center"/>
          </w:tcPr>
          <w:p>
            <w:pPr>
              <w:pStyle w:val="0"/>
              <w:autoSpaceDE w:val="0"/>
              <w:autoSpaceDN w:val="0"/>
              <w:adjustRightInd w:val="0"/>
              <w:snapToGrid w:val="0"/>
              <w:jc w:val="left"/>
              <w:rPr>
                <w:rFonts w:hint="default" w:ascii="ＭＳ 明朝" w:hAnsi="ＭＳ 明朝" w:eastAsia="ＭＳ 明朝"/>
                <w:strike w:val="0"/>
                <w:color w:val="000000"/>
                <w:sz w:val="20"/>
                <w:u w:val="none" w:color="auto"/>
              </w:rPr>
            </w:pPr>
            <w:r>
              <w:rPr>
                <w:rFonts w:hint="default" w:ascii="ＭＳ 明朝" w:hAnsi="ＭＳ 明朝" w:eastAsia="ＭＳ 明朝"/>
                <w:color w:val="000000"/>
                <w:sz w:val="20"/>
              </w:rPr>
              <w:t>マルチスライスＣＴ（</w:t>
            </w:r>
            <w:r>
              <w:rPr>
                <w:rFonts w:hint="eastAsia" w:ascii="ＭＳ 明朝" w:hAnsi="ＭＳ 明朝" w:eastAsia="ＭＳ 明朝"/>
                <w:color w:val="000000"/>
                <w:sz w:val="20"/>
              </w:rPr>
              <w:t xml:space="preserve"> </w:t>
            </w:r>
            <w:r>
              <w:rPr>
                <w:rFonts w:hint="default" w:ascii="ＭＳ 明朝" w:hAnsi="ＭＳ 明朝" w:eastAsia="ＭＳ 明朝"/>
                <w:color w:val="000000"/>
                <w:sz w:val="20"/>
              </w:rPr>
              <w:t>64</w:t>
            </w:r>
            <w:r>
              <w:rPr>
                <w:rFonts w:hint="default" w:ascii="ＭＳ 明朝" w:hAnsi="ＭＳ 明朝" w:eastAsia="ＭＳ 明朝"/>
                <w:color w:val="000000"/>
                <w:sz w:val="20"/>
              </w:rPr>
              <w:t>列以上</w:t>
            </w:r>
            <w:r>
              <w:rPr>
                <w:rFonts w:hint="eastAsia" w:ascii="ＭＳ 明朝" w:hAnsi="ＭＳ 明朝" w:eastAsia="ＭＳ 明朝"/>
                <w:color w:val="000000"/>
                <w:sz w:val="20"/>
              </w:rPr>
              <w:t>・</w:t>
            </w:r>
            <w:r>
              <w:rPr>
                <w:rFonts w:hint="default" w:ascii="ＭＳ 明朝" w:hAnsi="ＭＳ 明朝" w:eastAsia="ＭＳ 明朝"/>
                <w:color w:val="000000"/>
                <w:sz w:val="20"/>
              </w:rPr>
              <w:t>16</w:t>
            </w:r>
            <w:r>
              <w:rPr>
                <w:rFonts w:hint="default" w:ascii="ＭＳ 明朝" w:hAnsi="ＭＳ 明朝" w:eastAsia="ＭＳ 明朝"/>
                <w:color w:val="000000"/>
                <w:sz w:val="20"/>
              </w:rPr>
              <w:t>列以上</w:t>
            </w:r>
            <w:r>
              <w:rPr>
                <w:rFonts w:hint="default" w:ascii="ＭＳ 明朝" w:hAnsi="ＭＳ 明朝" w:eastAsia="ＭＳ 明朝"/>
                <w:color w:val="000000"/>
                <w:sz w:val="20"/>
              </w:rPr>
              <w:t>64</w:t>
            </w:r>
            <w:r>
              <w:rPr>
                <w:rFonts w:hint="default" w:ascii="ＭＳ 明朝" w:hAnsi="ＭＳ 明朝" w:eastAsia="ＭＳ 明朝"/>
                <w:color w:val="000000"/>
                <w:sz w:val="20"/>
              </w:rPr>
              <w:t>列未満</w:t>
            </w:r>
            <w:r>
              <w:rPr>
                <w:rFonts w:hint="eastAsia" w:ascii="ＭＳ 明朝" w:hAnsi="ＭＳ 明朝" w:eastAsia="ＭＳ 明朝"/>
                <w:color w:val="000000"/>
                <w:sz w:val="20"/>
              </w:rPr>
              <w:t>・</w:t>
            </w:r>
            <w:r>
              <w:rPr>
                <w:rFonts w:hint="default" w:ascii="ＭＳ 明朝" w:hAnsi="ＭＳ 明朝" w:eastAsia="ＭＳ 明朝"/>
                <w:color w:val="000000"/>
                <w:sz w:val="20"/>
              </w:rPr>
              <w:t>16</w:t>
            </w:r>
            <w:r>
              <w:rPr>
                <w:rFonts w:hint="default" w:ascii="ＭＳ 明朝" w:hAnsi="ＭＳ 明朝" w:eastAsia="ＭＳ 明朝"/>
                <w:color w:val="000000"/>
                <w:sz w:val="20"/>
              </w:rPr>
              <w:t>列未満</w:t>
            </w:r>
            <w:r>
              <w:rPr>
                <w:rFonts w:hint="eastAsia" w:ascii="ＭＳ 明朝" w:hAnsi="ＭＳ 明朝" w:eastAsia="ＭＳ 明朝"/>
                <w:color w:val="000000"/>
                <w:sz w:val="20"/>
              </w:rPr>
              <w:t xml:space="preserve"> </w:t>
            </w:r>
            <w:r>
              <w:rPr>
                <w:rFonts w:hint="default" w:ascii="ＭＳ 明朝" w:hAnsi="ＭＳ 明朝" w:eastAsia="ＭＳ 明朝"/>
                <w:color w:val="000000"/>
                <w:sz w:val="20"/>
              </w:rPr>
              <w:t>）</w:t>
            </w:r>
          </w:p>
          <w:p>
            <w:pPr>
              <w:pStyle w:val="0"/>
              <w:autoSpaceDE w:val="0"/>
              <w:autoSpaceDN w:val="0"/>
              <w:adjustRightInd w:val="0"/>
              <w:snapToGrid w:val="0"/>
              <w:jc w:val="left"/>
              <w:rPr>
                <w:rFonts w:hint="default" w:ascii="ＭＳ 明朝" w:hAnsi="ＭＳ 明朝" w:eastAsia="ＭＳ 明朝"/>
                <w:strike w:val="0"/>
                <w:color w:val="000000"/>
                <w:sz w:val="20"/>
                <w:u w:val="none" w:color="auto"/>
              </w:rPr>
            </w:pPr>
            <w:r>
              <w:rPr>
                <w:rFonts w:hint="default" w:ascii="ＭＳ 明朝" w:hAnsi="ＭＳ 明朝" w:eastAsia="ＭＳ 明朝"/>
                <w:strike w:val="0"/>
                <w:color w:val="000000"/>
                <w:sz w:val="20"/>
                <w:u w:val="none" w:color="auto"/>
              </w:rPr>
              <w:t>その他のＣＴ</w:t>
            </w:r>
          </w:p>
        </w:tc>
      </w:tr>
      <w:tr>
        <w:trPr>
          <w:trHeight w:val="364" w:hRule="atLeast"/>
        </w:trPr>
        <w:tc>
          <w:tcPr>
            <w:tcW w:w="1243"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0"/>
              <w:rPr>
                <w:rFonts w:hint="default" w:ascii="ＭＳ 明朝" w:hAnsi="ＭＳ 明朝" w:eastAsia="ＭＳ 明朝"/>
                <w:strike w:val="0"/>
                <w:color w:val="000000"/>
                <w:sz w:val="22"/>
                <w:u w:val="none" w:color="auto"/>
              </w:rPr>
            </w:pPr>
          </w:p>
        </w:tc>
        <w:tc>
          <w:tcPr>
            <w:tcW w:w="1589"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0"/>
              <w:rPr>
                <w:rFonts w:hint="eastAsia"/>
              </w:rPr>
            </w:pPr>
          </w:p>
        </w:tc>
        <w:tc>
          <w:tcPr>
            <w:tcW w:w="6451" w:type="dxa"/>
            <w:gridSpan w:val="3"/>
            <w:tcBorders>
              <w:top w:val="single" w:color="000000" w:sz="4" w:space="0"/>
              <w:left w:val="single" w:color="000000" w:sz="4" w:space="0"/>
              <w:bottom w:val="single" w:color="000000" w:sz="4" w:space="0"/>
              <w:right w:val="single" w:color="000000" w:sz="4" w:space="0"/>
              <w:tl2br w:val="nil"/>
              <w:tr2bl w:val="nil"/>
            </w:tcBorders>
            <w:vAlign w:val="center"/>
          </w:tcPr>
          <w:p>
            <w:pPr>
              <w:pStyle w:val="0"/>
              <w:snapToGrid w:val="0"/>
              <w:jc w:val="left"/>
              <w:rPr>
                <w:rFonts w:hint="eastAsia"/>
                <w:sz w:val="20"/>
              </w:rPr>
            </w:pPr>
            <w:r>
              <w:rPr>
                <w:rFonts w:hint="default" w:ascii="ＭＳ 明朝" w:hAnsi="ＭＳ 明朝" w:eastAsia="ＭＳ 明朝"/>
                <w:color w:val="000000"/>
                <w:sz w:val="20"/>
              </w:rPr>
              <w:t>ＭＲＩ（３ﾃｽﾗ以上・</w:t>
            </w:r>
            <w:r>
              <w:rPr>
                <w:rFonts w:hint="default" w:ascii="ＭＳ 明朝" w:hAnsi="ＭＳ 明朝" w:eastAsia="ＭＳ 明朝"/>
                <w:color w:val="000000"/>
                <w:sz w:val="20"/>
              </w:rPr>
              <w:t>1.5</w:t>
            </w:r>
            <w:r>
              <w:rPr>
                <w:rFonts w:hint="default" w:ascii="ＭＳ 明朝" w:hAnsi="ＭＳ 明朝" w:eastAsia="ＭＳ 明朝"/>
                <w:color w:val="000000"/>
                <w:sz w:val="20"/>
              </w:rPr>
              <w:t>ﾃｽﾗ以上３ﾃｽﾗ未満・</w:t>
            </w:r>
            <w:r>
              <w:rPr>
                <w:rFonts w:hint="default" w:ascii="ＭＳ 明朝" w:hAnsi="ＭＳ 明朝" w:eastAsia="ＭＳ 明朝"/>
                <w:color w:val="000000"/>
                <w:sz w:val="20"/>
              </w:rPr>
              <w:t>1.5</w:t>
            </w:r>
            <w:r>
              <w:rPr>
                <w:rFonts w:hint="default" w:ascii="ＭＳ 明朝" w:hAnsi="ＭＳ 明朝" w:eastAsia="ＭＳ 明朝"/>
                <w:color w:val="000000"/>
                <w:sz w:val="20"/>
              </w:rPr>
              <w:t>ﾃｽﾗ未満）</w:t>
            </w:r>
          </w:p>
        </w:tc>
      </w:tr>
      <w:tr>
        <w:trPr>
          <w:trHeight w:val="363" w:hRule="atLeast"/>
        </w:trPr>
        <w:tc>
          <w:tcPr>
            <w:tcW w:w="1243"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0"/>
              <w:rPr>
                <w:rFonts w:hint="default" w:ascii="ＭＳ 明朝" w:hAnsi="ＭＳ 明朝" w:eastAsia="ＭＳ 明朝"/>
                <w:strike w:val="0"/>
                <w:color w:val="000000"/>
                <w:sz w:val="22"/>
                <w:u w:val="none" w:color="auto"/>
              </w:rPr>
            </w:pPr>
          </w:p>
        </w:tc>
        <w:tc>
          <w:tcPr>
            <w:tcW w:w="1589"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0"/>
              <w:rPr>
                <w:rFonts w:hint="eastAsia"/>
              </w:rPr>
            </w:pPr>
          </w:p>
        </w:tc>
        <w:tc>
          <w:tcPr>
            <w:tcW w:w="6451" w:type="dxa"/>
            <w:gridSpan w:val="3"/>
            <w:tcBorders>
              <w:top w:val="single" w:color="000000" w:sz="4" w:space="0"/>
              <w:left w:val="single" w:color="000000" w:sz="4" w:space="0"/>
              <w:bottom w:val="single" w:color="000000" w:sz="4" w:space="0"/>
              <w:right w:val="single" w:color="000000" w:sz="4" w:space="0"/>
              <w:tl2br w:val="nil"/>
              <w:tr2bl w:val="nil"/>
            </w:tcBorders>
            <w:vAlign w:val="center"/>
          </w:tcPr>
          <w:p>
            <w:pPr>
              <w:pStyle w:val="0"/>
              <w:snapToGrid w:val="0"/>
              <w:jc w:val="left"/>
              <w:rPr>
                <w:rFonts w:hint="eastAsia"/>
                <w:sz w:val="20"/>
              </w:rPr>
            </w:pPr>
            <w:r>
              <w:rPr>
                <w:rFonts w:hint="default" w:ascii="ＭＳ 明朝" w:hAnsi="ＭＳ 明朝" w:eastAsia="ＭＳ 明朝"/>
                <w:color w:val="000000"/>
                <w:sz w:val="20"/>
              </w:rPr>
              <w:t>ＰＥＴ</w:t>
            </w:r>
            <w:r>
              <w:rPr>
                <w:rFonts w:hint="eastAsia" w:ascii="ＭＳ 明朝" w:hAnsi="ＭＳ 明朝" w:eastAsia="ＭＳ 明朝"/>
                <w:color w:val="000000"/>
                <w:sz w:val="20"/>
              </w:rPr>
              <w:t xml:space="preserve"> </w:t>
            </w:r>
            <w:r>
              <w:rPr>
                <w:rFonts w:hint="default" w:ascii="ＭＳ 明朝" w:hAnsi="ＭＳ 明朝" w:eastAsia="ＭＳ 明朝"/>
                <w:color w:val="000000"/>
                <w:sz w:val="20"/>
              </w:rPr>
              <w:t>・</w:t>
            </w:r>
            <w:r>
              <w:rPr>
                <w:rFonts w:hint="eastAsia" w:ascii="ＭＳ 明朝" w:hAnsi="ＭＳ 明朝" w:eastAsia="ＭＳ 明朝"/>
                <w:color w:val="000000"/>
                <w:sz w:val="20"/>
              </w:rPr>
              <w:t xml:space="preserve"> </w:t>
            </w:r>
            <w:r>
              <w:rPr>
                <w:rFonts w:hint="default" w:ascii="ＭＳ 明朝" w:hAnsi="ＭＳ 明朝" w:eastAsia="ＭＳ 明朝"/>
                <w:color w:val="000000"/>
                <w:sz w:val="20"/>
              </w:rPr>
              <w:t>ＰＥＴＣＴ</w:t>
            </w:r>
          </w:p>
        </w:tc>
      </w:tr>
      <w:tr>
        <w:trPr>
          <w:trHeight w:val="363" w:hRule="atLeast"/>
        </w:trPr>
        <w:tc>
          <w:tcPr>
            <w:tcW w:w="1243"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0"/>
              <w:rPr>
                <w:rFonts w:hint="default" w:ascii="ＭＳ 明朝" w:hAnsi="ＭＳ 明朝" w:eastAsia="ＭＳ 明朝"/>
                <w:strike w:val="0"/>
                <w:color w:val="000000"/>
                <w:sz w:val="22"/>
                <w:u w:val="none" w:color="auto"/>
              </w:rPr>
            </w:pPr>
          </w:p>
        </w:tc>
        <w:tc>
          <w:tcPr>
            <w:tcW w:w="1589"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0"/>
              <w:rPr>
                <w:rFonts w:hint="eastAsia"/>
              </w:rPr>
            </w:pPr>
          </w:p>
        </w:tc>
        <w:tc>
          <w:tcPr>
            <w:tcW w:w="6451" w:type="dxa"/>
            <w:gridSpan w:val="3"/>
            <w:tcBorders>
              <w:top w:val="single" w:color="000000" w:sz="4" w:space="0"/>
              <w:left w:val="single" w:color="000000" w:sz="4" w:space="0"/>
              <w:bottom w:val="single" w:color="000000" w:sz="4" w:space="0"/>
              <w:right w:val="single" w:color="000000" w:sz="4" w:space="0"/>
              <w:tl2br w:val="nil"/>
              <w:tr2bl w:val="nil"/>
            </w:tcBorders>
            <w:vAlign w:val="center"/>
          </w:tcPr>
          <w:p>
            <w:pPr>
              <w:pStyle w:val="0"/>
              <w:snapToGrid w:val="0"/>
              <w:jc w:val="left"/>
              <w:rPr>
                <w:rFonts w:hint="eastAsia"/>
                <w:sz w:val="20"/>
              </w:rPr>
            </w:pPr>
            <w:r>
              <w:rPr>
                <w:rFonts w:hint="default" w:ascii="ＭＳ 明朝" w:hAnsi="ＭＳ 明朝" w:eastAsia="ＭＳ 明朝"/>
                <w:color w:val="000000"/>
                <w:sz w:val="20"/>
              </w:rPr>
              <w:t>マンモグラフィ</w:t>
            </w:r>
          </w:p>
        </w:tc>
      </w:tr>
      <w:tr>
        <w:trPr>
          <w:trHeight w:val="363" w:hRule="atLeast"/>
        </w:trPr>
        <w:tc>
          <w:tcPr>
            <w:tcW w:w="1243"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0"/>
              <w:rPr>
                <w:rFonts w:hint="default" w:ascii="ＭＳ 明朝" w:hAnsi="ＭＳ 明朝" w:eastAsia="ＭＳ 明朝"/>
                <w:strike w:val="0"/>
                <w:color w:val="000000"/>
                <w:sz w:val="22"/>
                <w:u w:val="none" w:color="auto"/>
              </w:rPr>
            </w:pPr>
          </w:p>
        </w:tc>
        <w:tc>
          <w:tcPr>
            <w:tcW w:w="1589"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0"/>
              <w:rPr>
                <w:rFonts w:hint="eastAsia"/>
              </w:rPr>
            </w:pPr>
          </w:p>
        </w:tc>
        <w:tc>
          <w:tcPr>
            <w:tcW w:w="6451" w:type="dxa"/>
            <w:gridSpan w:val="3"/>
            <w:tcBorders>
              <w:top w:val="single" w:color="000000" w:sz="4" w:space="0"/>
              <w:left w:val="single" w:color="000000" w:sz="4" w:space="0"/>
              <w:bottom w:val="single" w:color="000000" w:sz="4" w:space="0"/>
              <w:right w:val="single" w:color="000000" w:sz="4" w:space="0"/>
              <w:tl2br w:val="nil"/>
              <w:tr2bl w:val="nil"/>
            </w:tcBorders>
            <w:vAlign w:val="center"/>
          </w:tcPr>
          <w:p>
            <w:pPr>
              <w:pStyle w:val="0"/>
              <w:autoSpaceDE w:val="0"/>
              <w:autoSpaceDN w:val="0"/>
              <w:adjustRightInd w:val="0"/>
              <w:snapToGrid w:val="0"/>
              <w:jc w:val="left"/>
              <w:rPr>
                <w:rFonts w:hint="eastAsia"/>
                <w:sz w:val="20"/>
              </w:rPr>
            </w:pPr>
            <w:r>
              <w:rPr>
                <w:rFonts w:hint="default" w:ascii="ＭＳ 明朝" w:hAnsi="ＭＳ 明朝" w:eastAsia="ＭＳ 明朝"/>
                <w:color w:val="000000"/>
                <w:sz w:val="20"/>
              </w:rPr>
              <w:t>放射線治療（</w:t>
            </w:r>
            <w:r>
              <w:rPr>
                <w:rFonts w:hint="eastAsia" w:ascii="ＭＳ 明朝" w:hAnsi="ＭＳ 明朝" w:eastAsia="ＭＳ 明朝"/>
                <w:color w:val="000000"/>
                <w:sz w:val="20"/>
              </w:rPr>
              <w:t xml:space="preserve"> </w:t>
            </w:r>
            <w:r>
              <w:rPr>
                <w:rFonts w:hint="default" w:ascii="ＭＳ 明朝" w:hAnsi="ＭＳ 明朝" w:eastAsia="ＭＳ 明朝"/>
                <w:color w:val="000000"/>
                <w:sz w:val="20"/>
              </w:rPr>
              <w:t>リニアック</w:t>
            </w:r>
            <w:r>
              <w:rPr>
                <w:rFonts w:hint="eastAsia" w:ascii="ＭＳ 明朝" w:hAnsi="ＭＳ 明朝" w:eastAsia="ＭＳ 明朝"/>
                <w:color w:val="000000"/>
                <w:sz w:val="20"/>
              </w:rPr>
              <w:t xml:space="preserve"> </w:t>
            </w:r>
            <w:r>
              <w:rPr>
                <w:rFonts w:hint="default" w:ascii="ＭＳ 明朝" w:hAnsi="ＭＳ 明朝" w:eastAsia="ＭＳ 明朝"/>
                <w:color w:val="000000"/>
                <w:sz w:val="20"/>
              </w:rPr>
              <w:t>・</w:t>
            </w:r>
            <w:r>
              <w:rPr>
                <w:rFonts w:hint="eastAsia" w:ascii="ＭＳ 明朝" w:hAnsi="ＭＳ 明朝" w:eastAsia="ＭＳ 明朝"/>
                <w:color w:val="000000"/>
                <w:sz w:val="20"/>
              </w:rPr>
              <w:t xml:space="preserve"> </w:t>
            </w:r>
            <w:r>
              <w:rPr>
                <w:rFonts w:hint="default" w:ascii="ＭＳ 明朝" w:hAnsi="ＭＳ 明朝" w:eastAsia="ＭＳ 明朝"/>
                <w:color w:val="000000"/>
                <w:sz w:val="20"/>
              </w:rPr>
              <w:t>ガンマナイフ</w:t>
            </w:r>
            <w:r>
              <w:rPr>
                <w:rFonts w:hint="eastAsia" w:ascii="ＭＳ 明朝" w:hAnsi="ＭＳ 明朝" w:eastAsia="ＭＳ 明朝"/>
                <w:color w:val="000000"/>
                <w:sz w:val="20"/>
              </w:rPr>
              <w:t xml:space="preserve"> </w:t>
            </w:r>
            <w:r>
              <w:rPr>
                <w:rFonts w:hint="default" w:ascii="ＭＳ 明朝" w:hAnsi="ＭＳ 明朝" w:eastAsia="ＭＳ 明朝"/>
                <w:color w:val="000000"/>
                <w:sz w:val="20"/>
              </w:rPr>
              <w:t>）</w:t>
            </w:r>
          </w:p>
        </w:tc>
      </w:tr>
      <w:tr>
        <w:trPr>
          <w:trHeight w:val="364" w:hRule="atLeast"/>
        </w:trPr>
        <w:tc>
          <w:tcPr>
            <w:tcW w:w="1243"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0"/>
              <w:rPr>
                <w:rFonts w:hint="default" w:ascii="ＭＳ 明朝" w:hAnsi="ＭＳ 明朝" w:eastAsia="ＭＳ 明朝"/>
                <w:strike w:val="0"/>
                <w:color w:val="000000"/>
                <w:sz w:val="22"/>
                <w:u w:val="none" w:color="auto"/>
              </w:rPr>
            </w:pPr>
          </w:p>
        </w:tc>
        <w:tc>
          <w:tcPr>
            <w:tcW w:w="1589"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0"/>
              <w:snapToGrid w:val="0"/>
              <w:jc w:val="distribute"/>
              <w:rPr>
                <w:rFonts w:hint="eastAsia"/>
                <w:sz w:val="20"/>
              </w:rPr>
            </w:pPr>
            <w:r>
              <w:rPr>
                <w:rFonts w:hint="default" w:ascii="ＭＳ 明朝" w:hAnsi="ＭＳ 明朝" w:eastAsia="ＭＳ 明朝"/>
                <w:color w:val="000000"/>
                <w:sz w:val="20"/>
              </w:rPr>
              <w:t>製作者名</w:t>
            </w:r>
          </w:p>
        </w:tc>
        <w:tc>
          <w:tcPr>
            <w:tcW w:w="6451" w:type="dxa"/>
            <w:gridSpan w:val="3"/>
            <w:tcBorders>
              <w:top w:val="single" w:color="000000" w:sz="4" w:space="0"/>
              <w:left w:val="single" w:color="000000" w:sz="4" w:space="0"/>
              <w:bottom w:val="single" w:color="000000" w:sz="4" w:space="0"/>
              <w:right w:val="single" w:color="000000" w:sz="4" w:space="0"/>
              <w:tl2br w:val="nil"/>
              <w:tr2bl w:val="nil"/>
            </w:tcBorders>
            <w:vAlign w:val="top"/>
          </w:tcPr>
          <w:p>
            <w:pPr>
              <w:pStyle w:val="0"/>
              <w:snapToGrid w:val="0"/>
              <w:rPr>
                <w:rFonts w:hint="eastAsia"/>
                <w:sz w:val="20"/>
              </w:rPr>
            </w:pPr>
          </w:p>
        </w:tc>
      </w:tr>
      <w:tr>
        <w:trPr>
          <w:trHeight w:val="363" w:hRule="atLeast"/>
        </w:trPr>
        <w:tc>
          <w:tcPr>
            <w:tcW w:w="1243"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0"/>
              <w:rPr>
                <w:rFonts w:hint="default" w:ascii="ＭＳ 明朝" w:hAnsi="ＭＳ 明朝" w:eastAsia="ＭＳ 明朝"/>
                <w:strike w:val="0"/>
                <w:color w:val="000000"/>
                <w:sz w:val="22"/>
                <w:u w:val="none" w:color="auto"/>
              </w:rPr>
            </w:pPr>
          </w:p>
        </w:tc>
        <w:tc>
          <w:tcPr>
            <w:tcW w:w="1589"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0"/>
              <w:autoSpaceDE w:val="0"/>
              <w:autoSpaceDN w:val="0"/>
              <w:adjustRightInd w:val="0"/>
              <w:snapToGrid w:val="0"/>
              <w:jc w:val="distribute"/>
              <w:rPr>
                <w:rFonts w:hint="eastAsia"/>
                <w:sz w:val="20"/>
              </w:rPr>
            </w:pPr>
            <w:r>
              <w:rPr>
                <w:rFonts w:hint="default" w:ascii="ＭＳ 明朝" w:hAnsi="ＭＳ 明朝" w:eastAsia="ＭＳ 明朝"/>
                <w:color w:val="000000"/>
                <w:sz w:val="20"/>
              </w:rPr>
              <w:t>型式及び台数</w:t>
            </w:r>
          </w:p>
        </w:tc>
        <w:tc>
          <w:tcPr>
            <w:tcW w:w="6451" w:type="dxa"/>
            <w:gridSpan w:val="3"/>
            <w:tcBorders>
              <w:top w:val="single" w:color="000000" w:sz="4" w:space="0"/>
              <w:left w:val="single" w:color="000000" w:sz="4" w:space="0"/>
              <w:bottom w:val="single" w:color="000000" w:sz="4" w:space="0"/>
              <w:right w:val="single" w:color="000000" w:sz="4" w:space="0"/>
              <w:tl2br w:val="nil"/>
              <w:tr2bl w:val="nil"/>
            </w:tcBorders>
            <w:vAlign w:val="top"/>
          </w:tcPr>
          <w:p>
            <w:pPr>
              <w:pStyle w:val="0"/>
              <w:snapToGrid w:val="0"/>
              <w:rPr>
                <w:rFonts w:hint="eastAsia"/>
                <w:sz w:val="20"/>
              </w:rPr>
            </w:pPr>
          </w:p>
        </w:tc>
      </w:tr>
      <w:tr>
        <w:trPr>
          <w:trHeight w:val="363" w:hRule="atLeast"/>
        </w:trPr>
        <w:tc>
          <w:tcPr>
            <w:tcW w:w="1243"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0"/>
              <w:rPr>
                <w:rFonts w:hint="default" w:ascii="ＭＳ 明朝" w:hAnsi="ＭＳ 明朝" w:eastAsia="ＭＳ 明朝"/>
                <w:strike w:val="0"/>
                <w:color w:val="000000"/>
                <w:sz w:val="22"/>
                <w:u w:val="none" w:color="auto"/>
              </w:rPr>
            </w:pPr>
          </w:p>
        </w:tc>
        <w:tc>
          <w:tcPr>
            <w:tcW w:w="1589"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0"/>
              <w:autoSpaceDE w:val="0"/>
              <w:autoSpaceDN w:val="0"/>
              <w:adjustRightInd w:val="0"/>
              <w:snapToGrid w:val="0"/>
              <w:jc w:val="distribute"/>
              <w:rPr>
                <w:rFonts w:hint="eastAsia"/>
                <w:sz w:val="20"/>
              </w:rPr>
            </w:pPr>
            <w:r>
              <w:rPr>
                <w:rFonts w:hint="default" w:ascii="ＭＳ 明朝" w:hAnsi="ＭＳ 明朝" w:eastAsia="ＭＳ 明朝"/>
                <w:color w:val="000000"/>
                <w:sz w:val="20"/>
              </w:rPr>
              <w:t>設置年月日</w:t>
            </w:r>
          </w:p>
        </w:tc>
        <w:tc>
          <w:tcPr>
            <w:tcW w:w="6451" w:type="dxa"/>
            <w:gridSpan w:val="3"/>
            <w:tcBorders>
              <w:top w:val="single" w:color="000000" w:sz="4" w:space="0"/>
              <w:left w:val="single" w:color="000000" w:sz="4" w:space="0"/>
              <w:bottom w:val="single" w:color="000000" w:sz="4" w:space="0"/>
              <w:right w:val="single" w:color="000000" w:sz="4" w:space="0"/>
              <w:tl2br w:val="nil"/>
              <w:tr2bl w:val="nil"/>
            </w:tcBorders>
            <w:vAlign w:val="center"/>
          </w:tcPr>
          <w:p>
            <w:pPr>
              <w:pStyle w:val="0"/>
              <w:autoSpaceDE w:val="0"/>
              <w:autoSpaceDN w:val="0"/>
              <w:adjustRightInd w:val="0"/>
              <w:snapToGrid w:val="0"/>
              <w:jc w:val="center"/>
              <w:rPr>
                <w:rFonts w:hint="default" w:ascii="ＭＳ 明朝" w:hAnsi="ＭＳ 明朝" w:eastAsia="ＭＳ 明朝"/>
                <w:strike w:val="0"/>
                <w:color w:val="000000"/>
                <w:sz w:val="20"/>
                <w:u w:val="none" w:color="auto"/>
              </w:rPr>
            </w:pPr>
            <w:r>
              <w:rPr>
                <w:rFonts w:hint="default" w:ascii="ＭＳ 明朝" w:hAnsi="ＭＳ 明朝" w:eastAsia="ＭＳ 明朝"/>
                <w:color w:val="000000"/>
                <w:sz w:val="20"/>
              </w:rPr>
              <w:t>年</w:t>
            </w:r>
            <w:r>
              <w:rPr>
                <w:rFonts w:hint="eastAsia" w:ascii="ＭＳ 明朝" w:hAnsi="ＭＳ 明朝" w:eastAsia="ＭＳ 明朝"/>
                <w:color w:val="000000"/>
                <w:sz w:val="20"/>
              </w:rPr>
              <w:t>　　</w:t>
            </w:r>
            <w:r>
              <w:rPr>
                <w:rFonts w:hint="default" w:ascii="ＭＳ 明朝" w:hAnsi="ＭＳ 明朝" w:eastAsia="ＭＳ 明朝"/>
                <w:color w:val="000000"/>
                <w:sz w:val="20"/>
              </w:rPr>
              <w:t>月</w:t>
            </w:r>
            <w:r>
              <w:rPr>
                <w:rFonts w:hint="eastAsia" w:ascii="ＭＳ 明朝" w:hAnsi="ＭＳ 明朝" w:eastAsia="ＭＳ 明朝"/>
                <w:color w:val="000000"/>
                <w:sz w:val="20"/>
              </w:rPr>
              <w:t>　　</w:t>
            </w:r>
            <w:r>
              <w:rPr>
                <w:rFonts w:hint="default" w:ascii="ＭＳ 明朝" w:hAnsi="ＭＳ 明朝" w:eastAsia="ＭＳ 明朝"/>
                <w:color w:val="000000"/>
                <w:sz w:val="20"/>
              </w:rPr>
              <w:t>日</w:t>
            </w:r>
          </w:p>
        </w:tc>
      </w:tr>
      <w:tr>
        <w:trPr>
          <w:trHeight w:val="796" w:hRule="atLeast"/>
        </w:trPr>
        <w:tc>
          <w:tcPr>
            <w:tcW w:w="1243" w:type="dxa"/>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pStyle w:val="0"/>
              <w:autoSpaceDE w:val="0"/>
              <w:autoSpaceDN w:val="0"/>
              <w:adjustRightInd w:val="0"/>
              <w:snapToGrid w:val="0"/>
              <w:jc w:val="distribute"/>
              <w:rPr>
                <w:rFonts w:hint="eastAsia"/>
                <w:sz w:val="20"/>
              </w:rPr>
            </w:pPr>
            <w:r>
              <w:rPr>
                <w:rFonts w:hint="default" w:ascii="ＭＳ 明朝" w:hAnsi="ＭＳ 明朝" w:eastAsia="ＭＳ 明朝"/>
                <w:color w:val="000000"/>
                <w:sz w:val="20"/>
              </w:rPr>
              <w:t>共同利用の方針</w:t>
            </w:r>
          </w:p>
          <w:p>
            <w:pPr>
              <w:pStyle w:val="0"/>
              <w:autoSpaceDE w:val="0"/>
              <w:autoSpaceDN w:val="0"/>
              <w:adjustRightInd w:val="0"/>
              <w:snapToGrid w:val="0"/>
              <w:jc w:val="left"/>
              <w:rPr>
                <w:rFonts w:hint="eastAsia"/>
                <w:sz w:val="20"/>
              </w:rPr>
            </w:pPr>
          </w:p>
        </w:tc>
        <w:tc>
          <w:tcPr>
            <w:tcW w:w="1589"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0"/>
              <w:snapToGrid w:val="0"/>
              <w:jc w:val="distribute"/>
              <w:rPr>
                <w:rFonts w:hint="eastAsia"/>
                <w:sz w:val="20"/>
              </w:rPr>
            </w:pPr>
            <w:r>
              <w:rPr>
                <w:rFonts w:hint="eastAsia"/>
                <w:sz w:val="20"/>
              </w:rPr>
              <w:t>共同利用</w:t>
            </w:r>
          </w:p>
          <w:p>
            <w:pPr>
              <w:pStyle w:val="0"/>
              <w:snapToGrid w:val="0"/>
              <w:jc w:val="distribute"/>
              <w:rPr>
                <w:rFonts w:hint="eastAsia"/>
                <w:sz w:val="20"/>
              </w:rPr>
            </w:pPr>
            <w:r>
              <w:rPr>
                <w:rFonts w:hint="eastAsia"/>
                <w:sz w:val="20"/>
              </w:rPr>
              <w:t>の方針</w:t>
            </w:r>
          </w:p>
        </w:tc>
        <w:tc>
          <w:tcPr>
            <w:tcW w:w="6451" w:type="dxa"/>
            <w:gridSpan w:val="3"/>
            <w:tcBorders>
              <w:top w:val="single" w:color="000000" w:sz="4" w:space="0"/>
              <w:left w:val="single" w:color="000000" w:sz="4" w:space="0"/>
              <w:bottom w:val="single" w:color="000000" w:sz="4" w:space="0"/>
              <w:right w:val="single" w:color="000000" w:sz="4" w:space="0"/>
              <w:tl2br w:val="nil"/>
              <w:tr2bl w:val="nil"/>
            </w:tcBorders>
            <w:vAlign w:val="center"/>
          </w:tcPr>
          <w:p>
            <w:pPr>
              <w:pStyle w:val="0"/>
              <w:autoSpaceDE w:val="0"/>
              <w:autoSpaceDN w:val="0"/>
              <w:adjustRightInd w:val="0"/>
              <w:snapToGrid w:val="0"/>
              <w:jc w:val="center"/>
              <w:rPr>
                <w:rFonts w:hint="default" w:ascii="ＭＳ 明朝" w:hAnsi="ＭＳ 明朝" w:eastAsia="ＭＳ 明朝"/>
                <w:strike w:val="0"/>
                <w:color w:val="000000"/>
                <w:sz w:val="20"/>
                <w:u w:val="none" w:color="auto"/>
              </w:rPr>
            </w:pPr>
            <w:r>
              <w:rPr>
                <w:rFonts w:hint="default" w:ascii="ＭＳ 明朝" w:hAnsi="ＭＳ 明朝" w:eastAsia="ＭＳ 明朝"/>
                <w:color w:val="000000"/>
                <w:sz w:val="20"/>
              </w:rPr>
              <w:t>共同利用を行う</w:t>
            </w:r>
            <w:r>
              <w:rPr>
                <w:rFonts w:hint="eastAsia" w:ascii="ＭＳ 明朝" w:hAnsi="ＭＳ 明朝" w:eastAsia="ＭＳ 明朝"/>
                <w:color w:val="000000"/>
                <w:sz w:val="20"/>
              </w:rPr>
              <w:t>　　</w:t>
            </w:r>
            <w:r>
              <w:rPr>
                <w:rFonts w:hint="default" w:ascii="ＭＳ 明朝" w:hAnsi="ＭＳ 明朝" w:eastAsia="ＭＳ 明朝"/>
                <w:color w:val="000000"/>
                <w:sz w:val="20"/>
              </w:rPr>
              <w:t>・</w:t>
            </w:r>
            <w:r>
              <w:rPr>
                <w:rFonts w:hint="eastAsia" w:ascii="ＭＳ 明朝" w:hAnsi="ＭＳ 明朝" w:eastAsia="ＭＳ 明朝"/>
                <w:color w:val="000000"/>
                <w:sz w:val="20"/>
              </w:rPr>
              <w:t>　　</w:t>
            </w:r>
            <w:r>
              <w:rPr>
                <w:rFonts w:hint="default" w:ascii="ＭＳ 明朝" w:hAnsi="ＭＳ 明朝" w:eastAsia="ＭＳ 明朝"/>
                <w:color w:val="000000"/>
                <w:sz w:val="20"/>
              </w:rPr>
              <w:t>共同利用を行わない</w:t>
            </w:r>
          </w:p>
        </w:tc>
      </w:tr>
      <w:tr>
        <w:trPr>
          <w:trHeight w:val="363" w:hRule="atLeast"/>
        </w:trPr>
        <w:tc>
          <w:tcPr>
            <w:tcW w:w="1243"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0"/>
              <w:rPr>
                <w:rFonts w:hint="default" w:ascii="ＭＳ 明朝" w:hAnsi="ＭＳ 明朝" w:eastAsia="ＭＳ 明朝"/>
                <w:strike w:val="0"/>
                <w:color w:val="000000"/>
                <w:sz w:val="22"/>
                <w:u w:val="none" w:color="auto"/>
              </w:rPr>
            </w:pPr>
          </w:p>
        </w:tc>
        <w:tc>
          <w:tcPr>
            <w:tcW w:w="1589" w:type="dxa"/>
            <w:tcBorders>
              <w:top w:val="single" w:color="000000" w:sz="4" w:space="0"/>
              <w:left w:val="single" w:color="000000" w:sz="4" w:space="0"/>
              <w:bottom w:val="single" w:color="000000" w:sz="4" w:space="0"/>
              <w:right w:val="single" w:color="000000" w:sz="4" w:space="0"/>
              <w:tl2br w:val="nil"/>
              <w:tr2bl w:val="nil"/>
            </w:tcBorders>
            <w:vAlign w:val="top"/>
          </w:tcPr>
          <w:p>
            <w:pPr>
              <w:pStyle w:val="0"/>
              <w:autoSpaceDE w:val="0"/>
              <w:autoSpaceDN w:val="0"/>
              <w:adjustRightInd w:val="0"/>
              <w:snapToGrid w:val="0"/>
              <w:rPr>
                <w:rFonts w:hint="default" w:ascii="ＭＳ 明朝" w:hAnsi="ＭＳ 明朝" w:eastAsia="ＭＳ 明朝"/>
                <w:strike w:val="0"/>
                <w:dstrike w:val="0"/>
                <w:color w:val="000000"/>
                <w:sz w:val="20"/>
                <w:u w:val="none" w:color="auto"/>
              </w:rPr>
            </w:pPr>
            <w:r>
              <w:rPr>
                <w:rFonts w:hint="default" w:ascii="ＭＳ 明朝" w:hAnsi="ＭＳ 明朝" w:eastAsia="ＭＳ 明朝"/>
                <w:strike w:val="0"/>
                <w:dstrike w:val="0"/>
                <w:color w:val="000000"/>
                <w:sz w:val="20"/>
              </w:rPr>
              <w:t>共同利用に係る規程の有無</w:t>
            </w:r>
          </w:p>
        </w:tc>
        <w:tc>
          <w:tcPr>
            <w:tcW w:w="6451" w:type="dxa"/>
            <w:gridSpan w:val="3"/>
            <w:tcBorders>
              <w:top w:val="single" w:color="000000" w:sz="4" w:space="0"/>
              <w:left w:val="single" w:color="000000" w:sz="4" w:space="0"/>
              <w:bottom w:val="single" w:color="000000" w:sz="4" w:space="0"/>
              <w:right w:val="single" w:color="000000" w:sz="4" w:space="0"/>
              <w:tl2br w:val="nil"/>
              <w:tr2bl w:val="nil"/>
            </w:tcBorders>
            <w:vAlign w:val="center"/>
          </w:tcPr>
          <w:p>
            <w:pPr>
              <w:pStyle w:val="0"/>
              <w:autoSpaceDE w:val="0"/>
              <w:autoSpaceDN w:val="0"/>
              <w:adjustRightInd w:val="0"/>
              <w:snapToGrid w:val="0"/>
              <w:jc w:val="center"/>
              <w:rPr>
                <w:rFonts w:hint="eastAsia"/>
                <w:strike w:val="0"/>
                <w:dstrike w:val="0"/>
                <w:sz w:val="20"/>
              </w:rPr>
            </w:pPr>
            <w:r>
              <w:rPr>
                <w:rFonts w:hint="default" w:ascii="ＭＳ 明朝" w:hAnsi="ＭＳ 明朝" w:eastAsia="ＭＳ 明朝"/>
                <w:strike w:val="0"/>
                <w:dstrike w:val="0"/>
                <w:color w:val="000000"/>
                <w:sz w:val="20"/>
              </w:rPr>
              <w:t>有</w:t>
            </w:r>
            <w:r>
              <w:rPr>
                <w:rFonts w:hint="eastAsia" w:ascii="ＭＳ 明朝" w:hAnsi="ＭＳ 明朝" w:eastAsia="ＭＳ 明朝"/>
                <w:strike w:val="0"/>
                <w:dstrike w:val="0"/>
                <w:color w:val="000000"/>
                <w:sz w:val="20"/>
              </w:rPr>
              <w:t>　　</w:t>
            </w:r>
            <w:r>
              <w:rPr>
                <w:rFonts w:hint="default" w:ascii="ＭＳ 明朝" w:hAnsi="ＭＳ 明朝" w:eastAsia="ＭＳ 明朝"/>
                <w:strike w:val="0"/>
                <w:dstrike w:val="0"/>
                <w:color w:val="000000"/>
                <w:sz w:val="20"/>
              </w:rPr>
              <w:t>・</w:t>
            </w:r>
            <w:r>
              <w:rPr>
                <w:rFonts w:hint="eastAsia" w:ascii="ＭＳ 明朝" w:hAnsi="ＭＳ 明朝" w:eastAsia="ＭＳ 明朝"/>
                <w:strike w:val="0"/>
                <w:dstrike w:val="0"/>
                <w:color w:val="000000"/>
                <w:sz w:val="20"/>
              </w:rPr>
              <w:t>　　</w:t>
            </w:r>
            <w:r>
              <w:rPr>
                <w:rFonts w:hint="default" w:ascii="ＭＳ 明朝" w:hAnsi="ＭＳ 明朝" w:eastAsia="ＭＳ 明朝"/>
                <w:strike w:val="0"/>
                <w:dstrike w:val="0"/>
                <w:color w:val="000000"/>
                <w:sz w:val="20"/>
              </w:rPr>
              <w:t>無</w:t>
            </w:r>
          </w:p>
        </w:tc>
      </w:tr>
      <w:tr>
        <w:trPr>
          <w:trHeight w:val="1369" w:hRule="atLeast"/>
        </w:trPr>
        <w:tc>
          <w:tcPr>
            <w:tcW w:w="1243"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0"/>
              <w:rPr>
                <w:rFonts w:hint="default" w:ascii="ＭＳ 明朝" w:hAnsi="ＭＳ 明朝" w:eastAsia="ＭＳ 明朝"/>
                <w:strike w:val="0"/>
                <w:color w:val="000000"/>
                <w:sz w:val="22"/>
                <w:u w:val="none" w:color="auto"/>
              </w:rPr>
            </w:pPr>
          </w:p>
        </w:tc>
        <w:tc>
          <w:tcPr>
            <w:tcW w:w="1589"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0"/>
              <w:autoSpaceDE w:val="0"/>
              <w:autoSpaceDN w:val="0"/>
              <w:adjustRightInd w:val="0"/>
              <w:snapToGrid w:val="0"/>
              <w:jc w:val="distribute"/>
              <w:rPr>
                <w:rFonts w:hint="eastAsia"/>
                <w:strike w:val="0"/>
                <w:dstrike w:val="0"/>
                <w:sz w:val="20"/>
              </w:rPr>
            </w:pPr>
            <w:r>
              <w:rPr>
                <w:rFonts w:hint="default" w:ascii="ＭＳ 明朝" w:hAnsi="ＭＳ 明朝" w:eastAsia="ＭＳ 明朝"/>
                <w:strike w:val="0"/>
                <w:dstrike w:val="0"/>
                <w:color w:val="000000"/>
                <w:sz w:val="20"/>
              </w:rPr>
              <w:t>共同利用</w:t>
            </w:r>
          </w:p>
          <w:p>
            <w:pPr>
              <w:pStyle w:val="0"/>
              <w:autoSpaceDE w:val="0"/>
              <w:autoSpaceDN w:val="0"/>
              <w:adjustRightInd w:val="0"/>
              <w:snapToGrid w:val="0"/>
              <w:jc w:val="distribute"/>
              <w:rPr>
                <w:rFonts w:hint="eastAsia"/>
                <w:strike w:val="0"/>
                <w:dstrike w:val="0"/>
                <w:sz w:val="20"/>
              </w:rPr>
            </w:pPr>
            <w:r>
              <w:rPr>
                <w:rFonts w:hint="default" w:ascii="ＭＳ 明朝" w:hAnsi="ＭＳ 明朝" w:eastAsia="ＭＳ 明朝"/>
                <w:strike w:val="0"/>
                <w:dstrike w:val="0"/>
                <w:color w:val="000000"/>
                <w:sz w:val="20"/>
              </w:rPr>
              <w:t>の</w:t>
            </w:r>
            <w:r>
              <w:rPr>
                <w:rFonts w:hint="default" w:ascii="ＭＳ 明朝" w:hAnsi="ＭＳ 明朝" w:eastAsia="ＭＳ 明朝"/>
                <w:strike w:val="0"/>
                <w:dstrike w:val="0"/>
                <w:color w:val="000000"/>
                <w:sz w:val="20"/>
                <w:u w:val="none" w:color="auto"/>
              </w:rPr>
              <w:t>方法</w:t>
            </w:r>
          </w:p>
        </w:tc>
        <w:tc>
          <w:tcPr>
            <w:tcW w:w="6451" w:type="dxa"/>
            <w:gridSpan w:val="3"/>
            <w:tcBorders>
              <w:top w:val="single" w:color="000000" w:sz="4" w:space="0"/>
              <w:left w:val="single" w:color="000000" w:sz="4" w:space="0"/>
              <w:bottom w:val="single" w:color="000000" w:sz="4" w:space="0"/>
              <w:right w:val="single" w:color="000000" w:sz="4" w:space="0"/>
              <w:tl2br w:val="nil"/>
              <w:tr2bl w:val="nil"/>
            </w:tcBorders>
            <w:vAlign w:val="center"/>
          </w:tcPr>
          <w:p>
            <w:pPr>
              <w:pStyle w:val="0"/>
              <w:autoSpaceDE w:val="0"/>
              <w:autoSpaceDN w:val="0"/>
              <w:adjustRightInd w:val="0"/>
              <w:snapToGrid w:val="0"/>
              <w:jc w:val="left"/>
              <w:rPr>
                <w:rFonts w:hint="default" w:ascii="ＭＳ 明朝" w:hAnsi="ＭＳ 明朝" w:eastAsia="ＭＳ 明朝"/>
                <w:strike w:val="0"/>
                <w:dstrike w:val="0"/>
                <w:color w:val="000000"/>
                <w:sz w:val="20"/>
                <w:u w:val="none" w:color="auto"/>
              </w:rPr>
            </w:pPr>
            <w:r>
              <w:rPr>
                <w:rFonts w:hint="eastAsia" w:ascii="ＭＳ 明朝" w:hAnsi="ＭＳ 明朝" w:eastAsia="ＭＳ 明朝"/>
                <w:strike w:val="0"/>
                <w:dstrike w:val="0"/>
                <w:color w:val="000000"/>
                <w:sz w:val="20"/>
              </w:rPr>
              <w:t>□</w:t>
            </w:r>
            <w:r>
              <w:rPr>
                <w:rFonts w:hint="default" w:ascii="ＭＳ 明朝" w:hAnsi="ＭＳ 明朝" w:eastAsia="ＭＳ 明朝"/>
                <w:strike w:val="0"/>
                <w:dstrike w:val="0"/>
                <w:color w:val="000000"/>
                <w:sz w:val="20"/>
              </w:rPr>
              <w:t>病院又は診療所による機器使用</w:t>
            </w:r>
          </w:p>
          <w:p>
            <w:pPr>
              <w:pStyle w:val="0"/>
              <w:autoSpaceDE w:val="0"/>
              <w:autoSpaceDN w:val="0"/>
              <w:adjustRightInd w:val="0"/>
              <w:snapToGrid w:val="0"/>
              <w:jc w:val="left"/>
              <w:rPr>
                <w:rFonts w:hint="default" w:ascii="ＭＳ 明朝" w:hAnsi="ＭＳ 明朝" w:eastAsia="ＭＳ 明朝"/>
                <w:strike w:val="0"/>
                <w:dstrike w:val="0"/>
                <w:color w:val="000000"/>
                <w:sz w:val="20"/>
                <w:u w:val="none" w:color="auto"/>
              </w:rPr>
            </w:pPr>
            <w:r>
              <w:rPr>
                <w:rFonts w:hint="eastAsia" w:ascii="ＭＳ 明朝" w:hAnsi="ＭＳ 明朝" w:eastAsia="ＭＳ 明朝"/>
                <w:strike w:val="0"/>
                <w:dstrike w:val="0"/>
                <w:color w:val="000000"/>
                <w:sz w:val="20"/>
                <w:u w:val="none" w:color="auto"/>
              </w:rPr>
              <w:t>□</w:t>
            </w:r>
            <w:r>
              <w:rPr>
                <w:rFonts w:hint="default" w:ascii="ＭＳ 明朝" w:hAnsi="ＭＳ 明朝" w:eastAsia="ＭＳ 明朝"/>
                <w:strike w:val="0"/>
                <w:dstrike w:val="0"/>
                <w:color w:val="000000"/>
                <w:sz w:val="20"/>
                <w:u w:val="none" w:color="auto"/>
              </w:rPr>
              <w:t>病院又は診療所からの患者の受入、画像情報及び</w:t>
            </w:r>
          </w:p>
          <w:p>
            <w:pPr>
              <w:pStyle w:val="0"/>
              <w:autoSpaceDE w:val="0"/>
              <w:autoSpaceDN w:val="0"/>
              <w:adjustRightInd w:val="0"/>
              <w:snapToGrid w:val="0"/>
              <w:ind w:firstLine="227" w:firstLineChars="100"/>
              <w:jc w:val="left"/>
              <w:rPr>
                <w:rFonts w:hint="default" w:ascii="ＭＳ 明朝" w:hAnsi="ＭＳ 明朝" w:eastAsia="ＭＳ 明朝"/>
                <w:strike w:val="0"/>
                <w:dstrike w:val="0"/>
                <w:color w:val="000000"/>
                <w:sz w:val="20"/>
                <w:u w:val="none" w:color="auto"/>
              </w:rPr>
            </w:pPr>
            <w:r>
              <w:rPr>
                <w:rFonts w:hint="default" w:ascii="ＭＳ 明朝" w:hAnsi="ＭＳ 明朝" w:eastAsia="ＭＳ 明朝"/>
                <w:strike w:val="0"/>
                <w:dstrike w:val="0"/>
                <w:color w:val="000000"/>
                <w:sz w:val="20"/>
                <w:u w:val="none" w:color="auto"/>
              </w:rPr>
              <w:t>画像診断情報の提供</w:t>
            </w:r>
          </w:p>
          <w:p>
            <w:pPr>
              <w:pStyle w:val="0"/>
              <w:autoSpaceDE w:val="0"/>
              <w:autoSpaceDN w:val="0"/>
              <w:adjustRightInd w:val="0"/>
              <w:snapToGrid w:val="0"/>
              <w:jc w:val="left"/>
              <w:rPr>
                <w:rFonts w:hint="default" w:ascii="ＭＳ 明朝" w:hAnsi="ＭＳ 明朝" w:eastAsia="ＭＳ 明朝"/>
                <w:strike w:val="0"/>
                <w:dstrike w:val="0"/>
                <w:color w:val="000000"/>
                <w:sz w:val="20"/>
                <w:u w:val="none" w:color="auto"/>
              </w:rPr>
            </w:pPr>
            <w:r>
              <w:rPr>
                <w:rFonts w:hint="eastAsia" w:ascii="ＭＳ 明朝" w:hAnsi="ＭＳ 明朝" w:eastAsia="ＭＳ 明朝"/>
                <w:strike w:val="0"/>
                <w:dstrike w:val="0"/>
                <w:color w:val="000000"/>
                <w:sz w:val="20"/>
                <w:u w:val="none" w:color="auto"/>
              </w:rPr>
              <w:t>□</w:t>
            </w:r>
            <w:r>
              <w:rPr>
                <w:rFonts w:hint="default" w:ascii="ＭＳ 明朝" w:hAnsi="ＭＳ 明朝" w:eastAsia="ＭＳ 明朝"/>
                <w:strike w:val="0"/>
                <w:dstrike w:val="0"/>
                <w:color w:val="000000"/>
                <w:sz w:val="20"/>
                <w:u w:val="none" w:color="auto"/>
              </w:rPr>
              <w:t>その他（</w:t>
            </w:r>
            <w:r>
              <w:rPr>
                <w:rFonts w:hint="eastAsia" w:ascii="ＭＳ 明朝" w:hAnsi="ＭＳ 明朝" w:eastAsia="ＭＳ 明朝"/>
                <w:strike w:val="0"/>
                <w:dstrike w:val="0"/>
                <w:color w:val="000000"/>
                <w:sz w:val="20"/>
                <w:u w:val="none" w:color="auto"/>
              </w:rPr>
              <w:t>　　　　　　　　　　　　　　　　　　　　　</w:t>
            </w:r>
            <w:r>
              <w:rPr>
                <w:rFonts w:hint="default" w:ascii="ＭＳ 明朝" w:hAnsi="ＭＳ 明朝" w:eastAsia="ＭＳ 明朝"/>
                <w:strike w:val="0"/>
                <w:dstrike w:val="0"/>
                <w:color w:val="000000"/>
                <w:sz w:val="20"/>
                <w:u w:val="none" w:color="auto"/>
              </w:rPr>
              <w:t>）</w:t>
            </w:r>
          </w:p>
        </w:tc>
      </w:tr>
      <w:tr>
        <w:trPr>
          <w:trHeight w:val="1154" w:hRule="atLeast"/>
        </w:trPr>
        <w:tc>
          <w:tcPr>
            <w:tcW w:w="1243"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0"/>
              <w:rPr>
                <w:rFonts w:hint="eastAsia"/>
              </w:rPr>
            </w:pPr>
          </w:p>
        </w:tc>
        <w:tc>
          <w:tcPr>
            <w:tcW w:w="1589"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0"/>
              <w:autoSpaceDE w:val="0"/>
              <w:autoSpaceDN w:val="0"/>
              <w:adjustRightInd w:val="0"/>
              <w:snapToGrid w:val="0"/>
              <w:jc w:val="distribute"/>
              <w:rPr>
                <w:rFonts w:hint="default" w:ascii="ＭＳ 明朝" w:hAnsi="ＭＳ 明朝" w:eastAsia="ＭＳ 明朝"/>
                <w:strike w:val="0"/>
                <w:dstrike w:val="0"/>
                <w:color w:val="000000"/>
                <w:sz w:val="20"/>
                <w:u w:val="none" w:color="auto"/>
              </w:rPr>
            </w:pPr>
            <w:r>
              <w:rPr>
                <w:rFonts w:hint="eastAsia" w:ascii="ＭＳ 明朝" w:hAnsi="ＭＳ 明朝" w:eastAsia="ＭＳ 明朝"/>
                <w:strike w:val="0"/>
                <w:dstrike w:val="0"/>
                <w:color w:val="000000"/>
                <w:sz w:val="20"/>
                <w:u w:val="none" w:color="auto"/>
              </w:rPr>
              <w:t>共同利用を</w:t>
            </w:r>
          </w:p>
          <w:p>
            <w:pPr>
              <w:pStyle w:val="0"/>
              <w:autoSpaceDE w:val="0"/>
              <w:autoSpaceDN w:val="0"/>
              <w:adjustRightInd w:val="0"/>
              <w:snapToGrid w:val="0"/>
              <w:jc w:val="distribute"/>
              <w:rPr>
                <w:rFonts w:hint="default" w:ascii="ＭＳ 明朝" w:hAnsi="ＭＳ 明朝" w:eastAsia="ＭＳ 明朝"/>
                <w:strike w:val="0"/>
                <w:dstrike w:val="0"/>
                <w:color w:val="000000"/>
                <w:sz w:val="20"/>
                <w:u w:val="none" w:color="auto"/>
              </w:rPr>
            </w:pPr>
            <w:r>
              <w:rPr>
                <w:rFonts w:hint="default" w:ascii="ＭＳ 明朝" w:hAnsi="ＭＳ 明朝" w:eastAsia="ＭＳ 明朝"/>
                <w:strike w:val="0"/>
                <w:dstrike w:val="0"/>
                <w:color w:val="000000"/>
                <w:sz w:val="20"/>
                <w:u w:val="none" w:color="auto"/>
              </w:rPr>
              <w:t>行わない場合の理由</w:t>
            </w:r>
          </w:p>
        </w:tc>
        <w:tc>
          <w:tcPr>
            <w:tcW w:w="6451" w:type="dxa"/>
            <w:gridSpan w:val="3"/>
            <w:tcBorders>
              <w:top w:val="single" w:color="000000" w:sz="4" w:space="0"/>
              <w:left w:val="single" w:color="000000" w:sz="4" w:space="0"/>
              <w:bottom w:val="single" w:color="000000" w:sz="4" w:space="0"/>
              <w:right w:val="single" w:color="000000" w:sz="4" w:space="0"/>
              <w:tl2br w:val="nil"/>
              <w:tr2bl w:val="nil"/>
            </w:tcBorders>
            <w:vAlign w:val="top"/>
          </w:tcPr>
          <w:p>
            <w:pPr>
              <w:pStyle w:val="0"/>
              <w:snapToGrid w:val="0"/>
              <w:rPr>
                <w:rFonts w:hint="eastAsia"/>
                <w:strike w:val="0"/>
                <w:dstrike w:val="0"/>
                <w:sz w:val="20"/>
              </w:rPr>
            </w:pPr>
          </w:p>
        </w:tc>
      </w:tr>
      <w:tr>
        <w:trPr>
          <w:trHeight w:val="515" w:hRule="atLeast"/>
        </w:trPr>
        <w:tc>
          <w:tcPr>
            <w:tcW w:w="1243" w:type="dxa"/>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pStyle w:val="0"/>
              <w:autoSpaceDE w:val="0"/>
              <w:autoSpaceDN w:val="0"/>
              <w:adjustRightInd w:val="0"/>
              <w:snapToGrid w:val="0"/>
              <w:jc w:val="distribute"/>
              <w:rPr>
                <w:rFonts w:hint="default" w:ascii="ＭＳ 明朝" w:hAnsi="ＭＳ 明朝" w:eastAsia="ＭＳ 明朝"/>
                <w:strike w:val="0"/>
                <w:color w:val="000000"/>
                <w:sz w:val="20"/>
                <w:u w:val="none" w:color="auto"/>
              </w:rPr>
            </w:pPr>
            <w:r>
              <w:rPr>
                <w:rFonts w:hint="default" w:ascii="ＭＳ 明朝" w:hAnsi="ＭＳ 明朝" w:eastAsia="ＭＳ 明朝"/>
                <w:color w:val="000000"/>
                <w:sz w:val="20"/>
              </w:rPr>
              <w:t>共同利用の相手方</w:t>
            </w:r>
          </w:p>
          <w:p>
            <w:pPr>
              <w:pStyle w:val="0"/>
              <w:autoSpaceDE w:val="0"/>
              <w:autoSpaceDN w:val="0"/>
              <w:adjustRightInd w:val="0"/>
              <w:snapToGrid w:val="0"/>
              <w:jc w:val="distribute"/>
              <w:rPr>
                <w:rFonts w:hint="default" w:ascii="ＭＳ 明朝" w:hAnsi="ＭＳ 明朝" w:eastAsia="ＭＳ 明朝"/>
                <w:strike w:val="0"/>
                <w:color w:val="000000"/>
                <w:sz w:val="20"/>
                <w:u w:val="none" w:color="auto"/>
              </w:rPr>
            </w:pPr>
            <w:r>
              <w:rPr>
                <w:rFonts w:hint="eastAsia" w:ascii="ＭＳ 明朝" w:hAnsi="ＭＳ 明朝" w:eastAsia="ＭＳ 明朝"/>
                <w:color w:val="000000"/>
                <w:sz w:val="20"/>
              </w:rPr>
              <w:t>医療機関</w:t>
            </w:r>
          </w:p>
          <w:p>
            <w:pPr>
              <w:pStyle w:val="0"/>
              <w:autoSpaceDE w:val="0"/>
              <w:autoSpaceDN w:val="0"/>
              <w:adjustRightInd w:val="0"/>
              <w:snapToGrid w:val="0"/>
              <w:rPr>
                <w:rFonts w:hint="default" w:ascii="ＭＳ 明朝" w:hAnsi="ＭＳ 明朝" w:eastAsia="ＭＳ 明朝"/>
                <w:strike w:val="0"/>
                <w:color w:val="000000"/>
                <w:sz w:val="20"/>
                <w:u w:val="none" w:color="auto"/>
              </w:rPr>
            </w:pPr>
            <w:r>
              <w:rPr>
                <w:rFonts w:hint="eastAsia" w:ascii="ＭＳ 明朝" w:hAnsi="ＭＳ 明朝" w:eastAsia="ＭＳ 明朝"/>
                <w:strike w:val="0"/>
                <w:color w:val="000000"/>
                <w:sz w:val="20"/>
                <w:u w:val="none" w:color="auto"/>
              </w:rPr>
              <w:t>（※</w:t>
            </w:r>
            <w:r>
              <w:rPr>
                <w:rFonts w:hint="eastAsia" w:ascii="ＭＳ 明朝" w:hAnsi="ＭＳ 明朝" w:eastAsia="ＭＳ 明朝"/>
                <w:strike w:val="0"/>
                <w:color w:val="000000"/>
                <w:sz w:val="20"/>
                <w:u w:val="none" w:color="auto"/>
              </w:rPr>
              <w:t>2</w:t>
            </w:r>
            <w:r>
              <w:rPr>
                <w:rFonts w:hint="eastAsia" w:ascii="ＭＳ 明朝" w:hAnsi="ＭＳ 明朝" w:eastAsia="ＭＳ 明朝"/>
                <w:strike w:val="0"/>
                <w:color w:val="000000"/>
                <w:sz w:val="20"/>
                <w:u w:val="none" w:color="auto"/>
              </w:rPr>
              <w:t>）</w:t>
            </w:r>
          </w:p>
        </w:tc>
        <w:tc>
          <w:tcPr>
            <w:tcW w:w="3405" w:type="dxa"/>
            <w:gridSpan w:val="3"/>
            <w:tcBorders>
              <w:top w:val="single" w:color="000000" w:sz="4" w:space="0"/>
              <w:left w:val="single" w:color="000000" w:sz="4" w:space="0"/>
              <w:bottom w:val="single" w:color="000000" w:sz="4" w:space="0"/>
              <w:right w:val="single" w:color="000000" w:sz="4" w:space="0"/>
              <w:tl2br w:val="nil"/>
              <w:tr2bl w:val="nil"/>
            </w:tcBorders>
            <w:vAlign w:val="center"/>
          </w:tcPr>
          <w:p>
            <w:pPr>
              <w:pStyle w:val="0"/>
              <w:autoSpaceDE w:val="0"/>
              <w:autoSpaceDN w:val="0"/>
              <w:adjustRightInd w:val="0"/>
              <w:snapToGrid w:val="0"/>
              <w:jc w:val="center"/>
              <w:rPr>
                <w:rFonts w:hint="default" w:ascii="ＭＳ 明朝" w:hAnsi="ＭＳ 明朝" w:eastAsia="ＭＳ 明朝"/>
                <w:strike w:val="0"/>
                <w:dstrike w:val="0"/>
                <w:color w:val="000000"/>
                <w:sz w:val="20"/>
                <w:u w:val="none" w:color="auto"/>
              </w:rPr>
            </w:pPr>
            <w:r>
              <w:rPr>
                <w:rFonts w:hint="default" w:ascii="ＭＳ 明朝" w:hAnsi="ＭＳ 明朝" w:eastAsia="ＭＳ 明朝"/>
                <w:strike w:val="0"/>
                <w:dstrike w:val="0"/>
                <w:color w:val="000000"/>
                <w:sz w:val="20"/>
              </w:rPr>
              <w:t>名</w:t>
            </w:r>
            <w:r>
              <w:rPr>
                <w:rFonts w:hint="eastAsia" w:ascii="ＭＳ 明朝" w:hAnsi="ＭＳ 明朝" w:eastAsia="ＭＳ 明朝"/>
                <w:strike w:val="0"/>
                <w:dstrike w:val="0"/>
                <w:color w:val="000000"/>
                <w:sz w:val="20"/>
              </w:rPr>
              <w:t xml:space="preserve">        </w:t>
            </w:r>
            <w:r>
              <w:rPr>
                <w:rFonts w:hint="default" w:ascii="ＭＳ 明朝" w:hAnsi="ＭＳ 明朝" w:eastAsia="ＭＳ 明朝"/>
                <w:strike w:val="0"/>
                <w:dstrike w:val="0"/>
                <w:color w:val="000000"/>
                <w:sz w:val="20"/>
              </w:rPr>
              <w:t>称</w:t>
            </w:r>
          </w:p>
        </w:tc>
        <w:tc>
          <w:tcPr>
            <w:tcW w:w="4635"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0"/>
              <w:jc w:val="center"/>
              <w:rPr>
                <w:rFonts w:hint="default" w:ascii="ＭＳ 明朝" w:hAnsi="ＭＳ 明朝" w:eastAsia="ＭＳ 明朝"/>
                <w:strike w:val="0"/>
                <w:dstrike w:val="0"/>
                <w:color w:val="000000"/>
                <w:sz w:val="20"/>
                <w:u w:val="none" w:color="auto"/>
              </w:rPr>
            </w:pPr>
            <w:r>
              <w:rPr>
                <w:rFonts w:hint="default" w:ascii="ＭＳ 明朝" w:hAnsi="ＭＳ 明朝" w:eastAsia="ＭＳ 明朝"/>
                <w:strike w:val="0"/>
                <w:dstrike w:val="0"/>
                <w:color w:val="000000"/>
                <w:sz w:val="20"/>
              </w:rPr>
              <w:t>所</w:t>
            </w:r>
            <w:r>
              <w:rPr>
                <w:rFonts w:hint="eastAsia" w:ascii="ＭＳ 明朝" w:hAnsi="ＭＳ 明朝" w:eastAsia="ＭＳ 明朝"/>
                <w:strike w:val="0"/>
                <w:dstrike w:val="0"/>
                <w:color w:val="000000"/>
                <w:sz w:val="20"/>
              </w:rPr>
              <w:t xml:space="preserve">    </w:t>
            </w:r>
            <w:r>
              <w:rPr>
                <w:rFonts w:hint="default" w:ascii="ＭＳ 明朝" w:hAnsi="ＭＳ 明朝" w:eastAsia="ＭＳ 明朝"/>
                <w:strike w:val="0"/>
                <w:dstrike w:val="0"/>
                <w:color w:val="000000"/>
                <w:sz w:val="20"/>
              </w:rPr>
              <w:t>在</w:t>
            </w:r>
            <w:r>
              <w:rPr>
                <w:rFonts w:hint="eastAsia" w:ascii="ＭＳ 明朝" w:hAnsi="ＭＳ 明朝" w:eastAsia="ＭＳ 明朝"/>
                <w:strike w:val="0"/>
                <w:dstrike w:val="0"/>
                <w:color w:val="000000"/>
                <w:sz w:val="20"/>
              </w:rPr>
              <w:t xml:space="preserve">    </w:t>
            </w:r>
            <w:r>
              <w:rPr>
                <w:rFonts w:hint="default" w:ascii="ＭＳ 明朝" w:hAnsi="ＭＳ 明朝" w:eastAsia="ＭＳ 明朝"/>
                <w:strike w:val="0"/>
                <w:dstrike w:val="0"/>
                <w:color w:val="000000"/>
                <w:sz w:val="20"/>
              </w:rPr>
              <w:t>地</w:t>
            </w:r>
          </w:p>
        </w:tc>
      </w:tr>
      <w:tr>
        <w:trPr>
          <w:trHeight w:val="466" w:hRule="atLeast"/>
        </w:trPr>
        <w:tc>
          <w:tcPr>
            <w:tcW w:w="1243"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0"/>
              <w:rPr>
                <w:rFonts w:hint="eastAsia"/>
              </w:rPr>
            </w:pPr>
          </w:p>
        </w:tc>
        <w:tc>
          <w:tcPr>
            <w:tcW w:w="3405" w:type="dxa"/>
            <w:gridSpan w:val="3"/>
            <w:tcBorders>
              <w:top w:val="single" w:color="000000" w:sz="4" w:space="0"/>
              <w:left w:val="single" w:color="000000" w:sz="4" w:space="0"/>
              <w:bottom w:val="single" w:color="000000" w:sz="4" w:space="0"/>
              <w:right w:val="single" w:color="000000" w:sz="4" w:space="0"/>
              <w:tl2br w:val="nil"/>
              <w:tr2bl w:val="nil"/>
            </w:tcBorders>
            <w:vAlign w:val="center"/>
          </w:tcPr>
          <w:p>
            <w:pPr>
              <w:pStyle w:val="0"/>
              <w:rPr>
                <w:rFonts w:hint="eastAsia"/>
              </w:rPr>
            </w:pPr>
          </w:p>
        </w:tc>
        <w:tc>
          <w:tcPr>
            <w:tcW w:w="4635" w:type="dxa"/>
            <w:tcBorders>
              <w:top w:val="single" w:color="000000" w:sz="4" w:space="0"/>
              <w:left w:val="single" w:color="000000" w:sz="4" w:space="0"/>
              <w:bottom w:val="single" w:color="000000" w:sz="4" w:space="0"/>
              <w:right w:val="single" w:color="000000" w:sz="4" w:space="0"/>
              <w:tl2br w:val="nil"/>
              <w:tr2bl w:val="nil"/>
            </w:tcBorders>
            <w:vAlign w:val="top"/>
          </w:tcPr>
          <w:p>
            <w:pPr>
              <w:pStyle w:val="0"/>
              <w:snapToGrid w:val="0"/>
              <w:rPr>
                <w:rFonts w:hint="eastAsia"/>
                <w:strike w:val="0"/>
                <w:dstrike w:val="0"/>
                <w:sz w:val="20"/>
              </w:rPr>
            </w:pPr>
          </w:p>
        </w:tc>
      </w:tr>
      <w:tr>
        <w:trPr>
          <w:trHeight w:val="456" w:hRule="atLeast"/>
        </w:trPr>
        <w:tc>
          <w:tcPr>
            <w:tcW w:w="1243"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0"/>
              <w:rPr>
                <w:rFonts w:hint="eastAsia"/>
              </w:rPr>
            </w:pPr>
          </w:p>
        </w:tc>
        <w:tc>
          <w:tcPr>
            <w:tcW w:w="3405" w:type="dxa"/>
            <w:gridSpan w:val="3"/>
            <w:tcBorders>
              <w:top w:val="single" w:color="000000" w:sz="4" w:space="0"/>
              <w:left w:val="single" w:color="000000" w:sz="4" w:space="0"/>
              <w:bottom w:val="single" w:color="000000" w:sz="4" w:space="0"/>
              <w:right w:val="single" w:color="000000" w:sz="4" w:space="0"/>
              <w:tl2br w:val="nil"/>
              <w:tr2bl w:val="nil"/>
            </w:tcBorders>
            <w:vAlign w:val="center"/>
          </w:tcPr>
          <w:p>
            <w:pPr>
              <w:pStyle w:val="0"/>
              <w:rPr>
                <w:rFonts w:hint="default" w:ascii="ＭＳ 明朝" w:hAnsi="ＭＳ 明朝" w:eastAsia="ＭＳ 明朝"/>
                <w:strike w:val="0"/>
                <w:dstrike w:val="0"/>
                <w:color w:val="000000"/>
                <w:sz w:val="20"/>
                <w:u w:val="none" w:color="auto"/>
              </w:rPr>
            </w:pPr>
          </w:p>
        </w:tc>
        <w:tc>
          <w:tcPr>
            <w:tcW w:w="4635"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0"/>
              <w:rPr>
                <w:rFonts w:hint="default" w:ascii="ＭＳ 明朝" w:hAnsi="ＭＳ 明朝" w:eastAsia="ＭＳ 明朝"/>
                <w:strike w:val="0"/>
                <w:dstrike w:val="0"/>
                <w:color w:val="000000"/>
                <w:sz w:val="20"/>
                <w:u w:val="none" w:color="auto"/>
              </w:rPr>
            </w:pPr>
          </w:p>
        </w:tc>
      </w:tr>
      <w:tr>
        <w:trPr>
          <w:trHeight w:val="446" w:hRule="atLeast"/>
        </w:trPr>
        <w:tc>
          <w:tcPr>
            <w:tcW w:w="1243"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0"/>
              <w:rPr>
                <w:rFonts w:hint="eastAsia"/>
              </w:rPr>
            </w:pPr>
          </w:p>
        </w:tc>
        <w:tc>
          <w:tcPr>
            <w:tcW w:w="3405" w:type="dxa"/>
            <w:gridSpan w:val="3"/>
            <w:tcBorders>
              <w:top w:val="single" w:color="000000" w:sz="4" w:space="0"/>
              <w:left w:val="single" w:color="000000" w:sz="4" w:space="0"/>
              <w:bottom w:val="single" w:color="000000" w:sz="4" w:space="0"/>
              <w:right w:val="single" w:color="000000" w:sz="4" w:space="0"/>
              <w:tl2br w:val="nil"/>
              <w:tr2bl w:val="nil"/>
            </w:tcBorders>
            <w:vAlign w:val="center"/>
          </w:tcPr>
          <w:p>
            <w:pPr>
              <w:pStyle w:val="0"/>
              <w:rPr>
                <w:rFonts w:hint="eastAsia"/>
              </w:rPr>
            </w:pPr>
          </w:p>
        </w:tc>
        <w:tc>
          <w:tcPr>
            <w:tcW w:w="4635" w:type="dxa"/>
            <w:tcBorders>
              <w:top w:val="single" w:color="000000" w:sz="4" w:space="0"/>
              <w:left w:val="single" w:color="000000" w:sz="4" w:space="0"/>
              <w:bottom w:val="single" w:color="000000" w:sz="4" w:space="0"/>
              <w:right w:val="single" w:color="000000" w:sz="4" w:space="0"/>
              <w:tl2br w:val="nil"/>
              <w:tr2bl w:val="nil"/>
            </w:tcBorders>
            <w:vAlign w:val="top"/>
          </w:tcPr>
          <w:p>
            <w:pPr>
              <w:pStyle w:val="0"/>
              <w:rPr>
                <w:rFonts w:hint="eastAsia"/>
                <w:strike w:val="0"/>
                <w:dstrike w:val="0"/>
                <w:sz w:val="20"/>
              </w:rPr>
            </w:pPr>
          </w:p>
        </w:tc>
      </w:tr>
      <w:tr>
        <w:trPr>
          <w:trHeight w:val="441" w:hRule="atLeast"/>
        </w:trPr>
        <w:tc>
          <w:tcPr>
            <w:tcW w:w="1243" w:type="dxa"/>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pStyle w:val="0"/>
              <w:autoSpaceDE w:val="0"/>
              <w:autoSpaceDN w:val="0"/>
              <w:adjustRightInd w:val="0"/>
              <w:snapToGrid w:val="0"/>
              <w:jc w:val="distribute"/>
              <w:rPr>
                <w:rFonts w:hint="default" w:ascii="ＭＳ 明朝" w:hAnsi="ＭＳ 明朝" w:eastAsia="ＭＳ 明朝"/>
                <w:strike w:val="0"/>
                <w:color w:val="000000"/>
                <w:sz w:val="20"/>
                <w:u w:val="none" w:color="auto"/>
              </w:rPr>
            </w:pPr>
            <w:r>
              <w:rPr>
                <w:rFonts w:hint="default" w:ascii="ＭＳ 明朝" w:hAnsi="ＭＳ 明朝" w:eastAsia="ＭＳ 明朝"/>
                <w:color w:val="000000"/>
                <w:sz w:val="20"/>
              </w:rPr>
              <w:t>保守点検の方針</w:t>
            </w:r>
          </w:p>
        </w:tc>
        <w:tc>
          <w:tcPr>
            <w:tcW w:w="3405" w:type="dxa"/>
            <w:gridSpan w:val="3"/>
            <w:tcBorders>
              <w:top w:val="single" w:color="000000" w:sz="4" w:space="0"/>
              <w:left w:val="single" w:color="000000" w:sz="4" w:space="0"/>
              <w:bottom w:val="single" w:color="000000" w:sz="4" w:space="0"/>
              <w:right w:val="single" w:color="000000" w:sz="4" w:space="0"/>
              <w:tl2br w:val="nil"/>
              <w:tr2bl w:val="nil"/>
            </w:tcBorders>
            <w:vAlign w:val="center"/>
          </w:tcPr>
          <w:p>
            <w:pPr>
              <w:pStyle w:val="0"/>
              <w:autoSpaceDE w:val="0"/>
              <w:autoSpaceDN w:val="0"/>
              <w:adjustRightInd w:val="0"/>
              <w:snapToGrid w:val="0"/>
              <w:jc w:val="center"/>
              <w:rPr>
                <w:rFonts w:hint="default" w:ascii="ＭＳ 明朝" w:hAnsi="ＭＳ 明朝" w:eastAsia="ＭＳ 明朝"/>
                <w:strike w:val="0"/>
                <w:color w:val="000000"/>
                <w:sz w:val="20"/>
                <w:u w:val="none" w:color="auto"/>
              </w:rPr>
            </w:pPr>
            <w:r>
              <w:rPr>
                <w:rFonts w:hint="default" w:ascii="ＭＳ 明朝" w:hAnsi="ＭＳ 明朝" w:eastAsia="ＭＳ 明朝"/>
                <w:color w:val="000000"/>
                <w:sz w:val="20"/>
              </w:rPr>
              <w:t>保守点検計画の策定の有無</w:t>
            </w:r>
          </w:p>
        </w:tc>
        <w:tc>
          <w:tcPr>
            <w:tcW w:w="4635"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0"/>
              <w:autoSpaceDE w:val="0"/>
              <w:autoSpaceDN w:val="0"/>
              <w:adjustRightInd w:val="0"/>
              <w:snapToGrid w:val="0"/>
              <w:jc w:val="center"/>
              <w:rPr>
                <w:rFonts w:hint="default" w:ascii="ＭＳ 明朝" w:hAnsi="ＭＳ 明朝" w:eastAsia="ＭＳ 明朝"/>
                <w:strike w:val="0"/>
                <w:color w:val="000000"/>
                <w:sz w:val="20"/>
                <w:u w:val="none" w:color="auto"/>
              </w:rPr>
            </w:pPr>
            <w:r>
              <w:rPr>
                <w:rFonts w:hint="default" w:ascii="ＭＳ 明朝" w:hAnsi="ＭＳ 明朝" w:eastAsia="ＭＳ 明朝"/>
                <w:color w:val="000000"/>
                <w:sz w:val="20"/>
              </w:rPr>
              <w:t>有</w:t>
            </w:r>
            <w:r>
              <w:rPr>
                <w:rFonts w:hint="eastAsia" w:ascii="ＭＳ 明朝" w:hAnsi="ＭＳ 明朝" w:eastAsia="ＭＳ 明朝"/>
                <w:color w:val="000000"/>
                <w:sz w:val="20"/>
              </w:rPr>
              <w:t>　　</w:t>
            </w:r>
            <w:r>
              <w:rPr>
                <w:rFonts w:hint="default" w:ascii="ＭＳ 明朝" w:hAnsi="ＭＳ 明朝" w:eastAsia="ＭＳ 明朝"/>
                <w:color w:val="000000"/>
                <w:sz w:val="20"/>
              </w:rPr>
              <w:t>・</w:t>
            </w:r>
            <w:r>
              <w:rPr>
                <w:rFonts w:hint="eastAsia" w:ascii="ＭＳ 明朝" w:hAnsi="ＭＳ 明朝" w:eastAsia="ＭＳ 明朝"/>
                <w:color w:val="000000"/>
                <w:sz w:val="20"/>
              </w:rPr>
              <w:t>　　</w:t>
            </w:r>
            <w:r>
              <w:rPr>
                <w:rFonts w:hint="default" w:ascii="ＭＳ 明朝" w:hAnsi="ＭＳ 明朝" w:eastAsia="ＭＳ 明朝"/>
                <w:color w:val="000000"/>
                <w:sz w:val="20"/>
              </w:rPr>
              <w:t>無</w:t>
            </w:r>
          </w:p>
        </w:tc>
      </w:tr>
      <w:tr>
        <w:trPr>
          <w:trHeight w:val="364" w:hRule="atLeast"/>
        </w:trPr>
        <w:tc>
          <w:tcPr>
            <w:tcW w:w="1243"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0"/>
              <w:rPr>
                <w:rFonts w:hint="default" w:ascii="ＭＳ 明朝" w:hAnsi="ＭＳ 明朝" w:eastAsia="ＭＳ 明朝"/>
                <w:strike w:val="0"/>
                <w:color w:val="000000"/>
                <w:sz w:val="22"/>
                <w:u w:val="none" w:color="auto"/>
              </w:rPr>
            </w:pPr>
          </w:p>
        </w:tc>
        <w:tc>
          <w:tcPr>
            <w:tcW w:w="3405" w:type="dxa"/>
            <w:gridSpan w:val="3"/>
            <w:tcBorders>
              <w:top w:val="single" w:color="000000" w:sz="4" w:space="0"/>
              <w:left w:val="single" w:color="000000" w:sz="4" w:space="0"/>
              <w:bottom w:val="single" w:color="000000" w:sz="4" w:space="0"/>
              <w:right w:val="single" w:color="000000" w:sz="4" w:space="0"/>
              <w:tl2br w:val="nil"/>
              <w:tr2bl w:val="nil"/>
            </w:tcBorders>
            <w:vAlign w:val="center"/>
          </w:tcPr>
          <w:p>
            <w:pPr>
              <w:pStyle w:val="0"/>
              <w:autoSpaceDE w:val="0"/>
              <w:autoSpaceDN w:val="0"/>
              <w:adjustRightInd w:val="0"/>
              <w:snapToGrid w:val="0"/>
              <w:jc w:val="center"/>
              <w:rPr>
                <w:rFonts w:hint="eastAsia"/>
                <w:sz w:val="20"/>
              </w:rPr>
            </w:pPr>
            <w:r>
              <w:rPr>
                <w:rFonts w:hint="default" w:ascii="ＭＳ 明朝" w:hAnsi="ＭＳ 明朝" w:eastAsia="ＭＳ 明朝"/>
                <w:color w:val="000000"/>
                <w:sz w:val="20"/>
              </w:rPr>
              <w:t>保守点検予定時期、間隔</w:t>
            </w:r>
          </w:p>
        </w:tc>
        <w:tc>
          <w:tcPr>
            <w:tcW w:w="4635" w:type="dxa"/>
            <w:tcBorders>
              <w:top w:val="single" w:color="000000" w:sz="4" w:space="0"/>
              <w:left w:val="single" w:color="000000" w:sz="4" w:space="0"/>
              <w:bottom w:val="single" w:color="000000" w:sz="4" w:space="0"/>
              <w:right w:val="single" w:color="000000" w:sz="4" w:space="0"/>
              <w:tl2br w:val="nil"/>
              <w:tr2bl w:val="nil"/>
            </w:tcBorders>
            <w:vAlign w:val="top"/>
          </w:tcPr>
          <w:p>
            <w:pPr>
              <w:pStyle w:val="0"/>
              <w:snapToGrid w:val="0"/>
              <w:rPr>
                <w:rFonts w:hint="eastAsia"/>
                <w:sz w:val="20"/>
              </w:rPr>
            </w:pPr>
          </w:p>
        </w:tc>
      </w:tr>
      <w:tr>
        <w:trPr>
          <w:trHeight w:val="573" w:hRule="atLeast"/>
        </w:trPr>
        <w:tc>
          <w:tcPr>
            <w:tcW w:w="3286" w:type="dxa"/>
            <w:gridSpan w:val="3"/>
            <w:tcBorders>
              <w:top w:val="single" w:color="000000" w:sz="4" w:space="0"/>
              <w:left w:val="single" w:color="000000" w:sz="4" w:space="0"/>
              <w:bottom w:val="single" w:color="000000" w:sz="4" w:space="0"/>
              <w:right w:val="single" w:color="000000" w:sz="4" w:space="0"/>
              <w:tl2br w:val="nil"/>
              <w:tr2bl w:val="nil"/>
            </w:tcBorders>
            <w:vAlign w:val="bottom"/>
          </w:tcPr>
          <w:p>
            <w:pPr>
              <w:pStyle w:val="0"/>
              <w:autoSpaceDE w:val="0"/>
              <w:autoSpaceDN w:val="0"/>
              <w:adjustRightInd w:val="0"/>
              <w:snapToGrid w:val="0"/>
              <w:jc w:val="left"/>
              <w:rPr>
                <w:rFonts w:hint="default" w:ascii="ＭＳ 明朝" w:hAnsi="ＭＳ 明朝" w:eastAsia="ＭＳ 明朝"/>
                <w:strike w:val="0"/>
                <w:color w:val="000000"/>
                <w:sz w:val="20"/>
                <w:u w:val="none" w:color="auto"/>
              </w:rPr>
            </w:pPr>
            <w:r>
              <w:rPr>
                <w:rFonts w:hint="default" w:ascii="ＭＳ 明朝" w:hAnsi="ＭＳ 明朝" w:eastAsia="ＭＳ 明朝"/>
                <w:color w:val="000000"/>
                <w:sz w:val="20"/>
              </w:rPr>
              <w:t>画像情報及び画像診断情報の提供に関する方針（提供方法）</w:t>
            </w:r>
          </w:p>
        </w:tc>
        <w:tc>
          <w:tcPr>
            <w:tcW w:w="5997" w:type="dxa"/>
            <w:gridSpan w:val="2"/>
            <w:tcBorders>
              <w:top w:val="single" w:color="000000" w:sz="4" w:space="0"/>
              <w:left w:val="single" w:color="000000" w:sz="4" w:space="0"/>
              <w:bottom w:val="single" w:color="000000" w:sz="4" w:space="0"/>
              <w:right w:val="single" w:color="000000" w:sz="4" w:space="0"/>
              <w:tl2br w:val="nil"/>
              <w:tr2bl w:val="nil"/>
            </w:tcBorders>
            <w:vAlign w:val="bottom"/>
          </w:tcPr>
          <w:p>
            <w:pPr>
              <w:pStyle w:val="0"/>
              <w:autoSpaceDE w:val="0"/>
              <w:autoSpaceDN w:val="0"/>
              <w:adjustRightInd w:val="0"/>
              <w:snapToGrid w:val="0"/>
              <w:jc w:val="left"/>
              <w:rPr>
                <w:rFonts w:hint="default" w:ascii="ＭＳ 明朝" w:hAnsi="ＭＳ 明朝" w:eastAsia="ＭＳ 明朝"/>
                <w:strike w:val="0"/>
                <w:color w:val="000000"/>
                <w:sz w:val="20"/>
                <w:u w:val="none" w:color="auto"/>
              </w:rPr>
            </w:pPr>
            <w:r>
              <w:rPr>
                <w:rFonts w:hint="default" w:ascii="ＭＳ 明朝" w:hAnsi="ＭＳ 明朝" w:eastAsia="ＭＳ 明朝"/>
                <w:color w:val="000000"/>
                <w:sz w:val="20"/>
              </w:rPr>
              <w:t>ネットワーク・デジタルデータ（ＣＤ・ＤＶＤ）・紙ベース・その他</w:t>
            </w:r>
            <w:r>
              <w:rPr>
                <w:rFonts w:hint="eastAsia" w:ascii="ＭＳ 明朝" w:hAnsi="ＭＳ 明朝" w:eastAsia="ＭＳ 明朝"/>
                <w:color w:val="000000"/>
                <w:sz w:val="20"/>
              </w:rPr>
              <w:t>（　　　　　　　　　　　　　　　　　　　　　）</w:t>
            </w:r>
          </w:p>
        </w:tc>
      </w:tr>
    </w:tbl>
    <w:p>
      <w:pPr>
        <w:pStyle w:val="0"/>
        <w:autoSpaceDE w:val="0"/>
        <w:autoSpaceDN w:val="0"/>
        <w:adjustRightInd w:val="0"/>
        <w:snapToGrid w:val="0"/>
        <w:spacing w:line="200" w:lineRule="exact"/>
        <w:jc w:val="left"/>
        <w:rPr>
          <w:rFonts w:hint="eastAsia"/>
          <w:color w:val="auto"/>
        </w:rPr>
      </w:pPr>
    </w:p>
    <w:p>
      <w:pPr>
        <w:pStyle w:val="0"/>
        <w:autoSpaceDE w:val="0"/>
        <w:autoSpaceDN w:val="0"/>
        <w:adjustRightInd w:val="0"/>
        <w:snapToGrid w:val="0"/>
        <w:spacing w:line="300" w:lineRule="exact"/>
        <w:ind w:left="620" w:hanging="620" w:hangingChars="300"/>
        <w:jc w:val="left"/>
        <w:rPr>
          <w:rFonts w:hint="eastAsia"/>
          <w:color w:val="000000" w:themeColor="text1"/>
          <w:sz w:val="20"/>
        </w:rPr>
      </w:pPr>
      <w:r>
        <w:rPr>
          <w:rFonts w:hint="eastAsia"/>
          <w:color w:val="000000" w:themeColor="text1"/>
          <w:sz w:val="20"/>
          <w:u w:val="none" w:color="auto"/>
        </w:rPr>
        <w:t>（※</w:t>
      </w:r>
      <w:r>
        <w:rPr>
          <w:rFonts w:hint="eastAsia"/>
          <w:color w:val="000000" w:themeColor="text1"/>
          <w:sz w:val="20"/>
          <w:u w:val="none" w:color="auto"/>
        </w:rPr>
        <w:t>1</w:t>
      </w:r>
      <w:r>
        <w:rPr>
          <w:rFonts w:hint="eastAsia"/>
          <w:color w:val="000000" w:themeColor="text1"/>
          <w:sz w:val="20"/>
          <w:u w:val="none" w:color="auto"/>
        </w:rPr>
        <w:t>）</w:t>
      </w:r>
      <w:r>
        <w:rPr>
          <w:rFonts w:hint="eastAsia"/>
          <w:b w:val="0"/>
          <w:sz w:val="20"/>
          <w:u w:val="none" w:color="auto"/>
        </w:rPr>
        <w:t>本計画における共同利用の方針や協議の場での確認結果により、医療機器の購入・更新が妨げられるもではありません。</w:t>
      </w:r>
    </w:p>
    <w:p>
      <w:pPr>
        <w:pStyle w:val="0"/>
        <w:autoSpaceDE w:val="0"/>
        <w:autoSpaceDN w:val="0"/>
        <w:adjustRightInd w:val="0"/>
        <w:snapToGrid w:val="0"/>
        <w:spacing w:line="300" w:lineRule="exact"/>
        <w:jc w:val="left"/>
        <w:rPr>
          <w:rFonts w:hint="eastAsia"/>
          <w:color w:val="000000" w:themeColor="text1"/>
          <w:sz w:val="20"/>
        </w:rPr>
      </w:pPr>
      <w:r>
        <w:rPr>
          <w:rFonts w:hint="eastAsia"/>
          <w:color w:val="000000" w:themeColor="text1"/>
          <w:sz w:val="20"/>
        </w:rPr>
        <w:t>（※</w:t>
      </w:r>
      <w:r>
        <w:rPr>
          <w:rFonts w:hint="eastAsia"/>
          <w:color w:val="000000" w:themeColor="text1"/>
          <w:sz w:val="20"/>
        </w:rPr>
        <w:t>2</w:t>
      </w:r>
      <w:r>
        <w:rPr>
          <w:rFonts w:hint="eastAsia"/>
          <w:color w:val="000000" w:themeColor="text1"/>
          <w:sz w:val="20"/>
        </w:rPr>
        <w:t>）共同利用の相手方については、計画時点で共同利用が決定している医療機関を記載。</w:t>
      </w:r>
    </w:p>
    <w:sectPr>
      <w:footerReference r:id="rId8" w:type="even"/>
      <w:footerReference r:id="rId9" w:type="default"/>
      <w:footerReference r:id="rId7" w:type="first"/>
      <w:footnotePr>
        <w:numFmt w:val="decimalFullWidth"/>
      </w:footnotePr>
      <w:type w:val="continuous"/>
      <w:pgSz w:w="11906" w:h="16838"/>
      <w:pgMar w:top="1418" w:right="1418" w:bottom="1418" w:left="1418" w:header="720" w:footer="567" w:gutter="0"/>
      <w:pgNumType w:fmt="numberInDash" w:start="1"/>
      <w:cols w:space="720"/>
      <w:noEndnote w:val="1"/>
      <w:textDirection w:val="lrTb"/>
      <w:docGrid w:type="linesAndChars" w:linePitch="388" w:charSpace="1382"/>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Symbol">
    <w:panose1 w:val="00000000000000000000"/>
    <w:charset w:val="02"/>
    <w:family w:val="roman"/>
    <w:notTrueType/>
    <w:pitch w:val="variable"/>
    <w:sig w:usb0="00000000" w:usb1="00000000" w:usb2="00000000" w:usb3="00000000" w:csb0="0000008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lr SVbN">
    <w:panose1 w:val="00000000000000000000"/>
    <w:charset w:val="00"/>
    <w:family w:val="roman"/>
    <w:pitch w:val="fixed"/>
    <w:sig w:usb0="00000000" w:usb1="00000000" w:usb2="00000000" w:usb3="00000000" w:csb0="00000000" w:csb1="00000000"/>
  </w:font>
  <w:font w:name="ＭＳ 明朝">
    <w:panose1 w:val="00000800000000000000"/>
    <w:charset w:val="80"/>
    <w:family w:val="roman"/>
    <w:notTrueType/>
    <w:pitch w:val="fixed"/>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1"/>
      <w:framePr w:wrap="around" w:hAnchor="margin" w:vAnchor="text" w:x="-4" w:y="55"/>
      <w:rPr>
        <w:rStyle w:val="22"/>
        <w:rFonts w:hint="default"/>
      </w:rPr>
    </w:pPr>
    <w:r>
      <w:rPr>
        <w:rFonts w:hint="eastAsia"/>
      </w:rPr>
      <w:fldChar w:fldCharType="begin"/>
    </w:r>
    <w:r>
      <w:rPr>
        <w:rFonts w:hint="eastAsia"/>
      </w:rPr>
      <w:instrText xml:space="preserve">PAGE  \* MERGEFORMAT </w:instrText>
    </w:r>
    <w:r>
      <w:rPr>
        <w:rFonts w:hint="eastAsia"/>
      </w:rPr>
      <w:fldChar w:fldCharType="end"/>
    </w:r>
  </w:p>
  <w:p>
    <w:pPr>
      <w:pStyle w:val="21"/>
      <w:rPr>
        <w:rFonts w:hint="default"/>
      </w:rPr>
    </w:pP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sdt>
      <w:sdtPr>
        <w:rPr>
          <w:rFonts w:hint="eastAsia"/>
        </w:rPr>
        <w:alias w:val=""/>
        <w:tag w:val=""/>
        <w:lock w:val="unlocked"/>
        <w:docPartObj>
          <w:docPartGallery w:val="Page Numbers (Bottom of Page)"/>
          <w:docPartUnique/>
        </w:docPartObj>
      </w:sdtPr>
      <w:sdtEndPr>
        <w:rPr>
          <w:rFonts w:hint="eastAsia"/>
        </w:rPr>
      </w:sdtEndPr>
      <w:sdtContent/>
    </w:sdt>
  </w:p>
</w:ftr>
</file>

<file path=word/footer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ftr>
</file>

<file path=word/footer4.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ftr>
</file>

<file path=word/footer5.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rPr>
      <w:alias w:val=""/>
      <w:tag w:val=""/>
      <w:lock w:val="unlocked"/>
      <w:docPartObj>
        <w:docPartGallery w:val="Page Numbers (Bottom of Page)"/>
        <w:docPartUnique/>
      </w:docPartObj>
    </w:sdtPr>
    <w:sdtEndPr>
      <w:rPr>
        <w:rFonts w:hint="eastAsia"/>
      </w:rPr>
    </w:sdtEndPr>
    <w:sdtContent>
      <w:p>
        <w:pPr>
          <w:pStyle w:val="0"/>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Style w:val="22"/>
            <w:rFonts w:hint="eastAsia"/>
          </w:rPr>
          <w:t>- 30 -</w:t>
        </w:r>
        <w:r>
          <w:rPr>
            <w:rFonts w:hint="eastAsia"/>
          </w:rPr>
          <w:fldChar w:fldCharType="end"/>
        </w:r>
      </w:p>
    </w:sdtContent>
  </w:sdt>
  <w:p>
    <w:pPr>
      <w:pStyle w:val="0"/>
      <w:rPr>
        <w:rFonts w:hint="eastAsia"/>
      </w:rPr>
    </w:pPr>
  </w:p>
</w:ft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92"/>
  <w:bordersDoNotSurroundHeader/>
  <w:bordersDoNotSurroundFooter/>
  <w:doNotTrackMoves/>
  <w:defaultTabStop w:val="720"/>
  <w:hyphenationZone w:val="0"/>
  <w:doNotHyphenateCaps/>
  <w:drawingGridHorizontalSpacing w:val="227"/>
  <w:drawingGridVerticalSpacing w:val="194"/>
  <w:displayVerticalDrawingGridEvery w:val="2"/>
  <w:doNotShadeFormData/>
  <w:characterSpacingControl w:val="compressPunctuation"/>
  <w:noLineBreaksAfter w:lang="ja-JP" w:val="([{〈《「『【〔（［｛｢"/>
  <w:noLineBreaksBefore w:lang="ja-JP" w:val="!),.?]}、。〉》」』】〕！），．？］｝｡｣､ﾞﾟ"/>
  <w:hdrShapeDefaults>
    <o:shapelayout v:ext="edit"/>
  </w:hdrShapeDefaults>
  <w:footnotePr>
    <w:numFmt w:val="decimalFullWidth"/>
  </w:footnotePr>
  <w:compat>
    <w:spaceForUL/>
    <w:balanceSingleByteDoubleByteWidth/>
    <w:doNotLeaveBackslashAlone/>
    <w:ulTrailSpace/>
    <w:doNotExpandShiftReturn/>
    <w:adjustLineHeightInTable/>
    <w:doNotUseHTMLParagraphAutoSpacing/>
    <w:doNotBreakWrappedTables/>
    <w:selectFldWithFirstOrLastChar/>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Century" w:hAnsi="Century" w:eastAsia="ＭＳ 明朝"/>
      </w:rPr>
    </w:rPrDefault>
  </w:docDefaults>
  <w:style w:type="paragraph" w:styleId="0" w:default="1">
    <w:name w:val="Normal"/>
    <w:next w:val="0"/>
    <w:link w:val="0"/>
    <w:uiPriority w:val="0"/>
    <w:qFormat/>
    <w:pPr>
      <w:widowControl w:val="0"/>
      <w:overflowPunct w:val="0"/>
      <w:adjustRightInd w:val="0"/>
      <w:jc w:val="both"/>
      <w:textAlignment w:val="baseline"/>
    </w:pPr>
    <w:rPr>
      <w:rFonts w:ascii="ＭＳ 明朝" w:hAnsi="ＭＳ 明朝"/>
      <w:color w:val="000000"/>
      <w:sz w:val="22"/>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footnote text"/>
    <w:basedOn w:val="0"/>
    <w:next w:val="15"/>
    <w:link w:val="0"/>
    <w:uiPriority w:val="0"/>
    <w:semiHidden/>
    <w:pPr>
      <w:overflowPunct w:val="1"/>
      <w:adjustRightInd w:val="1"/>
      <w:snapToGrid w:val="0"/>
      <w:jc w:val="left"/>
      <w:textAlignment w:val="auto"/>
    </w:pPr>
    <w:rPr>
      <w:rFonts w:ascii="Century" w:hAnsi="Century" w:eastAsia="HG丸ｺﾞｼｯｸM-PRO"/>
      <w:color w:val="auto"/>
      <w:kern w:val="2"/>
      <w:sz w:val="20"/>
    </w:rPr>
  </w:style>
  <w:style w:type="character" w:styleId="16">
    <w:name w:val="footnote reference"/>
    <w:basedOn w:val="10"/>
    <w:next w:val="16"/>
    <w:link w:val="0"/>
    <w:uiPriority w:val="0"/>
    <w:semiHidden/>
    <w:rPr>
      <w:vertAlign w:val="superscript"/>
    </w:rPr>
  </w:style>
  <w:style w:type="character" w:styleId="17" w:customStyle="1">
    <w:name w:val="section031"/>
    <w:basedOn w:val="10"/>
    <w:next w:val="17"/>
    <w:link w:val="0"/>
    <w:uiPriority w:val="0"/>
    <w:rPr>
      <w:rFonts w:ascii="lr SVbN" w:hAnsi="lr SVbN"/>
      <w:color w:val="333333"/>
      <w:sz w:val="27"/>
      <w:u w:val="none" w:color="auto"/>
    </w:rPr>
  </w:style>
  <w:style w:type="paragraph" w:styleId="18">
    <w:name w:val="Body Text Indent"/>
    <w:basedOn w:val="0"/>
    <w:next w:val="18"/>
    <w:link w:val="0"/>
    <w:uiPriority w:val="0"/>
    <w:pPr>
      <w:overflowPunct w:val="1"/>
      <w:adjustRightInd w:val="1"/>
      <w:ind w:left="210" w:hanging="210" w:hangingChars="100"/>
      <w:textAlignment w:val="auto"/>
    </w:pPr>
    <w:rPr>
      <w:kern w:val="2"/>
      <w:sz w:val="21"/>
    </w:rPr>
  </w:style>
  <w:style w:type="paragraph" w:styleId="19">
    <w:name w:val="caption"/>
    <w:basedOn w:val="0"/>
    <w:next w:val="0"/>
    <w:link w:val="0"/>
    <w:uiPriority w:val="0"/>
    <w:semiHidden/>
    <w:qFormat/>
    <w:pPr>
      <w:overflowPunct w:val="1"/>
      <w:adjustRightInd w:val="1"/>
      <w:textAlignment w:val="auto"/>
    </w:pPr>
    <w:rPr>
      <w:rFonts w:ascii="Century" w:hAnsi="Century" w:eastAsia="HG丸ｺﾞｼｯｸM-PRO"/>
      <w:b w:val="1"/>
      <w:color w:val="auto"/>
      <w:kern w:val="2"/>
      <w:sz w:val="21"/>
    </w:rPr>
  </w:style>
  <w:style w:type="paragraph" w:styleId="20">
    <w:name w:val="Balloon Text"/>
    <w:basedOn w:val="0"/>
    <w:next w:val="20"/>
    <w:link w:val="0"/>
    <w:uiPriority w:val="0"/>
    <w:semiHidden/>
    <w:rPr>
      <w:rFonts w:ascii="Arial" w:hAnsi="Arial" w:eastAsia="ＭＳ ゴシック"/>
      <w:sz w:val="18"/>
    </w:rPr>
  </w:style>
  <w:style w:type="paragraph" w:styleId="21">
    <w:name w:val="footer"/>
    <w:basedOn w:val="0"/>
    <w:next w:val="21"/>
    <w:link w:val="27"/>
    <w:uiPriority w:val="0"/>
    <w:pPr>
      <w:tabs>
        <w:tab w:val="center" w:leader="none" w:pos="4252"/>
        <w:tab w:val="right" w:leader="none" w:pos="8504"/>
      </w:tabs>
      <w:snapToGrid w:val="0"/>
    </w:pPr>
  </w:style>
  <w:style w:type="character" w:styleId="22">
    <w:name w:val="page number"/>
    <w:basedOn w:val="10"/>
    <w:next w:val="22"/>
    <w:link w:val="0"/>
    <w:uiPriority w:val="0"/>
  </w:style>
  <w:style w:type="character" w:styleId="23" w:customStyle="1">
    <w:name w:val="font051"/>
    <w:basedOn w:val="10"/>
    <w:next w:val="23"/>
    <w:link w:val="0"/>
    <w:uiPriority w:val="0"/>
    <w:rPr>
      <w:sz w:val="20"/>
    </w:rPr>
  </w:style>
  <w:style w:type="paragraph" w:styleId="24">
    <w:name w:val="header"/>
    <w:basedOn w:val="0"/>
    <w:next w:val="24"/>
    <w:link w:val="0"/>
    <w:uiPriority w:val="0"/>
    <w:pPr>
      <w:tabs>
        <w:tab w:val="center" w:leader="none" w:pos="4252"/>
        <w:tab w:val="right" w:leader="none" w:pos="8504"/>
      </w:tabs>
      <w:snapToGrid w:val="0"/>
    </w:pPr>
  </w:style>
  <w:style w:type="paragraph" w:styleId="25">
    <w:name w:val="Date"/>
    <w:basedOn w:val="0"/>
    <w:next w:val="0"/>
    <w:link w:val="26"/>
    <w:uiPriority w:val="0"/>
  </w:style>
  <w:style w:type="character" w:styleId="26" w:customStyle="1">
    <w:name w:val="日付 (文字)"/>
    <w:basedOn w:val="10"/>
    <w:next w:val="26"/>
    <w:link w:val="25"/>
    <w:uiPriority w:val="0"/>
    <w:rPr>
      <w:rFonts w:ascii="ＭＳ 明朝" w:hAnsi="ＭＳ 明朝"/>
      <w:color w:val="000000"/>
      <w:sz w:val="22"/>
    </w:rPr>
  </w:style>
  <w:style w:type="character" w:styleId="27" w:customStyle="1">
    <w:name w:val="フッター (文字)"/>
    <w:basedOn w:val="10"/>
    <w:next w:val="27"/>
    <w:link w:val="21"/>
    <w:uiPriority w:val="0"/>
    <w:rPr>
      <w:rFonts w:ascii="ＭＳ 明朝" w:hAnsi="ＭＳ 明朝"/>
      <w:color w:val="000000"/>
      <w:sz w:val="22"/>
    </w:rPr>
  </w:style>
  <w:style w:type="paragraph" w:styleId="28">
    <w:name w:val="Normal (Web)"/>
    <w:basedOn w:val="0"/>
    <w:next w:val="28"/>
    <w:link w:val="0"/>
    <w:uiPriority w:val="0"/>
    <w:pPr>
      <w:widowControl w:val="1"/>
      <w:overflowPunct w:val="1"/>
      <w:adjustRightInd w:val="1"/>
      <w:spacing w:before="100" w:beforeLines="0" w:beforeAutospacing="1" w:after="100" w:afterLines="0" w:afterAutospacing="1"/>
      <w:jc w:val="left"/>
      <w:textAlignment w:val="auto"/>
    </w:pPr>
    <w:rPr>
      <w:rFonts w:ascii="ＭＳ Ｐゴシック" w:hAnsi="ＭＳ Ｐゴシック" w:eastAsia="ＭＳ Ｐゴシック"/>
      <w:color w:val="auto"/>
      <w:sz w:val="24"/>
    </w:rPr>
  </w:style>
  <w:style w:type="paragraph" w:styleId="29" w:customStyle="1">
    <w:name w:val="Default"/>
    <w:next w:val="29"/>
    <w:link w:val="0"/>
    <w:uiPriority w:val="0"/>
    <w:pPr>
      <w:widowControl w:val="0"/>
      <w:autoSpaceDE w:val="0"/>
      <w:autoSpaceDN w:val="0"/>
      <w:adjustRightInd w:val="0"/>
    </w:pPr>
    <w:rPr>
      <w:rFonts w:ascii="ＭＳ 明朝" w:hAnsi="ＭＳ 明朝"/>
      <w:color w:val="000000"/>
      <w:sz w:val="24"/>
    </w:rPr>
  </w:style>
  <w:style w:type="character" w:styleId="30">
    <w:name w:val="Hyperlink"/>
    <w:basedOn w:val="10"/>
    <w:next w:val="30"/>
    <w:link w:val="0"/>
    <w:uiPriority w:val="0"/>
    <w:rPr>
      <w:color w:val="0000FF"/>
      <w:u w:val="single" w:color="auto"/>
    </w:rPr>
  </w:style>
  <w:style w:type="character" w:styleId="31">
    <w:name w:val="endnote reference"/>
    <w:basedOn w:val="10"/>
    <w:next w:val="31"/>
    <w:link w:val="0"/>
    <w:uiPriority w:val="0"/>
    <w:semiHidden/>
    <w:rPr>
      <w:vertAlign w:val="superscript"/>
    </w:rPr>
  </w:style>
  <w:style w:type="table" w:styleId="32">
    <w:name w:val="Table Grid"/>
    <w:basedOn w:val="11"/>
    <w:next w:val="32"/>
    <w:link w:val="0"/>
    <w:uiPriority w:val="0"/>
    <w:pPr>
      <w:widowControl w:val="0"/>
      <w:overflowPunct w:val="0"/>
      <w:adjustRightInd w:val="0"/>
      <w:jc w:val="both"/>
      <w:textAlignment w:val="baseline"/>
    </w:p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footer" Target="footer1.xml" /><Relationship Id="rId6" Type="http://schemas.openxmlformats.org/officeDocument/2006/relationships/footer" Target="footer2.xml" /><Relationship Id="rId7" Type="http://schemas.openxmlformats.org/officeDocument/2006/relationships/footer" Target="footer3.xml" /><Relationship Id="rId8" Type="http://schemas.openxmlformats.org/officeDocument/2006/relationships/footer" Target="footer4.xml" /><Relationship Id="rId9" Type="http://schemas.openxmlformats.org/officeDocument/2006/relationships/footer" Target="footer5.xml" /><Relationship Id="rId10" Type="http://schemas.openxmlformats.org/officeDocument/2006/relationships/image" Target="media/image1.emf" /><Relationship Id="rId11" Type="http://schemas.openxmlformats.org/officeDocument/2006/relationships/image" Target="media/image2.emf" /><Relationship Id="rId12" Type="http://schemas.openxmlformats.org/officeDocument/2006/relationships/image" Target="media/image3.emf" /><Relationship Id="rId13" Type="http://schemas.openxmlformats.org/officeDocument/2006/relationships/image" Target="media/image4.emf" /><Relationship Id="rId14" Type="http://schemas.openxmlformats.org/officeDocument/2006/relationships/chart" Target="charts/chart1.xml" /><Relationship Id="rId15" Type="http://schemas.openxmlformats.org/officeDocument/2006/relationships/image" Target="media/image5.emf" /><Relationship Id="rId16" Type="http://schemas.openxmlformats.org/officeDocument/2006/relationships/package" Target="embeddings/oleObject1.xlsx" /><Relationship Id="rId17" Type="http://schemas.openxmlformats.org/officeDocument/2006/relationships/image" Target="media/image6.emf" /><Relationship Id="rId18" Type="http://schemas.openxmlformats.org/officeDocument/2006/relationships/package" Target="embeddings/oleObject2.xlsx" /><Relationship Id="rId19" Type="http://schemas.openxmlformats.org/officeDocument/2006/relationships/image" Target="media/image7.emf" /><Relationship Id="rId20" Type="http://schemas.openxmlformats.org/officeDocument/2006/relationships/package" Target="embeddings/oleObject3.xlsx" /><Relationship Id="rId21" Type="http://schemas.openxmlformats.org/officeDocument/2006/relationships/chart" Target="charts/chart2.xml" /><Relationship Id="rId22" Type="http://schemas.openxmlformats.org/officeDocument/2006/relationships/chart" Target="charts/chart3.xml" /><Relationship Id="rId23" Type="http://schemas.openxmlformats.org/officeDocument/2006/relationships/chart" Target="charts/chart4.xml" /><Relationship Id="rId24" Type="http://schemas.openxmlformats.org/officeDocument/2006/relationships/chart" Target="charts/chart5.xml" /><Relationship Id="rId25" Type="http://schemas.openxmlformats.org/officeDocument/2006/relationships/chart" Target="charts/chart6.xml" /><Relationship Id="rId26" Type="http://schemas.openxmlformats.org/officeDocument/2006/relationships/chart" Target="charts/chart7.xml" /><Relationship Id="rId27" Type="http://schemas.openxmlformats.org/officeDocument/2006/relationships/image" Target="media/image8.emf" /><Relationship Id="rId28" Type="http://schemas.openxmlformats.org/officeDocument/2006/relationships/package" Target="embeddings/oleObject4.xlsx" /><Relationship Id="rId29" Type="http://schemas.openxmlformats.org/officeDocument/2006/relationships/image" Target="media/image9.emf" /><Relationship Id="rId30" Type="http://schemas.openxmlformats.org/officeDocument/2006/relationships/image" Target="media/image10.png" /><Relationship Id="rId31" Type="http://schemas.openxmlformats.org/officeDocument/2006/relationships/image" Target="media/image11.png" /><Relationship Id="rId32" Type="http://schemas.openxmlformats.org/officeDocument/2006/relationships/image" Target="media/image12.png" /><Relationship Id="rId33" Type="http://schemas.openxmlformats.org/officeDocument/2006/relationships/image" Target="media/image13.png" /><Relationship Id="rId34" Type="http://schemas.openxmlformats.org/officeDocument/2006/relationships/chart" Target="charts/chart8.xml" /><Relationship Id="rId35" Type="http://schemas.openxmlformats.org/officeDocument/2006/relationships/image" Target="media/image14.emf" /><Relationship Id="rId36" Type="http://schemas.openxmlformats.org/officeDocument/2006/relationships/package" Target="embeddings/oleObject5.xlsx" /><Relationship Id="rId37" Type="http://schemas.openxmlformats.org/officeDocument/2006/relationships/image" Target="media/image15.emf" /><Relationship Id="rId38" Type="http://schemas.openxmlformats.org/officeDocument/2006/relationships/package" Target="embeddings/oleObject6.xlsx" /><Relationship Id="rId39" Type="http://schemas.openxmlformats.org/officeDocument/2006/relationships/image" Target="media/image16.png" /><Relationship Id="rId40" Type="http://schemas.openxmlformats.org/officeDocument/2006/relationships/image" Target="media/image17.emf" /><Relationship Id="rId41" Type="http://schemas.openxmlformats.org/officeDocument/2006/relationships/package" Target="embeddings/oleObject7.xlsx" /><Relationship Id="rId42" Type="http://schemas.openxmlformats.org/officeDocument/2006/relationships/image" Target="media/image18.emf" /><Relationship Id="rId43" Type="http://schemas.openxmlformats.org/officeDocument/2006/relationships/package" Target="embeddings/oleObject8.xlsx" /><Relationship Id="rId44" Type="http://schemas.openxmlformats.org/officeDocument/2006/relationships/image" Target="media/image19.emf" /><Relationship Id="rId45" Type="http://schemas.openxmlformats.org/officeDocument/2006/relationships/package" Target="embeddings/oleObject9.xlsx" /><Relationship Id="rId46" Type="http://schemas.openxmlformats.org/officeDocument/2006/relationships/image" Target="media/image20.emf" /><Relationship Id="rId47" Type="http://schemas.openxmlformats.org/officeDocument/2006/relationships/package" Target="embeddings/oleObject10.xlsx" /><Relationship Id="rId48" Type="http://schemas.openxmlformats.org/officeDocument/2006/relationships/image" Target="media/image21.emf" /><Relationship Id="rId49" Type="http://schemas.openxmlformats.org/officeDocument/2006/relationships/package" Target="embeddings/oleObject11.xlsx" /><Relationship Id="rId50" Type="http://schemas.openxmlformats.org/officeDocument/2006/relationships/image" Target="media/image22.emf" /><Relationship Id="rId51" Type="http://schemas.openxmlformats.org/officeDocument/2006/relationships/package" Target="embeddings/oleObject12.xlsx" /><Relationship Id="rId52" Type="http://schemas.openxmlformats.org/officeDocument/2006/relationships/image" Target="media/image23.emf" /><Relationship Id="rId53" Type="http://schemas.openxmlformats.org/officeDocument/2006/relationships/package" Target="embeddings/oleObject13.xlsx" /><Relationship Id="rId54" Type="http://schemas.openxmlformats.org/officeDocument/2006/relationships/image" Target="media/image24.emf" /><Relationship Id="rId55" Type="http://schemas.openxmlformats.org/officeDocument/2006/relationships/package" Target="embeddings/oleObject14.xlsx" /><Relationship Id="rId56" Type="http://schemas.openxmlformats.org/officeDocument/2006/relationships/image" Target="media/image25.emf" /><Relationship Id="rId57" Type="http://schemas.openxmlformats.org/officeDocument/2006/relationships/package" Target="embeddings/oleObject15.xlsx" /><Relationship Id="rId58" Type="http://schemas.openxmlformats.org/officeDocument/2006/relationships/image" Target="media/image26.emf" /><Relationship Id="rId59" Type="http://schemas.openxmlformats.org/officeDocument/2006/relationships/package" Target="embeddings/oleObject16.xlsx" /><Relationship Id="rId60" Type="http://schemas.openxmlformats.org/officeDocument/2006/relationships/image" Target="media/image27.emf" /><Relationship Id="rId61" Type="http://schemas.openxmlformats.org/officeDocument/2006/relationships/package" Target="embeddings/oleObject17.xlsx" /><Relationship Id="rId62" Type="http://schemas.openxmlformats.org/officeDocument/2006/relationships/image" Target="media/image28.emf" /><Relationship Id="rId63" Type="http://schemas.openxmlformats.org/officeDocument/2006/relationships/package" Target="embeddings/oleObject18.xlsx" /><Relationship Id="rId64" Type="http://schemas.openxmlformats.org/officeDocument/2006/relationships/image" Target="media/image29.emf" /><Relationship Id="rId65" Type="http://schemas.openxmlformats.org/officeDocument/2006/relationships/image" Target="media/image30.emf" /><Relationship Id="rId66" Type="http://schemas.openxmlformats.org/officeDocument/2006/relationships/image" Target="media/image31.emf" /><Relationship Id="rId67" Type="http://schemas.openxmlformats.org/officeDocument/2006/relationships/package" Target="embeddings/oleObject19.xlsx" /><Relationship Id="rId68" Type="http://schemas.openxmlformats.org/officeDocument/2006/relationships/image" Target="media/image32.emf" /><Relationship Id="rId69" Type="http://schemas.openxmlformats.org/officeDocument/2006/relationships/image" Target="media/image33.png" /><Relationship Id="rId70" Type="http://schemas.openxmlformats.org/officeDocument/2006/relationships/image" Target="media/image34.emf" /><Relationship Id="rId71" Type="http://schemas.openxmlformats.org/officeDocument/2006/relationships/image" Target="media/image35.emf" /><Relationship Id="rId72" Type="http://schemas.openxmlformats.org/officeDocument/2006/relationships/image" Target="media/image36.emf" /><Relationship Id="rId73" Type="http://schemas.openxmlformats.org/officeDocument/2006/relationships/image" Target="media/image37.emf" /><Relationship Id="rId74" Type="http://schemas.openxmlformats.org/officeDocument/2006/relationships/image" Target="media/image38.emf" /><Relationship Id="rId75" Type="http://schemas.openxmlformats.org/officeDocument/2006/relationships/image" Target="media/image39.emf" /><Relationship Id="rId76" Type="http://schemas.openxmlformats.org/officeDocument/2006/relationships/image" Target="media/image40.emf" /><Relationship Id="rId77" Type="http://schemas.openxmlformats.org/officeDocument/2006/relationships/image" Target="media/image41.emf" /><Relationship Id="rId78" Type="http://schemas.openxmlformats.org/officeDocument/2006/relationships/image" Target="media/image42.emf" /><Relationship Id="rId79" Type="http://schemas.openxmlformats.org/officeDocument/2006/relationships/image" Target="media/image43.emf" /><Relationship Id="rId80" Type="http://schemas.openxmlformats.org/officeDocument/2006/relationships/image" Target="media/image44.emf" /><Relationship Id="rId81" Type="http://schemas.openxmlformats.org/officeDocument/2006/relationships/image" Target="media/image45.emf" /><Relationship Id="rId82" Type="http://schemas.openxmlformats.org/officeDocument/2006/relationships/image" Target="media/image46.emf" /><Relationship Id="rId83" Type="http://schemas.openxmlformats.org/officeDocument/2006/relationships/image" Target="media/image47.emf" /><Relationship Id="rId84" Type="http://schemas.microsoft.com/office/2011/relationships/commentsExtended" Target="commentsExtended.xml" /></Relationships>
</file>

<file path=word/charts/_rels/chart1.xml.rels><?xml version="1.0" encoding="UTF-8"?><Relationships xmlns="http://schemas.openxmlformats.org/package/2006/relationships"><Relationship Id="rId1" Type="http://schemas.openxmlformats.org/officeDocument/2006/relationships/oleObject" Target="file:///C:\Users\416328\Desktop\&#22806;&#26469;&#35336;&#30011;\&#12487;&#12540;&#12479;&#65306;&#30149;&#38498;&#35386;&#30274;&#25152;&#12398;&#29366;&#27841;\&#35386;&#30274;&#25152;&#12398;&#29366;&#27841;.xlsx" TargetMode="External" /><Relationship Id="rId2" Type="http://schemas.microsoft.com/office/2011/relationships/chartColorStyle" Target="colors1.xml" /><Relationship Id="rId3" Type="http://schemas.microsoft.com/office/2011/relationships/chartStyle" Target="style1.xml" /></Relationships>
</file>

<file path=word/charts/_rels/chart2.xml.rels><?xml version="1.0" encoding="UTF-8"?><Relationships xmlns="http://schemas.openxmlformats.org/package/2006/relationships"><Relationship Id="rId1" Type="http://schemas.openxmlformats.org/officeDocument/2006/relationships/oleObject" Target="file:///C:\Users\416328\Desktop\&#22806;&#26469;&#35336;&#30011;\&#12487;&#12540;&#12479;&#65306;&#30149;&#38498;&#35386;&#30274;&#25152;&#12398;&#29366;&#27841;\&#35386;&#30274;&#25152;&#12398;&#29366;&#27841;.xlsx" TargetMode="External" /><Relationship Id="rId2" Type="http://schemas.microsoft.com/office/2011/relationships/chartColorStyle" Target="colors2.xml" /><Relationship Id="rId3" Type="http://schemas.microsoft.com/office/2011/relationships/chartStyle" Target="style2.xml" /></Relationships>
</file>

<file path=word/charts/_rels/chart3.xml.rels><?xml version="1.0" encoding="UTF-8"?><Relationships xmlns="http://schemas.openxmlformats.org/package/2006/relationships"><Relationship Id="rId1" Type="http://schemas.openxmlformats.org/officeDocument/2006/relationships/oleObject" Target="file:///C:\Users\416328\Desktop\&#22806;&#26469;&#35336;&#30011;\&#12487;&#12540;&#12479;&#65306;&#30149;&#38498;&#35386;&#30274;&#25152;&#12398;&#29366;&#27841;\&#35386;&#30274;&#25152;&#12398;&#29366;&#27841;.xlsx" TargetMode="External" /><Relationship Id="rId2" Type="http://schemas.microsoft.com/office/2011/relationships/chartColorStyle" Target="colors3.xml" /><Relationship Id="rId3" Type="http://schemas.microsoft.com/office/2011/relationships/chartStyle" Target="style3.xml" /></Relationships>
</file>

<file path=word/charts/_rels/chart4.xml.rels><?xml version="1.0" encoding="UTF-8"?><Relationships xmlns="http://schemas.openxmlformats.org/package/2006/relationships"><Relationship Id="rId1" Type="http://schemas.openxmlformats.org/officeDocument/2006/relationships/oleObject" Target="file:///C:\Users\416328\Desktop\&#22806;&#26469;&#35336;&#30011;\&#12487;&#12540;&#12479;&#65306;&#30149;&#38498;&#35386;&#30274;&#25152;&#12398;&#29366;&#27841;\&#30149;&#38498;&#24180;&#40802;&#25512;&#31227;.xlsx" TargetMode="External" /><Relationship Id="rId2" Type="http://schemas.microsoft.com/office/2011/relationships/chartColorStyle" Target="colors4.xml" /><Relationship Id="rId3" Type="http://schemas.microsoft.com/office/2011/relationships/chartStyle" Target="style4.xml" /></Relationships>
</file>

<file path=word/charts/_rels/chart5.xml.rels><?xml version="1.0" encoding="UTF-8"?><Relationships xmlns="http://schemas.openxmlformats.org/package/2006/relationships"><Relationship Id="rId1" Type="http://schemas.openxmlformats.org/officeDocument/2006/relationships/oleObject" Target="file:///C:\Users\416328\Desktop\&#22806;&#26469;&#35336;&#30011;\&#12487;&#12540;&#12479;&#65306;&#30149;&#38498;&#35386;&#30274;&#25152;&#12398;&#29366;&#27841;\&#35386;&#30274;&#25152;&#12398;&#29366;&#27841;.xlsx" TargetMode="External" /><Relationship Id="rId2" Type="http://schemas.microsoft.com/office/2011/relationships/chartColorStyle" Target="colors5.xml" /><Relationship Id="rId3" Type="http://schemas.microsoft.com/office/2011/relationships/chartStyle" Target="style5.xml" /></Relationships>
</file>

<file path=word/charts/_rels/chart6.xml.rels><?xml version="1.0" encoding="UTF-8"?><Relationships xmlns="http://schemas.openxmlformats.org/package/2006/relationships"><Relationship Id="rId1" Type="http://schemas.openxmlformats.org/officeDocument/2006/relationships/oleObject" Target="file:///C:\Users\416328\Desktop\&#22806;&#26469;&#35336;&#30011;\&#12487;&#12540;&#12479;&#65306;&#30149;&#38498;&#35386;&#30274;&#25152;&#12398;&#29366;&#27841;\&#35386;&#30274;&#25152;&#12398;&#29366;&#27841;.xlsx" TargetMode="External" /><Relationship Id="rId2" Type="http://schemas.microsoft.com/office/2011/relationships/chartColorStyle" Target="colors6.xml" /><Relationship Id="rId3" Type="http://schemas.microsoft.com/office/2011/relationships/chartStyle" Target="style6.xml" /></Relationships>
</file>

<file path=word/charts/_rels/chart7.xml.rels><?xml version="1.0" encoding="UTF-8"?><Relationships xmlns="http://schemas.openxmlformats.org/package/2006/relationships"><Relationship Id="rId1" Type="http://schemas.openxmlformats.org/officeDocument/2006/relationships/oleObject" Target="file:///C:\Users\416328\Desktop\&#22806;&#26469;&#35336;&#30011;\&#12487;&#12540;&#12479;&#65306;&#30149;&#38498;&#35386;&#30274;&#25152;&#12398;&#29366;&#27841;\&#35386;&#30274;&#25152;&#24180;&#40802;&#25512;&#31227;.xlsx" TargetMode="External" /><Relationship Id="rId2" Type="http://schemas.microsoft.com/office/2011/relationships/chartColorStyle" Target="colors7.xml" /><Relationship Id="rId3" Type="http://schemas.microsoft.com/office/2011/relationships/chartStyle" Target="style7.xml" /></Relationships>
</file>

<file path=word/charts/_rels/chart8.xml.rels><?xml version="1.0" encoding="UTF-8"?><Relationships xmlns="http://schemas.openxmlformats.org/package/2006/relationships"><Relationship Id="rId1" Type="http://schemas.openxmlformats.org/officeDocument/2006/relationships/oleObject" Target="file:///C:\Users\416328\Desktop\&#22806;&#26469;&#35336;&#30011;\&#35386;&#30274;&#25152;&#23550;&#24540;&#21106;&#21512;.xlsx" TargetMode="External" /><Relationship Id="rId2" Type="http://schemas.openxmlformats.org/officeDocument/2006/relationships/chartUserShapes" Target="../drawings/drawing2.xml" /><Relationship Id="rId3" Type="http://schemas.microsoft.com/office/2011/relationships/chartColorStyle" Target="colors8.xml" /><Relationship Id="rId4" Type="http://schemas.microsoft.com/office/2011/relationships/chartStyle" Target="style8.xml" /></Relationships>
</file>

<file path=word/charts/chart1.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horzOverflow="overflow" wrap="square" anchor="t" anchorCtr="1"/>
          <a:lstStyle/>
          <a:p>
            <a:pPr algn="ctr" rtl="0">
              <a:defRPr kumimoji="0" lang="ja-JP" altLang="en-US" sz="1100" b="0" i="0" u="none" strike="noStrike" kern="1200" cap="all" spc="120" normalizeH="0" baseline="0">
                <a:solidFill>
                  <a:schemeClr val="tx1"/>
                </a:solidFill>
                <a:latin typeface="ＭＳ Ｐ明朝"/>
                <a:ea typeface="ＭＳ Ｐ明朝"/>
                <a:cs typeface="+mn-cs"/>
              </a:defRPr>
            </a:pPr>
            <a:r>
              <a:rPr kumimoji="0" lang="ja-JP" altLang="en-US" sz="1100" b="0" i="0" u="none" strike="noStrike" kern="1200" cap="all" spc="120" normalizeH="0" baseline="0">
                <a:solidFill>
                  <a:schemeClr val="tx1"/>
                </a:solidFill>
                <a:latin typeface="ＭＳ Ｐ明朝"/>
                <a:ea typeface="ＭＳ Ｐ明朝"/>
                <a:cs typeface="+mn-cs"/>
              </a:rPr>
              <a:t>H22を100とした場合の診療所と人口の推移</a:t>
            </a:r>
            <a:endParaRPr kumimoji="0" lang="ja-JP" altLang="en-US" sz="1100" b="0" i="0" u="none" strike="noStrike" kern="1200" cap="all" spc="120" normalizeH="0" baseline="0">
              <a:solidFill>
                <a:schemeClr val="tx1"/>
              </a:solidFill>
              <a:latin typeface="ＭＳ Ｐ明朝"/>
              <a:ea typeface="ＭＳ Ｐ明朝"/>
              <a:cs typeface="+mn-cs"/>
            </a:endParaRPr>
          </a:p>
        </c:rich>
      </c:tx>
      <c:layout/>
      <c:overlay val="0"/>
      <c:spPr>
        <a:noFill/>
        <a:ln>
          <a:noFill/>
        </a:ln>
        <a:effectLst/>
      </c:spPr>
    </c:title>
    <c:autoTitleDeleted val="0"/>
    <c:plotArea>
      <c:layout>
        <c:manualLayout>
          <c:layoutTarget val="inner"/>
          <c:xMode val="edge"/>
          <c:yMode val="edge"/>
          <c:x val="6.5868263473053898e-002"/>
          <c:y val="0.23902439024390243"/>
          <c:w val="0.70658682634730541"/>
          <c:h val="0.58536585365853655"/>
        </c:manualLayout>
      </c:layout>
      <c:lineChart>
        <c:grouping val="standard"/>
        <c:varyColors val="0"/>
        <c:ser>
          <c:idx val="0"/>
          <c:order val="0"/>
          <c:tx>
            <c:strRef>
              <c:f>'[0]●H22を100とした場合の推移'!$C$3</c:f>
              <c:strCache>
                <c:ptCount val="1"/>
                <c:pt idx="0">
                  <c:v>一般診療所</c:v>
                </c:pt>
              </c:strCache>
            </c:strRef>
          </c:tx>
          <c:spPr>
            <a:noFill/>
            <a:ln w="22225" cap="rnd">
              <a:solidFill>
                <a:schemeClr val="accent1"/>
              </a:solidFill>
              <a:round/>
            </a:ln>
            <a:effectLst/>
          </c:spPr>
          <c:marker>
            <c:symbol val="diamond"/>
            <c:size val="6"/>
            <c:spPr>
              <a:solidFill>
                <a:schemeClr val="accent1"/>
              </a:solidFill>
              <a:ln w="9525">
                <a:solidFill>
                  <a:schemeClr val="accent1"/>
                </a:solidFill>
                <a:round/>
              </a:ln>
              <a:effectLst/>
            </c:spPr>
          </c:marker>
          <c:dPt>
            <c:idx val="0"/>
            <c:invertIfNegative val="0"/>
            <c:marker>
              <c:symbol val="none"/>
              <c:spPr>
                <a:solidFill>
                  <a:schemeClr val="accent1"/>
                </a:solidFill>
                <a:ln w="9525">
                  <a:solidFill>
                    <a:schemeClr val="accent1"/>
                  </a:solidFill>
                  <a:round/>
                </a:ln>
                <a:effectLst/>
              </c:spPr>
            </c:marker>
            <c:bubble3D val="0"/>
            <c:spPr>
              <a:noFill/>
              <a:ln w="22225" cap="rnd">
                <a:solidFill>
                  <a:schemeClr val="accent1"/>
                </a:solidFill>
                <a:round/>
              </a:ln>
              <a:effectLst/>
            </c:spPr>
          </c:dPt>
          <c:dPt>
            <c:idx val="1"/>
            <c:invertIfNegative val="0"/>
            <c:marker>
              <c:symbol val="diamond"/>
              <c:size val="6"/>
              <c:spPr>
                <a:solidFill>
                  <a:schemeClr val="accent1"/>
                </a:solidFill>
                <a:ln w="9525">
                  <a:solidFill>
                    <a:schemeClr val="accent1"/>
                  </a:solidFill>
                  <a:round/>
                </a:ln>
                <a:effectLst/>
              </c:spPr>
            </c:marker>
            <c:bubble3D val="0"/>
            <c:spPr>
              <a:noFill/>
              <a:ln w="22225" cap="rnd">
                <a:solidFill>
                  <a:schemeClr val="accent1"/>
                </a:solidFill>
                <a:round/>
              </a:ln>
              <a:effectLst/>
            </c:spPr>
          </c:dPt>
          <c:dPt>
            <c:idx val="2"/>
            <c:invertIfNegative val="0"/>
            <c:marker>
              <c:symbol val="diamond"/>
              <c:size val="6"/>
              <c:spPr>
                <a:solidFill>
                  <a:schemeClr val="accent1"/>
                </a:solidFill>
                <a:ln w="9525">
                  <a:solidFill>
                    <a:schemeClr val="accent1"/>
                  </a:solidFill>
                  <a:round/>
                </a:ln>
                <a:effectLst/>
              </c:spPr>
            </c:marker>
            <c:bubble3D val="0"/>
            <c:spPr>
              <a:noFill/>
              <a:ln w="22225" cap="rnd">
                <a:solidFill>
                  <a:schemeClr val="accent1"/>
                </a:solidFill>
                <a:round/>
              </a:ln>
              <a:effectLst/>
            </c:spPr>
          </c:dPt>
          <c:dPt>
            <c:idx val="3"/>
            <c:invertIfNegative val="0"/>
            <c:marker>
              <c:symbol val="diamond"/>
              <c:size val="6"/>
              <c:spPr>
                <a:solidFill>
                  <a:schemeClr val="accent1"/>
                </a:solidFill>
                <a:ln w="9525">
                  <a:solidFill>
                    <a:schemeClr val="accent1"/>
                  </a:solidFill>
                  <a:round/>
                </a:ln>
                <a:effectLst/>
              </c:spPr>
            </c:marker>
            <c:bubble3D val="0"/>
            <c:spPr>
              <a:noFill/>
              <a:ln w="22225" cap="rnd">
                <a:solidFill>
                  <a:schemeClr val="accent1"/>
                </a:solidFill>
                <a:round/>
              </a:ln>
              <a:effectLst/>
            </c:spPr>
          </c:dPt>
          <c:dPt>
            <c:idx val="4"/>
            <c:invertIfNegative val="0"/>
            <c:marker>
              <c:symbol val="diamond"/>
              <c:size val="6"/>
              <c:spPr>
                <a:solidFill>
                  <a:schemeClr val="accent1"/>
                </a:solidFill>
                <a:ln w="9525">
                  <a:solidFill>
                    <a:schemeClr val="accent1"/>
                  </a:solidFill>
                  <a:round/>
                </a:ln>
                <a:effectLst/>
              </c:spPr>
            </c:marker>
            <c:bubble3D val="0"/>
            <c:spPr>
              <a:noFill/>
              <a:ln w="22225" cap="rnd">
                <a:solidFill>
                  <a:schemeClr val="accent1"/>
                </a:solidFill>
                <a:round/>
              </a:ln>
              <a:effectLst/>
            </c:spPr>
          </c:dPt>
          <c:dLbls>
            <c:dLbl>
              <c:idx val="0"/>
              <c:delete val="1"/>
            </c:dLbl>
            <c:dLbl>
              <c:idx val="1"/>
              <c:layout>
                <c:manualLayout>
                  <c:x val="-3.5673287107768244e-002"/>
                  <c:y val="-5.4923500416106524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0" i="0" u="none" strike="noStrike" kern="1200" baseline="0">
                      <a:solidFill>
                        <a:schemeClr val="tx1"/>
                      </a:solidFill>
                      <a:latin typeface="ＭＳ Ｐ明朝"/>
                      <a:ea typeface="ＭＳ Ｐ明朝"/>
                      <a:cs typeface="+mn-cs"/>
                    </a:defRPr>
                  </a:pPr>
                  <a:endParaRPr lang="ja-JP" altLang="en-US">
                    <a:solidFill>
                      <a:schemeClr val="tx1"/>
                    </a:solidFill>
                    <a:latin typeface="ＭＳ Ｐ明朝"/>
                    <a:ea typeface="ＭＳ Ｐ明朝"/>
                  </a:endParaRPr>
                </a:p>
              </c:txPr>
              <c:showLegendKey val="0"/>
              <c:showVal val="1"/>
              <c:showCatName val="0"/>
              <c:showSerName val="0"/>
              <c:showPercent val="0"/>
              <c:showBubbleSize val="0"/>
            </c:dLbl>
            <c:dLbl>
              <c:idx val="2"/>
              <c:layout>
                <c:manualLayout>
                  <c:x val="-3.5065303404238649e-002"/>
                  <c:y val="-5.7605531015940084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0" i="0" u="none" strike="noStrike" kern="1200" baseline="0">
                      <a:solidFill>
                        <a:schemeClr val="tx1"/>
                      </a:solidFill>
                      <a:latin typeface="ＭＳ Ｐ明朝"/>
                      <a:ea typeface="ＭＳ Ｐ明朝"/>
                      <a:cs typeface="+mn-cs"/>
                    </a:defRPr>
                  </a:pPr>
                  <a:endParaRPr lang="ja-JP" altLang="en-US">
                    <a:solidFill>
                      <a:schemeClr val="tx1"/>
                    </a:solidFill>
                    <a:latin typeface="ＭＳ Ｐ明朝"/>
                    <a:ea typeface="ＭＳ Ｐ明朝"/>
                  </a:endParaRPr>
                </a:p>
              </c:txPr>
              <c:showLegendKey val="0"/>
              <c:showVal val="1"/>
              <c:showCatName val="0"/>
              <c:showSerName val="0"/>
              <c:showPercent val="0"/>
              <c:showBubbleSize val="0"/>
            </c:dLbl>
            <c:dLbl>
              <c:idx val="3"/>
              <c:layout>
                <c:manualLayout>
                  <c:x val="-3.3711129392408036e-002"/>
                  <c:y val="-6.2678189616541841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0" i="0" u="none" strike="noStrike" kern="1200" baseline="0">
                      <a:solidFill>
                        <a:schemeClr val="tx1"/>
                      </a:solidFill>
                      <a:latin typeface="ＭＳ Ｐ明朝"/>
                      <a:ea typeface="ＭＳ Ｐ明朝"/>
                      <a:cs typeface="+mn-cs"/>
                    </a:defRPr>
                  </a:pPr>
                  <a:endParaRPr lang="ja-JP" altLang="en-US">
                    <a:solidFill>
                      <a:schemeClr val="tx1"/>
                    </a:solidFill>
                    <a:latin typeface="ＭＳ Ｐ明朝"/>
                    <a:ea typeface="ＭＳ Ｐ明朝"/>
                  </a:endParaRPr>
                </a:p>
              </c:txPr>
              <c:showLegendKey val="0"/>
              <c:showVal val="1"/>
              <c:showCatName val="0"/>
              <c:showSerName val="0"/>
              <c:showPercent val="0"/>
              <c:showBubbleSize val="0"/>
            </c:dLbl>
            <c:dLbl>
              <c:idx val="4"/>
              <c:layout>
                <c:manualLayout>
                  <c:x val="-3.5342030007443098e-002"/>
                  <c:y val="-5.5604122655399782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0" i="0" u="none" strike="noStrike" kern="1200" baseline="0">
                      <a:solidFill>
                        <a:schemeClr val="tx1"/>
                      </a:solidFill>
                      <a:latin typeface="ＭＳ Ｐ明朝"/>
                      <a:ea typeface="ＭＳ Ｐ明朝"/>
                      <a:cs typeface="+mn-cs"/>
                    </a:defRPr>
                  </a:pPr>
                  <a:endParaRPr lang="ja-JP" altLang="en-US">
                    <a:solidFill>
                      <a:schemeClr val="tx1"/>
                    </a:solidFill>
                    <a:latin typeface="ＭＳ Ｐ明朝"/>
                    <a:ea typeface="ＭＳ Ｐ明朝"/>
                  </a:endParaRPr>
                </a:p>
              </c:txPr>
              <c:showLegendKey val="0"/>
              <c:showVal val="1"/>
              <c:showCatName val="0"/>
              <c:showSerName val="0"/>
              <c:showPercent val="0"/>
              <c:showBubbleSize val="0"/>
            </c:dLbl>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0" i="0" u="none" strike="noStrike" kern="1200" baseline="0">
                    <a:solidFill>
                      <a:schemeClr val="tx1"/>
                    </a:solidFill>
                    <a:latin typeface="ＭＳ Ｐ明朝"/>
                    <a:ea typeface="ＭＳ Ｐ明朝"/>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a:solidFill>
                        <a:schemeClr val="tx1">
                          <a:lumMod val="35000"/>
                          <a:lumOff val="65000"/>
                        </a:schemeClr>
                      </a:solidFill>
                    </a:ln>
                    <a:effectLst/>
                  </c:spPr>
                </c15:leaderLines>
              </c:ext>
            </c:extLst>
          </c:dLbls>
          <c:cat>
            <c:strRef>
              <c:f>'[0]●H22を100とした場合の推移'!$B$4:$B$8</c:f>
              <c:strCache>
                <c:ptCount val="5"/>
                <c:pt idx="0">
                  <c:v>H22</c:v>
                </c:pt>
                <c:pt idx="1">
                  <c:v>H24</c:v>
                </c:pt>
                <c:pt idx="2">
                  <c:v>H26</c:v>
                </c:pt>
                <c:pt idx="3">
                  <c:v>H28</c:v>
                </c:pt>
                <c:pt idx="4">
                  <c:v>H30</c:v>
                </c:pt>
              </c:strCache>
            </c:strRef>
          </c:cat>
          <c:val>
            <c:numRef>
              <c:f>'[診療所の状況.xlsx]●H22を100とした場合の推移'!$C$4:$C$8</c:f>
              <c:numCache>
                <c:formatCode>#,##0.0;[Red]\-#,##0.0</c:formatCode>
                <c:ptCount val="5"/>
                <c:pt idx="0">
                  <c:v>100</c:v>
                </c:pt>
                <c:pt idx="1">
                  <c:v>99.652777777777786</c:v>
                </c:pt>
                <c:pt idx="2">
                  <c:v>98.784722222222214</c:v>
                </c:pt>
                <c:pt idx="3">
                  <c:v>98.090277777777786</c:v>
                </c:pt>
                <c:pt idx="4">
                  <c:v>97.222222222222214</c:v>
                </c:pt>
              </c:numCache>
            </c:numRef>
          </c:val>
          <c:smooth val="0"/>
        </c:ser>
        <c:ser>
          <c:idx val="1"/>
          <c:order val="1"/>
          <c:tx>
            <c:strRef>
              <c:f>'[0]●H22を100とした場合の推移'!$D$3</c:f>
              <c:strCache>
                <c:ptCount val="1"/>
                <c:pt idx="0">
                  <c:v>一般診療所　
（特養等の診療所を除く）</c:v>
                </c:pt>
              </c:strCache>
            </c:strRef>
          </c:tx>
          <c:spPr>
            <a:noFill/>
            <a:ln w="22225" cap="rnd">
              <a:solidFill>
                <a:schemeClr val="accent2"/>
              </a:solidFill>
              <a:round/>
            </a:ln>
            <a:effectLst/>
          </c:spPr>
          <c:marker>
            <c:symbol val="square"/>
            <c:size val="6"/>
            <c:spPr>
              <a:solidFill>
                <a:schemeClr val="accent2"/>
              </a:solidFill>
              <a:ln w="9525">
                <a:solidFill>
                  <a:schemeClr val="accent2"/>
                </a:solidFill>
                <a:round/>
              </a:ln>
              <a:effectLst/>
            </c:spPr>
          </c:marker>
          <c:dPt>
            <c:idx val="0"/>
            <c:invertIfNegative val="0"/>
            <c:marker>
              <c:symbol val="square"/>
              <c:size val="6"/>
              <c:spPr>
                <a:solidFill>
                  <a:schemeClr val="accent1"/>
                </a:solidFill>
                <a:ln w="9525">
                  <a:solidFill>
                    <a:schemeClr val="accent1"/>
                  </a:solidFill>
                  <a:round/>
                </a:ln>
                <a:effectLst/>
              </c:spPr>
            </c:marker>
            <c:bubble3D val="0"/>
            <c:spPr>
              <a:noFill/>
              <a:ln w="22225" cap="rnd">
                <a:solidFill>
                  <a:schemeClr val="accent2"/>
                </a:solidFill>
                <a:round/>
              </a:ln>
              <a:effectLst/>
            </c:spPr>
          </c:dPt>
          <c:dPt>
            <c:idx val="1"/>
            <c:invertIfNegative val="0"/>
            <c:marker>
              <c:symbol val="square"/>
              <c:size val="6"/>
              <c:spPr>
                <a:solidFill>
                  <a:schemeClr val="accent2"/>
                </a:solidFill>
                <a:ln w="9525">
                  <a:solidFill>
                    <a:schemeClr val="accent2"/>
                  </a:solidFill>
                  <a:round/>
                </a:ln>
                <a:effectLst/>
              </c:spPr>
            </c:marker>
            <c:bubble3D val="0"/>
            <c:spPr>
              <a:noFill/>
              <a:ln w="22225" cap="rnd">
                <a:solidFill>
                  <a:schemeClr val="accent2"/>
                </a:solidFill>
                <a:round/>
              </a:ln>
              <a:effectLst/>
            </c:spPr>
          </c:dPt>
          <c:dPt>
            <c:idx val="2"/>
            <c:invertIfNegative val="0"/>
            <c:marker>
              <c:symbol val="square"/>
              <c:size val="6"/>
              <c:spPr>
                <a:solidFill>
                  <a:schemeClr val="accent2"/>
                </a:solidFill>
                <a:ln w="9525">
                  <a:solidFill>
                    <a:schemeClr val="accent2"/>
                  </a:solidFill>
                  <a:round/>
                </a:ln>
                <a:effectLst/>
              </c:spPr>
            </c:marker>
            <c:bubble3D val="0"/>
            <c:spPr>
              <a:noFill/>
              <a:ln w="22225" cap="rnd">
                <a:solidFill>
                  <a:schemeClr val="accent2"/>
                </a:solidFill>
                <a:round/>
              </a:ln>
              <a:effectLst/>
            </c:spPr>
          </c:dPt>
          <c:dPt>
            <c:idx val="3"/>
            <c:invertIfNegative val="0"/>
            <c:marker>
              <c:symbol val="square"/>
              <c:size val="6"/>
              <c:spPr>
                <a:solidFill>
                  <a:schemeClr val="accent2"/>
                </a:solidFill>
                <a:ln w="9525">
                  <a:solidFill>
                    <a:schemeClr val="accent2"/>
                  </a:solidFill>
                  <a:round/>
                </a:ln>
                <a:effectLst/>
              </c:spPr>
            </c:marker>
            <c:bubble3D val="0"/>
            <c:spPr>
              <a:noFill/>
              <a:ln w="22225" cap="rnd">
                <a:solidFill>
                  <a:schemeClr val="accent2"/>
                </a:solidFill>
                <a:round/>
              </a:ln>
              <a:effectLst/>
            </c:spPr>
          </c:dPt>
          <c:dPt>
            <c:idx val="4"/>
            <c:invertIfNegative val="0"/>
            <c:marker>
              <c:symbol val="square"/>
              <c:size val="6"/>
              <c:spPr>
                <a:solidFill>
                  <a:schemeClr val="accent2"/>
                </a:solidFill>
                <a:ln w="9525">
                  <a:solidFill>
                    <a:schemeClr val="accent2"/>
                  </a:solidFill>
                  <a:round/>
                </a:ln>
                <a:effectLst/>
              </c:spPr>
            </c:marker>
            <c:bubble3D val="0"/>
            <c:spPr>
              <a:noFill/>
              <a:ln w="22225" cap="rnd">
                <a:solidFill>
                  <a:schemeClr val="accent2"/>
                </a:solidFill>
                <a:round/>
              </a:ln>
              <a:effectLst/>
            </c:spPr>
          </c:dPt>
          <c:dLbls>
            <c:dLbl>
              <c:idx val="0"/>
              <c:delete val="1"/>
            </c:dLbl>
            <c:dLbl>
              <c:idx val="1"/>
              <c:layout>
                <c:manualLayout>
                  <c:x val="1.7266423786578917e-003"/>
                  <c:y val="8.725689776582805e-003"/>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600" b="0" i="0" u="none" strike="noStrike" kern="1200" baseline="0">
                      <a:solidFill>
                        <a:schemeClr val="tx1"/>
                      </a:solidFill>
                      <a:latin typeface="ＭＳ Ｐ明朝"/>
                      <a:ea typeface="ＭＳ Ｐ明朝"/>
                      <a:cs typeface="+mn-cs"/>
                    </a:defRPr>
                  </a:pPr>
                  <a:endParaRPr lang="ja-JP" altLang="en-US">
                    <a:solidFill>
                      <a:schemeClr val="tx1"/>
                    </a:solidFill>
                    <a:latin typeface="ＭＳ Ｐ明朝"/>
                    <a:ea typeface="ＭＳ Ｐ明朝"/>
                  </a:endParaRPr>
                </a:p>
              </c:txPr>
              <c:showLegendKey val="0"/>
              <c:showVal val="1"/>
              <c:showCatName val="0"/>
              <c:showSerName val="0"/>
              <c:showPercent val="0"/>
              <c:showBubbleSize val="0"/>
            </c:dLbl>
            <c:dLbl>
              <c:idx val="2"/>
              <c:layout>
                <c:manualLayout>
                  <c:x val="-3.5065303404238649e-002"/>
                  <c:y val="6.2933230907112225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0" i="0" u="none" strike="noStrike" kern="1200" baseline="0">
                      <a:solidFill>
                        <a:schemeClr val="tx1"/>
                      </a:solidFill>
                      <a:latin typeface="ＭＳ Ｐ明朝"/>
                      <a:ea typeface="ＭＳ Ｐ明朝"/>
                      <a:cs typeface="+mn-cs"/>
                    </a:defRPr>
                  </a:pPr>
                  <a:endParaRPr lang="ja-JP" altLang="en-US">
                    <a:solidFill>
                      <a:schemeClr val="tx1"/>
                    </a:solidFill>
                    <a:latin typeface="ＭＳ Ｐ明朝"/>
                    <a:ea typeface="ＭＳ Ｐ明朝"/>
                  </a:endParaRPr>
                </a:p>
              </c:txPr>
              <c:showLegendKey val="0"/>
              <c:showVal val="1"/>
              <c:showCatName val="0"/>
              <c:showSerName val="0"/>
              <c:showPercent val="0"/>
              <c:showBubbleSize val="0"/>
            </c:dLbl>
            <c:dLbl>
              <c:idx val="3"/>
              <c:layout>
                <c:manualLayout>
                  <c:x val="-3.3711129392408036e-002"/>
                  <c:y val="6.2639779783624602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0" i="0" u="none" strike="noStrike" kern="1200" baseline="0">
                      <a:solidFill>
                        <a:schemeClr val="tx1"/>
                      </a:solidFill>
                      <a:latin typeface="ＭＳ Ｐ明朝"/>
                      <a:ea typeface="ＭＳ Ｐ明朝"/>
                      <a:cs typeface="+mn-cs"/>
                    </a:defRPr>
                  </a:pPr>
                  <a:endParaRPr lang="ja-JP" altLang="en-US">
                    <a:solidFill>
                      <a:schemeClr val="tx1"/>
                    </a:solidFill>
                    <a:latin typeface="ＭＳ Ｐ明朝"/>
                    <a:ea typeface="ＭＳ Ｐ明朝"/>
                  </a:endParaRPr>
                </a:p>
              </c:txPr>
              <c:showLegendKey val="0"/>
              <c:showVal val="1"/>
              <c:showCatName val="0"/>
              <c:showSerName val="0"/>
              <c:showPercent val="0"/>
              <c:showBubbleSize val="0"/>
            </c:dLbl>
            <c:dLbl>
              <c:idx val="4"/>
              <c:layout>
                <c:manualLayout>
                  <c:x val="-3.5342030007443098e-002"/>
                  <c:y val="5.7898982139427693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0" i="0" u="none" strike="noStrike" kern="1200" baseline="0">
                      <a:solidFill>
                        <a:schemeClr val="tx1"/>
                      </a:solidFill>
                      <a:latin typeface="ＭＳ Ｐ明朝"/>
                      <a:ea typeface="ＭＳ Ｐ明朝"/>
                      <a:cs typeface="+mn-cs"/>
                    </a:defRPr>
                  </a:pPr>
                  <a:endParaRPr lang="ja-JP" altLang="en-US">
                    <a:solidFill>
                      <a:schemeClr val="tx1"/>
                    </a:solidFill>
                    <a:latin typeface="ＭＳ Ｐ明朝"/>
                    <a:ea typeface="ＭＳ Ｐ明朝"/>
                  </a:endParaRPr>
                </a:p>
              </c:txPr>
              <c:showLegendKey val="0"/>
              <c:showVal val="1"/>
              <c:showCatName val="0"/>
              <c:showSerName val="0"/>
              <c:showPercent val="0"/>
              <c:showBubbleSize val="0"/>
            </c:dLbl>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0" i="0" u="none" strike="noStrike" kern="1200" baseline="0">
                    <a:solidFill>
                      <a:schemeClr val="tx1"/>
                    </a:solidFill>
                    <a:latin typeface="ＭＳ Ｐ明朝"/>
                    <a:ea typeface="ＭＳ Ｐ明朝"/>
                    <a:cs typeface="+mn-cs"/>
                  </a:defRPr>
                </a:pPr>
                <a:endParaRPr lang="ja-JP" altLang="en-US"/>
              </a:p>
            </c:txPr>
            <c:dLblPos val="b"/>
            <c:showLegendKey val="0"/>
            <c:showVal val="1"/>
            <c:showCatName val="0"/>
            <c:showSerName val="0"/>
            <c:showPercent val="0"/>
            <c:showBubbleSize val="0"/>
            <c:extLst>
              <c:ext xmlns:c15="http://schemas.microsoft.com/office/drawing/2012/chart" uri="{CE6537A1-D6FC-4f65-9D91-7224C49458BB}">
                <c15:showLeaderLines val="1"/>
                <c15:leaderLines>
                  <c:spPr>
                    <a:noFill/>
                    <a:ln w="9525">
                      <a:solidFill>
                        <a:schemeClr val="tx1">
                          <a:lumMod val="35000"/>
                          <a:lumOff val="65000"/>
                        </a:schemeClr>
                      </a:solidFill>
                    </a:ln>
                    <a:effectLst/>
                  </c:spPr>
                </c15:leaderLines>
              </c:ext>
            </c:extLst>
          </c:dLbls>
          <c:cat>
            <c:strRef>
              <c:f>'[0]●H22を100とした場合の推移'!$B$4:$B$8</c:f>
              <c:strCache>
                <c:ptCount val="5"/>
                <c:pt idx="0">
                  <c:v>H22</c:v>
                </c:pt>
                <c:pt idx="1">
                  <c:v>H24</c:v>
                </c:pt>
                <c:pt idx="2">
                  <c:v>H26</c:v>
                </c:pt>
                <c:pt idx="3">
                  <c:v>H28</c:v>
                </c:pt>
                <c:pt idx="4">
                  <c:v>H30</c:v>
                </c:pt>
              </c:strCache>
            </c:strRef>
          </c:cat>
          <c:val>
            <c:numRef>
              <c:f>'[診療所の状況.xlsx]●H22を100とした場合の推移'!$D$4:$D$8</c:f>
              <c:numCache>
                <c:formatCode>#,##0.0;[Red]\-#,##0.0</c:formatCode>
                <c:ptCount val="5"/>
                <c:pt idx="0">
                  <c:v>100</c:v>
                </c:pt>
                <c:pt idx="1">
                  <c:v>99.198396793587179</c:v>
                </c:pt>
                <c:pt idx="2">
                  <c:v>95.991983967935866</c:v>
                </c:pt>
                <c:pt idx="3">
                  <c:v>90.581162324649299</c:v>
                </c:pt>
                <c:pt idx="4">
                  <c:v>89.779559118236477</c:v>
                </c:pt>
              </c:numCache>
            </c:numRef>
          </c:val>
          <c:smooth val="0"/>
        </c:ser>
        <c:ser>
          <c:idx val="2"/>
          <c:order val="2"/>
          <c:tx>
            <c:strRef>
              <c:f>'[0]●H22を100とした場合の推移'!$E$3</c:f>
              <c:strCache>
                <c:ptCount val="1"/>
                <c:pt idx="0">
                  <c:v>人口</c:v>
                </c:pt>
              </c:strCache>
            </c:strRef>
          </c:tx>
          <c:spPr>
            <a:noFill/>
            <a:ln w="22225" cap="rnd">
              <a:solidFill>
                <a:schemeClr val="accent3"/>
              </a:solidFill>
              <a:round/>
            </a:ln>
            <a:effectLst/>
          </c:spPr>
          <c:marker>
            <c:symbol val="circle"/>
            <c:size val="8"/>
            <c:spPr>
              <a:solidFill>
                <a:schemeClr val="accent3"/>
              </a:solidFill>
              <a:ln w="9525">
                <a:solidFill>
                  <a:schemeClr val="accent3"/>
                </a:solidFill>
                <a:round/>
              </a:ln>
              <a:effectLst/>
            </c:spPr>
          </c:marker>
          <c:dPt>
            <c:idx val="1"/>
            <c:invertIfNegative val="0"/>
            <c:marker>
              <c:symbol val="circle"/>
              <c:size val="8"/>
              <c:spPr>
                <a:solidFill>
                  <a:schemeClr val="accent3"/>
                </a:solidFill>
                <a:ln w="9525">
                  <a:solidFill>
                    <a:schemeClr val="accent3"/>
                  </a:solidFill>
                  <a:round/>
                </a:ln>
                <a:effectLst/>
              </c:spPr>
            </c:marker>
            <c:bubble3D val="0"/>
            <c:spPr>
              <a:noFill/>
              <a:ln w="22225" cap="rnd">
                <a:solidFill>
                  <a:schemeClr val="accent3"/>
                </a:solidFill>
                <a:round/>
              </a:ln>
              <a:effectLst/>
            </c:spPr>
          </c:dPt>
          <c:dPt>
            <c:idx val="2"/>
            <c:invertIfNegative val="0"/>
            <c:marker>
              <c:symbol val="circle"/>
              <c:size val="8"/>
              <c:spPr>
                <a:solidFill>
                  <a:schemeClr val="accent3"/>
                </a:solidFill>
                <a:ln w="9525">
                  <a:solidFill>
                    <a:schemeClr val="accent3"/>
                  </a:solidFill>
                  <a:round/>
                </a:ln>
                <a:effectLst/>
              </c:spPr>
            </c:marker>
            <c:bubble3D val="0"/>
            <c:spPr>
              <a:noFill/>
              <a:ln w="22225" cap="rnd">
                <a:solidFill>
                  <a:schemeClr val="accent3"/>
                </a:solidFill>
                <a:round/>
              </a:ln>
              <a:effectLst/>
            </c:spPr>
          </c:dPt>
          <c:dPt>
            <c:idx val="3"/>
            <c:invertIfNegative val="0"/>
            <c:marker>
              <c:symbol val="circle"/>
              <c:size val="8"/>
              <c:spPr>
                <a:solidFill>
                  <a:schemeClr val="accent3"/>
                </a:solidFill>
                <a:ln w="9525">
                  <a:solidFill>
                    <a:schemeClr val="accent3"/>
                  </a:solidFill>
                  <a:round/>
                </a:ln>
                <a:effectLst/>
              </c:spPr>
            </c:marker>
            <c:bubble3D val="0"/>
            <c:spPr>
              <a:noFill/>
              <a:ln w="22225" cap="rnd">
                <a:solidFill>
                  <a:schemeClr val="accent3"/>
                </a:solidFill>
                <a:round/>
              </a:ln>
              <a:effectLst/>
            </c:spPr>
          </c:dPt>
          <c:dPt>
            <c:idx val="4"/>
            <c:invertIfNegative val="0"/>
            <c:marker>
              <c:symbol val="circle"/>
              <c:size val="8"/>
              <c:spPr>
                <a:solidFill>
                  <a:schemeClr val="accent3"/>
                </a:solidFill>
                <a:ln w="9525">
                  <a:solidFill>
                    <a:schemeClr val="accent3"/>
                  </a:solidFill>
                  <a:round/>
                </a:ln>
                <a:effectLst/>
              </c:spPr>
            </c:marker>
            <c:bubble3D val="0"/>
            <c:spPr>
              <a:noFill/>
              <a:ln w="22225" cap="rnd">
                <a:solidFill>
                  <a:schemeClr val="accent3"/>
                </a:solidFill>
                <a:round/>
              </a:ln>
              <a:effectLst/>
            </c:spPr>
          </c:dPt>
          <c:dLbls>
            <c:dLbl>
              <c:idx val="1"/>
              <c:layout>
                <c:manualLayout>
                  <c:x val="-3.2688212480902576e-002"/>
                  <c:y val="5.9117342039562128e-002"/>
                </c:manualLayout>
              </c:layout>
              <c:spPr>
                <a:noFill/>
                <a:ln>
                  <a:noFill/>
                </a:ln>
                <a:effectLst/>
              </c:spPr>
              <c:txPr>
                <a:bodyPr rot="0" spcFirstLastPara="1" vertOverflow="ellipsis" horzOverflow="overflow" wrap="square" anchor="ctr" anchorCtr="1">
                  <a:spAutoFit/>
                </a:bodyPr>
                <a:lstStyle/>
                <a:p>
                  <a:pPr algn="ctr" rtl="0">
                    <a:defRPr kumimoji="0" lang="ja-JP" altLang="en-US" sz="800" b="0" i="0" u="none" strike="noStrike" kern="1200" baseline="0">
                      <a:solidFill>
                        <a:schemeClr val="tx1"/>
                      </a:solidFill>
                      <a:latin typeface="ＭＳ Ｐ明朝"/>
                      <a:ea typeface="ＭＳ Ｐ明朝"/>
                      <a:cs typeface="+mn-cs"/>
                    </a:defRPr>
                  </a:pPr>
                  <a:endParaRPr lang="ja-JP" altLang="en-US" sz="800" b="0" i="0" u="none" strike="noStrike" kern="1200" baseline="0">
                    <a:solidFill>
                      <a:schemeClr val="tx1"/>
                    </a:solidFill>
                    <a:latin typeface="ＭＳ Ｐ明朝"/>
                    <a:ea typeface="ＭＳ Ｐ明朝"/>
                    <a:cs typeface="+mn-cs"/>
                  </a:endParaRPr>
                </a:p>
              </c:txPr>
              <c:showLegendKey val="0"/>
              <c:showVal val="1"/>
              <c:showCatName val="0"/>
              <c:showSerName val="0"/>
              <c:showPercent val="0"/>
              <c:showBubbleSize val="0"/>
            </c:dLbl>
            <c:dLbl>
              <c:idx val="2"/>
              <c:layout>
                <c:manualLayout>
                  <c:x val="-3.1334038469071963e-002"/>
                  <c:y val="-4.981550476922092e-002"/>
                </c:manualLayout>
              </c:layout>
              <c:spPr>
                <a:noFill/>
                <a:ln>
                  <a:noFill/>
                </a:ln>
                <a:effectLst/>
              </c:spPr>
              <c:txPr>
                <a:bodyPr rot="0" spcFirstLastPara="1" vertOverflow="ellipsis" horzOverflow="overflow" wrap="square" anchor="ctr" anchorCtr="1">
                  <a:spAutoFit/>
                </a:bodyPr>
                <a:lstStyle/>
                <a:p>
                  <a:pPr algn="ctr" rtl="0">
                    <a:defRPr kumimoji="0" lang="ja-JP" altLang="en-US" sz="800" b="0" i="0" u="none" strike="noStrike" kern="1200" baseline="0">
                      <a:solidFill>
                        <a:schemeClr val="tx1"/>
                      </a:solidFill>
                      <a:latin typeface="ＭＳ Ｐ明朝"/>
                      <a:ea typeface="ＭＳ Ｐ明朝"/>
                      <a:cs typeface="+mn-cs"/>
                    </a:defRPr>
                  </a:pPr>
                  <a:endParaRPr lang="ja-JP" altLang="en-US" sz="800" b="0" i="0" u="none" strike="noStrike" kern="1200" baseline="0">
                    <a:solidFill>
                      <a:schemeClr val="tx1"/>
                    </a:solidFill>
                    <a:latin typeface="ＭＳ Ｐ明朝"/>
                    <a:ea typeface="ＭＳ Ｐ明朝"/>
                    <a:cs typeface="+mn-cs"/>
                  </a:endParaRPr>
                </a:p>
              </c:txPr>
              <c:showLegendKey val="0"/>
              <c:showVal val="1"/>
              <c:showCatName val="0"/>
              <c:showSerName val="0"/>
              <c:showPercent val="0"/>
              <c:showBubbleSize val="0"/>
            </c:dLbl>
            <c:dLbl>
              <c:idx val="3"/>
              <c:layout>
                <c:manualLayout>
                  <c:x val="-3.3711129392408036e-002"/>
                  <c:y val="-5.5305038089750978e-002"/>
                </c:manualLayout>
              </c:layout>
              <c:spPr>
                <a:noFill/>
                <a:ln>
                  <a:noFill/>
                </a:ln>
                <a:effectLst/>
              </c:spPr>
              <c:txPr>
                <a:bodyPr rot="0" spcFirstLastPara="1" vertOverflow="ellipsis" horzOverflow="overflow" wrap="square" anchor="ctr" anchorCtr="1">
                  <a:spAutoFit/>
                </a:bodyPr>
                <a:lstStyle/>
                <a:p>
                  <a:pPr algn="ctr" rtl="0">
                    <a:defRPr kumimoji="0" lang="ja-JP" altLang="en-US" sz="800" b="0" i="0" u="none" strike="noStrike" kern="1200" baseline="0">
                      <a:solidFill>
                        <a:schemeClr val="tx1"/>
                      </a:solidFill>
                      <a:latin typeface="ＭＳ Ｐ明朝"/>
                      <a:ea typeface="ＭＳ Ｐ明朝"/>
                      <a:cs typeface="+mn-cs"/>
                    </a:defRPr>
                  </a:pPr>
                  <a:endParaRPr lang="ja-JP" altLang="en-US" sz="800" b="0" i="0" u="none" strike="noStrike" kern="1200" baseline="0">
                    <a:solidFill>
                      <a:schemeClr val="tx1"/>
                    </a:solidFill>
                    <a:latin typeface="ＭＳ Ｐ明朝"/>
                    <a:ea typeface="ＭＳ Ｐ明朝"/>
                    <a:cs typeface="+mn-cs"/>
                  </a:endParaRPr>
                </a:p>
              </c:txPr>
              <c:showLegendKey val="0"/>
              <c:showVal val="1"/>
              <c:showCatName val="0"/>
              <c:showSerName val="0"/>
              <c:showPercent val="0"/>
              <c:showBubbleSize val="0"/>
            </c:dLbl>
            <c:dLbl>
              <c:idx val="4"/>
              <c:layout>
                <c:manualLayout>
                  <c:x val="-3.5342030007443098e-002"/>
                  <c:y val="-6.5959413609884124e-002"/>
                </c:manualLayout>
              </c:layout>
              <c:spPr>
                <a:noFill/>
                <a:ln>
                  <a:noFill/>
                </a:ln>
                <a:effectLst/>
              </c:spPr>
              <c:txPr>
                <a:bodyPr rot="0" spcFirstLastPara="1" vertOverflow="ellipsis" horzOverflow="overflow" wrap="square" anchor="ctr" anchorCtr="1">
                  <a:spAutoFit/>
                </a:bodyPr>
                <a:lstStyle/>
                <a:p>
                  <a:pPr algn="ctr" rtl="0">
                    <a:defRPr kumimoji="0" lang="ja-JP" altLang="en-US" sz="800" b="0" i="0" u="none" strike="noStrike" kern="1200" baseline="0">
                      <a:solidFill>
                        <a:schemeClr val="tx1"/>
                      </a:solidFill>
                      <a:latin typeface="ＭＳ Ｐ明朝"/>
                      <a:ea typeface="ＭＳ Ｐ明朝"/>
                      <a:cs typeface="+mn-cs"/>
                    </a:defRPr>
                  </a:pPr>
                  <a:endParaRPr lang="ja-JP" altLang="en-US" sz="800" b="0" i="0" u="none" strike="noStrike" kern="1200" baseline="0">
                    <a:solidFill>
                      <a:schemeClr val="tx1"/>
                    </a:solidFill>
                    <a:latin typeface="ＭＳ Ｐ明朝"/>
                    <a:ea typeface="ＭＳ Ｐ明朝"/>
                    <a:cs typeface="+mn-cs"/>
                  </a:endParaRPr>
                </a:p>
              </c:txPr>
              <c:showLegendKey val="0"/>
              <c:showVal val="1"/>
              <c:showCatName val="0"/>
              <c:showSerName val="0"/>
              <c:showPercent val="0"/>
              <c:showBubbleSize val="0"/>
            </c:dLbl>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0" i="0" u="none" strike="noStrike" kern="1200" baseline="0">
                    <a:solidFill>
                      <a:schemeClr val="tx1"/>
                    </a:solidFill>
                    <a:latin typeface="ＭＳ Ｐ明朝"/>
                    <a:ea typeface="ＭＳ Ｐ明朝"/>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howLeaderLines val="1"/>
                <c15:leaderLines>
                  <c:spPr>
                    <a:noFill/>
                    <a:ln w="9525">
                      <a:solidFill>
                        <a:schemeClr val="tx1">
                          <a:lumMod val="35000"/>
                          <a:lumOff val="65000"/>
                        </a:schemeClr>
                      </a:solidFill>
                    </a:ln>
                    <a:effectLst/>
                  </c:spPr>
                </c15:leaderLines>
              </c:ext>
            </c:extLst>
          </c:dLbls>
          <c:cat>
            <c:strRef>
              <c:f>'[0]●H22を100とした場合の推移'!$B$4:$B$8</c:f>
              <c:strCache>
                <c:ptCount val="5"/>
                <c:pt idx="0">
                  <c:v>H22</c:v>
                </c:pt>
                <c:pt idx="1">
                  <c:v>H24</c:v>
                </c:pt>
                <c:pt idx="2">
                  <c:v>H26</c:v>
                </c:pt>
                <c:pt idx="3">
                  <c:v>H28</c:v>
                </c:pt>
                <c:pt idx="4">
                  <c:v>H30</c:v>
                </c:pt>
              </c:strCache>
            </c:strRef>
          </c:cat>
          <c:val>
            <c:numRef>
              <c:f>'[診療所の状況.xlsx]●H22を100とした場合の推移'!$E$4:$E$8</c:f>
              <c:numCache>
                <c:formatCode>#,##0.0;[Red]\-#,##0.0</c:formatCode>
                <c:ptCount val="5"/>
                <c:pt idx="0">
                  <c:v>100</c:v>
                </c:pt>
                <c:pt idx="1">
                  <c:v>98.086612181893713</c:v>
                </c:pt>
                <c:pt idx="2">
                  <c:v>96.266390966901611</c:v>
                </c:pt>
                <c:pt idx="3">
                  <c:v>94.354837652935402</c:v>
                </c:pt>
                <c:pt idx="4">
                  <c:v>92.379076694066299</c:v>
                </c:pt>
              </c:numCache>
            </c:numRef>
          </c:val>
          <c:smooth val="0"/>
        </c:ser>
        <c:dLbls>
          <c:spPr>
            <a:noFill/>
            <a:ln>
              <a:noFill/>
            </a:ln>
            <a:effectLst/>
          </c:spPr>
          <c:txPr>
            <a:bodyPr rot="0" spcFirstLastPara="1" vertOverflow="ellipsis" horzOverflow="overflow" wrap="square" anchor="ctr" anchorCtr="1">
              <a:spAutoFit/>
            </a:bodyPr>
            <a:lstStyle/>
            <a:p>
              <a:pPr algn="ctr" rtl="0">
                <a:defRPr lang="ja-JP" altLang="en-US" sz="900" b="0" i="0" u="none" strike="noStrike" kern="1200" baseline="0">
                  <a:solidFill>
                    <a:schemeClr val="tx1">
                      <a:lumMod val="50000"/>
                      <a:lumOff val="50000"/>
                    </a:schemeClr>
                  </a:solidFill>
                  <a:latin typeface="+mn-lt"/>
                  <a:ea typeface="+mn-ea"/>
                  <a:cs typeface="+mn-cs"/>
                </a:defRPr>
              </a:pPr>
              <a:endParaRPr lang="ja-JP" altLang="en-US" sz="900" b="0" i="0" u="none" strike="noStrike" kern="1200" baseline="0">
                <a:solidFill>
                  <a:schemeClr val="tx1">
                    <a:lumMod val="50000"/>
                    <a:lumOff val="50000"/>
                  </a:schemeClr>
                </a:solidFill>
                <a:latin typeface="+mn-lt"/>
                <a:ea typeface="+mn-ea"/>
                <a:cs typeface="+mn-cs"/>
              </a:endParaRPr>
            </a:p>
          </c:txPr>
          <c:showLegendKey val="0"/>
          <c:showVal val="0"/>
          <c:showCatName val="0"/>
          <c:showSerName val="0"/>
          <c:showPercent val="0"/>
          <c:showBubbleSize val="0"/>
        </c:dLbls>
        <c:marker val="1"/>
        <c:smooth val="0"/>
        <c:axId val="1"/>
        <c:axId val="2"/>
      </c:lineChart>
      <c:catAx>
        <c:axId val="1"/>
        <c:scaling>
          <c:orientation val="minMax"/>
        </c:scaling>
        <c:delete val="0"/>
        <c:axPos val="b"/>
        <c:numFmt formatCode="#,##0.0;[Red]\-#,##0.0"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kumimoji="0" lang="ja-JP" altLang="en-US" sz="800" kern="1200" cap="all" spc="120" normalizeH="0" baseline="0">
                <a:solidFill>
                  <a:schemeClr val="tx1"/>
                </a:solidFill>
                <a:latin typeface="ＭＳ Ｐ明朝"/>
                <a:ea typeface="ＭＳ Ｐ明朝"/>
                <a:cs typeface="+mn-cs"/>
              </a:defRPr>
            </a:pPr>
            <a:endParaRPr lang="ja-JP" altLang="en-US"/>
          </a:p>
        </c:txPr>
        <c:crossAx val="2"/>
        <c:crosses val="autoZero"/>
        <c:auto val="1"/>
        <c:lblAlgn val="ctr"/>
        <c:lblOffset val="100"/>
        <c:noMultiLvlLbl val="0"/>
      </c:catAx>
      <c:valAx>
        <c:axId val="2"/>
        <c:scaling>
          <c:orientation val="minMax"/>
          <c:max val="102"/>
          <c:min val="88"/>
        </c:scaling>
        <c:delete val="0"/>
        <c:axPos val="l"/>
        <c:majorGridlines>
          <c:spPr>
            <a:noFill/>
            <a:ln w="9525" cap="flat" cmpd="sng" algn="ctr">
              <a:solidFill>
                <a:schemeClr val="tx1">
                  <a:lumMod val="15000"/>
                  <a:lumOff val="85000"/>
                </a:schemeClr>
              </a:solidFill>
              <a:round/>
            </a:ln>
            <a:effectLst/>
          </c:spPr>
        </c:majorGridlines>
        <c:numFmt formatCode="0_ "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horzOverflow="overflow" wrap="square" anchor="ctr" anchorCtr="1"/>
          <a:lstStyle/>
          <a:p>
            <a:pPr algn="ctr" rtl="0">
              <a:defRPr kumimoji="0" lang="ja-JP" altLang="en-US" sz="1000" kern="1200">
                <a:solidFill>
                  <a:schemeClr val="tx1"/>
                </a:solidFill>
                <a:latin typeface="ＭＳ Ｐ明朝"/>
                <a:ea typeface="ＭＳ Ｐ明朝"/>
                <a:cs typeface="+mn-cs"/>
              </a:defRPr>
            </a:pPr>
            <a:endParaRPr lang="ja-JP" altLang="en-US"/>
          </a:p>
        </c:txPr>
        <c:crossAx val="1"/>
        <c:crosses val="autoZero"/>
        <c:crossBetween val="between"/>
        <c:majorUnit val="4"/>
      </c:valAx>
      <c:spPr>
        <a:noFill/>
        <a:ln>
          <a:noFill/>
        </a:ln>
        <a:effectLst/>
      </c:spPr>
    </c:plotArea>
    <c:legend>
      <c:legendPos val="r"/>
      <c:layout/>
      <c:overlay val="0"/>
      <c:spPr>
        <a:noFill/>
        <a:ln>
          <a:noFill/>
        </a:ln>
        <a:effectLst/>
      </c:spPr>
      <c:txPr>
        <a:bodyPr rot="0" spcFirstLastPara="1" vertOverflow="ellipsis" horzOverflow="overflow" wrap="square" anchor="ctr" anchorCtr="1"/>
        <a:lstStyle/>
        <a:p>
          <a:pPr algn="l" rtl="0">
            <a:defRPr kumimoji="0" lang="ja-JP" altLang="en-US" sz="700" kern="1200">
              <a:solidFill>
                <a:schemeClr val="tx1"/>
              </a:solidFill>
              <a:latin typeface="ＭＳ Ｐ明朝"/>
              <a:ea typeface="ＭＳ Ｐ明朝"/>
              <a:cs typeface="+mn-cs"/>
            </a:defRPr>
          </a:pPr>
          <a:endParaRPr lang="ja-JP" alt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vertOverflow="overflow" horzOverflow="overflow" anchor="ctr" anchorCtr="1"/>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2.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horzOverflow="overflow" wrap="square" anchor="t" anchorCtr="1"/>
          <a:lstStyle/>
          <a:p>
            <a:pPr algn="ctr" rtl="0">
              <a:defRPr kumimoji="0" lang="ja-JP" altLang="en-US" sz="1200" b="0" i="0" u="none" strike="noStrike" kern="1200" spc="0" baseline="0">
                <a:solidFill>
                  <a:schemeClr val="tx1">
                    <a:lumMod val="65000"/>
                    <a:lumOff val="35000"/>
                  </a:schemeClr>
                </a:solidFill>
                <a:latin typeface="+mn-lt"/>
                <a:ea typeface="+mn-ea"/>
                <a:cs typeface="+mn-cs"/>
              </a:defRPr>
            </a:pPr>
            <a:r>
              <a:rPr kumimoji="0" lang="ja-JP" altLang="en-US" sz="1200" b="0" i="0" u="none" strike="noStrike" kern="1200" spc="0" baseline="0">
                <a:solidFill>
                  <a:schemeClr val="tx1">
                    <a:lumMod val="65000"/>
                    <a:lumOff val="35000"/>
                  </a:schemeClr>
                </a:solidFill>
                <a:latin typeface="+mn-lt"/>
                <a:ea typeface="+mn-ea"/>
                <a:cs typeface="+mn-cs"/>
              </a:rPr>
              <a:t>病院に勤務する医師数の推移</a:t>
            </a:r>
            <a:endParaRPr kumimoji="0" lang="ja-JP" altLang="en-US" sz="1200" b="0" i="0" u="none" strike="noStrike" kern="1200" spc="0" baseline="0">
              <a:solidFill>
                <a:schemeClr val="tx1">
                  <a:lumMod val="65000"/>
                  <a:lumOff val="35000"/>
                </a:schemeClr>
              </a:solidFill>
              <a:latin typeface="+mn-lt"/>
              <a:ea typeface="+mn-ea"/>
              <a:cs typeface="+mn-cs"/>
            </a:endParaRPr>
          </a:p>
        </c:rich>
      </c:tx>
      <c:layout/>
      <c:overlay val="0"/>
      <c:spPr>
        <a:noFill/>
        <a:ln>
          <a:noFill/>
        </a:ln>
        <a:effectLst/>
      </c:spPr>
    </c:title>
    <c:autoTitleDeleted val="0"/>
    <c:plotArea>
      <c:layout/>
      <c:barChart>
        <c:barDir val="col"/>
        <c:grouping val="clustered"/>
        <c:varyColors val="0"/>
        <c:ser>
          <c:idx val="1"/>
          <c:order val="1"/>
          <c:tx>
            <c:strRef>
              <c:f>'[0]●病院医師数　平均年齢の推移'!$C$7</c:f>
              <c:strCache>
                <c:ptCount val="1"/>
                <c:pt idx="0">
                  <c:v>うち男</c:v>
                </c:pt>
              </c:strCache>
            </c:strRef>
          </c:tx>
          <c:spPr>
            <a:solidFill>
              <a:srgbClr val="FFC000"/>
            </a:solidFill>
            <a:ln>
              <a:noFill/>
            </a:ln>
            <a:effectLst/>
          </c:spPr>
          <c:invertIfNegative val="0"/>
          <c:dPt>
            <c:idx val="0"/>
            <c:invertIfNegative val="0"/>
            <c:bubble3D val="0"/>
            <c:spPr>
              <a:solidFill>
                <a:srgbClr val="FFC000"/>
              </a:solidFill>
              <a:ln>
                <a:noFill/>
              </a:ln>
              <a:effectLst/>
            </c:spPr>
          </c:dPt>
          <c:dPt>
            <c:idx val="1"/>
            <c:invertIfNegative val="0"/>
            <c:bubble3D val="0"/>
            <c:spPr>
              <a:solidFill>
                <a:srgbClr val="FFC000"/>
              </a:solidFill>
              <a:ln>
                <a:noFill/>
              </a:ln>
              <a:effectLst/>
            </c:spPr>
          </c:dPt>
          <c:dPt>
            <c:idx val="2"/>
            <c:invertIfNegative val="0"/>
            <c:bubble3D val="0"/>
            <c:spPr>
              <a:solidFill>
                <a:srgbClr val="FFC000"/>
              </a:solidFill>
              <a:ln>
                <a:noFill/>
              </a:ln>
              <a:effectLst/>
            </c:spPr>
          </c:dPt>
          <c:dPt>
            <c:idx val="3"/>
            <c:invertIfNegative val="0"/>
            <c:bubble3D val="0"/>
            <c:spPr>
              <a:solidFill>
                <a:srgbClr val="FFC000"/>
              </a:solidFill>
              <a:ln>
                <a:noFill/>
              </a:ln>
              <a:effectLst/>
            </c:spPr>
          </c:dPt>
          <c:dPt>
            <c:idx val="4"/>
            <c:invertIfNegative val="0"/>
            <c:bubble3D val="0"/>
            <c:spPr>
              <a:solidFill>
                <a:srgbClr val="FFC000"/>
              </a:solidFill>
              <a:ln>
                <a:noFill/>
              </a:ln>
              <a:effectLst/>
            </c:spPr>
          </c:dPt>
          <c:dPt>
            <c:idx val="5"/>
            <c:invertIfNegative val="0"/>
            <c:bubble3D val="0"/>
            <c:spPr>
              <a:solidFill>
                <a:srgbClr val="FFC000"/>
              </a:solidFill>
              <a:ln>
                <a:noFill/>
              </a:ln>
              <a:effectLst/>
            </c:spPr>
          </c:dPt>
          <c:dPt>
            <c:idx val="6"/>
            <c:invertIfNegative val="0"/>
            <c:bubble3D val="0"/>
            <c:spPr>
              <a:solidFill>
                <a:srgbClr val="FFC000"/>
              </a:solidFill>
              <a:ln>
                <a:noFill/>
              </a:ln>
              <a:effectLst/>
            </c:spPr>
          </c:dPt>
          <c:dPt>
            <c:idx val="7"/>
            <c:invertIfNegative val="0"/>
            <c:bubble3D val="0"/>
            <c:spPr>
              <a:solidFill>
                <a:srgbClr val="FFC000"/>
              </a:solidFill>
              <a:ln>
                <a:noFill/>
              </a:ln>
              <a:effectLst/>
            </c:spPr>
          </c:dPt>
          <c:dPt>
            <c:idx val="8"/>
            <c:invertIfNegative val="0"/>
            <c:bubble3D val="0"/>
            <c:spPr>
              <a:solidFill>
                <a:srgbClr val="FFC000"/>
              </a:solidFill>
              <a:ln>
                <a:noFill/>
              </a:ln>
              <a:effectLst/>
            </c:spPr>
          </c:dPt>
          <c:dLbls>
            <c:dLbl>
              <c:idx val="0"/>
              <c:layout>
                <c:manualLayout>
                  <c:x val="7.8869542715611252e-004"/>
                  <c:y val="0.10635419093323394"/>
                </c:manualLayout>
              </c:layout>
              <c:numFmt formatCode="#,##0_ " sourceLinked="0"/>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showLegendKey val="0"/>
              <c:showVal val="1"/>
              <c:showCatName val="0"/>
              <c:showSerName val="0"/>
              <c:showPercent val="0"/>
              <c:showBubbleSize val="0"/>
            </c:dLbl>
            <c:dLbl>
              <c:idx val="1"/>
              <c:layout>
                <c:manualLayout>
                  <c:x val="-7.7316919892055742e-004"/>
                  <c:y val="0.1196788271288574"/>
                </c:manualLayout>
              </c:layout>
              <c:numFmt formatCode="#,##0_ " sourceLinked="0"/>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showLegendKey val="0"/>
              <c:showVal val="1"/>
              <c:showCatName val="0"/>
              <c:showSerName val="0"/>
              <c:showPercent val="0"/>
              <c:showBubbleSize val="0"/>
            </c:dLbl>
            <c:dLbl>
              <c:idx val="2"/>
              <c:layout>
                <c:manualLayout>
                  <c:x val="-5.7447044471553728e-004"/>
                  <c:y val="0.11563527931789593"/>
                </c:manualLayout>
              </c:layout>
              <c:numFmt formatCode="#,##0_ " sourceLinked="0"/>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showLegendKey val="0"/>
              <c:showVal val="1"/>
              <c:showCatName val="0"/>
              <c:showSerName val="0"/>
              <c:showPercent val="0"/>
              <c:showBubbleSize val="0"/>
            </c:dLbl>
            <c:dLbl>
              <c:idx val="3"/>
              <c:layout>
                <c:manualLayout>
                  <c:x val="-1.2561457986765738e-003"/>
                  <c:y val="0.11646523474506516"/>
                </c:manualLayout>
              </c:layout>
              <c:numFmt formatCode="#,##0_ " sourceLinked="0"/>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showLegendKey val="0"/>
              <c:showVal val="1"/>
              <c:showCatName val="0"/>
              <c:showSerName val="0"/>
              <c:showPercent val="0"/>
              <c:showBubbleSize val="0"/>
            </c:dLbl>
            <c:dLbl>
              <c:idx val="4"/>
              <c:layout>
                <c:manualLayout>
                  <c:x val="4.2242430963735167e-003"/>
                  <c:y val="0.10761154855643044"/>
                </c:manualLayout>
              </c:layout>
              <c:numFmt formatCode="#,##0_ " sourceLinked="0"/>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showLegendKey val="0"/>
              <c:showVal val="1"/>
              <c:showCatName val="0"/>
              <c:showSerName val="0"/>
              <c:showPercent val="0"/>
              <c:showBubbleSize val="0"/>
            </c:dLbl>
            <c:dLbl>
              <c:idx val="5"/>
              <c:layout>
                <c:manualLayout>
                  <c:x val="9.016302539647333e-004"/>
                  <c:y val="0.1062908260727764"/>
                </c:manualLayout>
              </c:layout>
              <c:numFmt formatCode="#,##0_ " sourceLinked="0"/>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showLegendKey val="0"/>
              <c:showVal val="1"/>
              <c:showCatName val="0"/>
              <c:showSerName val="0"/>
              <c:showPercent val="0"/>
              <c:showBubbleSize val="0"/>
            </c:dLbl>
            <c:dLbl>
              <c:idx val="6"/>
              <c:layout>
                <c:manualLayout>
                  <c:x val="-6.6023437211193674e-004"/>
                  <c:y val="0.12763919302986534"/>
                </c:manualLayout>
              </c:layout>
              <c:numFmt formatCode="#,##0_ " sourceLinked="0"/>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showLegendKey val="0"/>
              <c:showVal val="1"/>
              <c:showCatName val="0"/>
              <c:showSerName val="0"/>
              <c:showPercent val="0"/>
              <c:showBubbleSize val="0"/>
            </c:dLbl>
            <c:dLbl>
              <c:idx val="7"/>
              <c:layout>
                <c:manualLayout>
                  <c:x val="-2.2222838342390301e-003"/>
                  <c:y val="0.11227135069654756"/>
                </c:manualLayout>
              </c:layout>
              <c:numFmt formatCode="#,##0_ " sourceLinked="0"/>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showLegendKey val="0"/>
              <c:showVal val="1"/>
              <c:showCatName val="0"/>
              <c:showSerName val="0"/>
              <c:showPercent val="0"/>
              <c:showBubbleSize val="0"/>
            </c:dLbl>
            <c:dLbl>
              <c:idx val="8"/>
              <c:layout>
                <c:manualLayout>
                  <c:x val="-1.1433958079183765e-003"/>
                  <c:y val="0.12010312320427402"/>
                </c:manualLayout>
              </c:layout>
              <c:numFmt formatCode="#,##0_ " sourceLinked="0"/>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showLegendKey val="0"/>
              <c:showVal val="1"/>
              <c:showCatName val="0"/>
              <c:showSerName val="0"/>
              <c:showPercent val="0"/>
              <c:showBubbleSize val="0"/>
            </c:dLbl>
            <c:numFmt formatCode="#,##0_ " sourceLinked="0"/>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dLblPos val="inEnd"/>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'[0]●病院医師数　平均年齢の推移'!$D$5:$L$5</c:f>
              <c:strCache>
                <c:ptCount val="9"/>
                <c:pt idx="0">
                  <c:v>H14</c:v>
                </c:pt>
                <c:pt idx="1">
                  <c:v>H16</c:v>
                </c:pt>
                <c:pt idx="2">
                  <c:v>H18</c:v>
                </c:pt>
                <c:pt idx="3">
                  <c:v>H20</c:v>
                </c:pt>
                <c:pt idx="4">
                  <c:v>H22</c:v>
                </c:pt>
                <c:pt idx="5">
                  <c:v>H24</c:v>
                </c:pt>
                <c:pt idx="6">
                  <c:v>H26</c:v>
                </c:pt>
                <c:pt idx="7">
                  <c:v>H28</c:v>
                </c:pt>
                <c:pt idx="8">
                  <c:v>H30</c:v>
                </c:pt>
              </c:strCache>
            </c:strRef>
          </c:cat>
          <c:val>
            <c:numRef>
              <c:f>'[診療所の状況.xlsx]●病院医師数　平均年齢の推移'!$D$7:$L$7</c:f>
              <c:numCache>
                <c:formatCode>General</c:formatCode>
                <c:ptCount val="9"/>
                <c:pt idx="0">
                  <c:v>1296</c:v>
                </c:pt>
                <c:pt idx="1">
                  <c:v>1280</c:v>
                </c:pt>
                <c:pt idx="2">
                  <c:v>1244</c:v>
                </c:pt>
                <c:pt idx="3">
                  <c:v>1247</c:v>
                </c:pt>
                <c:pt idx="4">
                  <c:v>1215</c:v>
                </c:pt>
                <c:pt idx="5">
                  <c:v>1253</c:v>
                </c:pt>
                <c:pt idx="6">
                  <c:v>1266</c:v>
                </c:pt>
                <c:pt idx="7">
                  <c:v>1296</c:v>
                </c:pt>
                <c:pt idx="8">
                  <c:v>1335</c:v>
                </c:pt>
              </c:numCache>
            </c:numRef>
          </c:val>
        </c:ser>
        <c:ser>
          <c:idx val="2"/>
          <c:order val="2"/>
          <c:tx>
            <c:strRef>
              <c:f>'[0]●病院医師数　平均年齢の推移'!$C$8</c:f>
              <c:strCache>
                <c:ptCount val="1"/>
                <c:pt idx="0">
                  <c:v>うち女</c:v>
                </c:pt>
              </c:strCache>
            </c:strRef>
          </c:tx>
          <c:spPr>
            <a:solidFill>
              <a:srgbClr val="E78B8B"/>
            </a:solidFill>
            <a:ln>
              <a:noFill/>
            </a:ln>
            <a:effectLst/>
          </c:spPr>
          <c:invertIfNegative val="0"/>
          <c:dPt>
            <c:idx val="0"/>
            <c:invertIfNegative val="0"/>
            <c:bubble3D val="0"/>
            <c:spPr>
              <a:solidFill>
                <a:srgbClr val="E78B8B"/>
              </a:solidFill>
              <a:ln>
                <a:noFill/>
              </a:ln>
              <a:effectLst/>
            </c:spPr>
          </c:dPt>
          <c:dPt>
            <c:idx val="1"/>
            <c:invertIfNegative val="0"/>
            <c:bubble3D val="0"/>
            <c:spPr>
              <a:solidFill>
                <a:srgbClr val="E78B8B"/>
              </a:solidFill>
              <a:ln>
                <a:noFill/>
              </a:ln>
              <a:effectLst/>
            </c:spPr>
          </c:dPt>
          <c:dPt>
            <c:idx val="2"/>
            <c:invertIfNegative val="0"/>
            <c:bubble3D val="0"/>
            <c:spPr>
              <a:solidFill>
                <a:srgbClr val="E78B8B"/>
              </a:solidFill>
              <a:ln>
                <a:noFill/>
              </a:ln>
              <a:effectLst/>
            </c:spPr>
          </c:dPt>
          <c:dPt>
            <c:idx val="3"/>
            <c:invertIfNegative val="0"/>
            <c:bubble3D val="0"/>
            <c:spPr>
              <a:solidFill>
                <a:srgbClr val="E78B8B"/>
              </a:solidFill>
              <a:ln>
                <a:noFill/>
              </a:ln>
              <a:effectLst/>
            </c:spPr>
          </c:dPt>
          <c:dPt>
            <c:idx val="4"/>
            <c:invertIfNegative val="0"/>
            <c:bubble3D val="0"/>
            <c:spPr>
              <a:solidFill>
                <a:srgbClr val="E78B8B"/>
              </a:solidFill>
              <a:ln>
                <a:noFill/>
              </a:ln>
              <a:effectLst/>
            </c:spPr>
          </c:dPt>
          <c:dPt>
            <c:idx val="5"/>
            <c:invertIfNegative val="0"/>
            <c:bubble3D val="0"/>
            <c:spPr>
              <a:solidFill>
                <a:srgbClr val="E78B8B"/>
              </a:solidFill>
              <a:ln>
                <a:noFill/>
              </a:ln>
              <a:effectLst/>
            </c:spPr>
          </c:dPt>
          <c:dPt>
            <c:idx val="6"/>
            <c:invertIfNegative val="0"/>
            <c:bubble3D val="0"/>
            <c:spPr>
              <a:solidFill>
                <a:srgbClr val="E78B8B"/>
              </a:solidFill>
              <a:ln>
                <a:noFill/>
              </a:ln>
              <a:effectLst/>
            </c:spPr>
          </c:dPt>
          <c:dPt>
            <c:idx val="7"/>
            <c:invertIfNegative val="0"/>
            <c:bubble3D val="0"/>
            <c:spPr>
              <a:solidFill>
                <a:srgbClr val="E78B8B"/>
              </a:solidFill>
              <a:ln>
                <a:noFill/>
              </a:ln>
              <a:effectLst/>
            </c:spPr>
          </c:dPt>
          <c:dPt>
            <c:idx val="8"/>
            <c:invertIfNegative val="0"/>
            <c:bubble3D val="0"/>
            <c:spPr>
              <a:solidFill>
                <a:srgbClr val="E78B8B"/>
              </a:solidFill>
              <a:ln>
                <a:noFill/>
              </a:ln>
              <a:effectLst/>
            </c:spPr>
          </c:dPt>
          <c:dLbls>
            <c:dLbl>
              <c:idx val="0"/>
              <c:layout>
                <c:manualLayout>
                  <c:x val="-1.1665003142212857e-003"/>
                  <c:y val="1.5175262855456678e-002"/>
                </c:manualLayout>
              </c:layout>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showLegendKey val="0"/>
              <c:showVal val="1"/>
              <c:showCatName val="0"/>
              <c:showSerName val="0"/>
              <c:showPercent val="0"/>
              <c:showBubbleSize val="0"/>
            </c:dLbl>
            <c:dLbl>
              <c:idx val="1"/>
              <c:layout>
                <c:manualLayout>
                  <c:x val="7.925769842150013e-004"/>
                  <c:y val="3.0797807078848872e-002"/>
                </c:manualLayout>
              </c:layout>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showLegendKey val="0"/>
              <c:showVal val="1"/>
              <c:showCatName val="0"/>
              <c:showSerName val="0"/>
              <c:showPercent val="0"/>
              <c:showBubbleSize val="0"/>
            </c:dLbl>
            <c:dLbl>
              <c:idx val="2"/>
              <c:layout>
                <c:manualLayout>
                  <c:x val="-7.6928764186166875e-004"/>
                  <c:y val="1.2662411281430058e-002"/>
                </c:manualLayout>
              </c:layout>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showLegendKey val="0"/>
              <c:showVal val="1"/>
              <c:showCatName val="0"/>
              <c:showSerName val="0"/>
              <c:showPercent val="0"/>
              <c:showBubbleSize val="0"/>
            </c:dLbl>
            <c:dLbl>
              <c:idx val="3"/>
              <c:layout>
                <c:manualLayout>
                  <c:x val="-5.7077372370707181e-004"/>
                  <c:y val="2.7072326018419295e-002"/>
                </c:manualLayout>
              </c:layout>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showLegendKey val="0"/>
              <c:showVal val="1"/>
              <c:showCatName val="0"/>
              <c:showSerName val="0"/>
              <c:showPercent val="0"/>
              <c:showBubbleSize val="0"/>
            </c:dLbl>
            <c:dLbl>
              <c:idx val="4"/>
              <c:layout>
                <c:manualLayout>
                  <c:x val="5.0829913866400501e-004"/>
                  <c:y val="2.4836540402863844e-002"/>
                </c:manualLayout>
              </c:layout>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showLegendKey val="0"/>
              <c:showVal val="1"/>
              <c:showCatName val="0"/>
              <c:showSerName val="0"/>
              <c:showPercent val="0"/>
              <c:showBubbleSize val="0"/>
            </c:dLbl>
            <c:dLbl>
              <c:idx val="5"/>
              <c:layout>
                <c:manualLayout>
                  <c:x val="-1.0535654874126649e-003"/>
                  <c:y val="2.881672335336781e-002"/>
                </c:manualLayout>
              </c:layout>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showLegendKey val="0"/>
              <c:showVal val="1"/>
              <c:showCatName val="0"/>
              <c:showSerName val="0"/>
              <c:showPercent val="0"/>
              <c:showBubbleSize val="0"/>
            </c:dLbl>
            <c:dLbl>
              <c:idx val="6"/>
              <c:layout>
                <c:manualLayout>
                  <c:x val="-8.550515692580681e-004"/>
                  <c:y val="3.2498718725248101e-002"/>
                </c:manualLayout>
              </c:layout>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showLegendKey val="0"/>
              <c:showVal val="1"/>
              <c:showCatName val="0"/>
              <c:showSerName val="0"/>
              <c:showPercent val="0"/>
              <c:showBubbleSize val="0"/>
            </c:dLbl>
            <c:dLbl>
              <c:idx val="7"/>
              <c:layout>
                <c:manualLayout>
                  <c:x val="1.1042105652286421e-003"/>
                  <c:y val="4.6524095730637219e-002"/>
                </c:manualLayout>
              </c:layout>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showLegendKey val="0"/>
              <c:showVal val="1"/>
              <c:showCatName val="0"/>
              <c:showSerName val="0"/>
              <c:showPercent val="0"/>
              <c:showBubbleSize val="0"/>
            </c:dLbl>
            <c:dLbl>
              <c:idx val="8"/>
              <c:layout>
                <c:manualLayout>
                  <c:x val="3.0632878636649291e-003"/>
                  <c:y val="2.4515367531721257e-002"/>
                </c:manualLayout>
              </c:layout>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showLegendKey val="0"/>
              <c:showVal val="1"/>
              <c:showCatName val="0"/>
              <c:showSerName val="0"/>
              <c:showPercent val="0"/>
              <c:showBubbleSize val="0"/>
            </c:dLbl>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dLblPos val="outEnd"/>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'[0]●病院医師数　平均年齢の推移'!$D$5:$L$5</c:f>
              <c:strCache>
                <c:ptCount val="9"/>
                <c:pt idx="0">
                  <c:v>H14</c:v>
                </c:pt>
                <c:pt idx="1">
                  <c:v>H16</c:v>
                </c:pt>
                <c:pt idx="2">
                  <c:v>H18</c:v>
                </c:pt>
                <c:pt idx="3">
                  <c:v>H20</c:v>
                </c:pt>
                <c:pt idx="4">
                  <c:v>H22</c:v>
                </c:pt>
                <c:pt idx="5">
                  <c:v>H24</c:v>
                </c:pt>
                <c:pt idx="6">
                  <c:v>H26</c:v>
                </c:pt>
                <c:pt idx="7">
                  <c:v>H28</c:v>
                </c:pt>
                <c:pt idx="8">
                  <c:v>H30</c:v>
                </c:pt>
              </c:strCache>
            </c:strRef>
          </c:cat>
          <c:val>
            <c:numRef>
              <c:f>'[診療所の状況.xlsx]●病院医師数　平均年齢の推移'!$D$8:$L$8</c:f>
              <c:numCache>
                <c:formatCode>General</c:formatCode>
                <c:ptCount val="9"/>
                <c:pt idx="0">
                  <c:v>250</c:v>
                </c:pt>
                <c:pt idx="1">
                  <c:v>253</c:v>
                </c:pt>
                <c:pt idx="2">
                  <c:v>273</c:v>
                </c:pt>
                <c:pt idx="3">
                  <c:v>293</c:v>
                </c:pt>
                <c:pt idx="4">
                  <c:v>317</c:v>
                </c:pt>
                <c:pt idx="5">
                  <c:v>310</c:v>
                </c:pt>
                <c:pt idx="6">
                  <c:v>334</c:v>
                </c:pt>
                <c:pt idx="7">
                  <c:v>374</c:v>
                </c:pt>
                <c:pt idx="8">
                  <c:v>380</c:v>
                </c:pt>
              </c:numCache>
            </c:numRef>
          </c:val>
        </c:s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sz="900" kern="1200">
                <a:solidFill>
                  <a:schemeClr val="tx1">
                    <a:lumMod val="75000"/>
                    <a:lumOff val="25000"/>
                  </a:schemeClr>
                </a:solidFill>
                <a:latin typeface="+mn-lt"/>
                <a:ea typeface="+mn-ea"/>
                <a:cs typeface="+mn-cs"/>
              </a:endParaRPr>
            </a:p>
          </c:txPr>
          <c:showLegendKey val="0"/>
          <c:showVal val="0"/>
          <c:showCatName val="0"/>
          <c:showSerName val="0"/>
          <c:showPercent val="0"/>
          <c:showBubbleSize val="0"/>
        </c:dLbls>
        <c:gapWidth val="150"/>
        <c:overlap val="0"/>
        <c:axId val="1"/>
        <c:axId val="2"/>
      </c:barChart>
      <c:lineChart>
        <c:grouping val="standard"/>
        <c:varyColors val="0"/>
        <c:ser>
          <c:idx val="0"/>
          <c:order val="0"/>
          <c:tx>
            <c:strRef>
              <c:f>'[0]●病院医師数　平均年齢の推移'!$C$6</c:f>
              <c:strCache>
                <c:ptCount val="1"/>
                <c:pt idx="0">
                  <c:v>医師数</c:v>
                </c:pt>
              </c:strCache>
            </c:strRef>
          </c:tx>
          <c:spPr>
            <a:noFill/>
            <a:ln w="28575" cap="rnd">
              <a:solidFill>
                <a:schemeClr val="accent1"/>
              </a:solidFill>
              <a:round/>
            </a:ln>
            <a:effectLst/>
          </c:spPr>
          <c:marker>
            <c:symbol val="circle"/>
            <c:size val="5"/>
            <c:spPr>
              <a:solidFill>
                <a:schemeClr val="accent1"/>
              </a:solidFill>
              <a:ln w="9525">
                <a:solidFill>
                  <a:schemeClr val="accent1"/>
                </a:solidFill>
              </a:ln>
              <a:effectLst/>
            </c:spPr>
          </c:marker>
          <c:dLbls>
            <c:numFmt formatCode="#,##0_ " sourceLinked="0"/>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'[0]●病院医師数　平均年齢の推移'!$D$5:$L$5</c:f>
              <c:strCache>
                <c:ptCount val="9"/>
                <c:pt idx="0">
                  <c:v>H14</c:v>
                </c:pt>
                <c:pt idx="1">
                  <c:v>H16</c:v>
                </c:pt>
                <c:pt idx="2">
                  <c:v>H18</c:v>
                </c:pt>
                <c:pt idx="3">
                  <c:v>H20</c:v>
                </c:pt>
                <c:pt idx="4">
                  <c:v>H22</c:v>
                </c:pt>
                <c:pt idx="5">
                  <c:v>H24</c:v>
                </c:pt>
                <c:pt idx="6">
                  <c:v>H26</c:v>
                </c:pt>
                <c:pt idx="7">
                  <c:v>H28</c:v>
                </c:pt>
                <c:pt idx="8">
                  <c:v>H30</c:v>
                </c:pt>
              </c:strCache>
            </c:strRef>
          </c:cat>
          <c:val>
            <c:numRef>
              <c:f>'[診療所の状況.xlsx]●病院医師数　平均年齢の推移'!$D$6:$L$6</c:f>
              <c:numCache>
                <c:formatCode>General</c:formatCode>
                <c:ptCount val="9"/>
                <c:pt idx="0">
                  <c:v>1546</c:v>
                </c:pt>
                <c:pt idx="1">
                  <c:v>1533</c:v>
                </c:pt>
                <c:pt idx="2">
                  <c:v>1517</c:v>
                </c:pt>
                <c:pt idx="3">
                  <c:v>1540</c:v>
                </c:pt>
                <c:pt idx="4">
                  <c:v>1532</c:v>
                </c:pt>
                <c:pt idx="5">
                  <c:v>1563</c:v>
                </c:pt>
                <c:pt idx="6">
                  <c:v>1600</c:v>
                </c:pt>
                <c:pt idx="7">
                  <c:v>1670</c:v>
                </c:pt>
                <c:pt idx="8">
                  <c:v>1715</c:v>
                </c:pt>
              </c:numCache>
            </c:numRef>
          </c:val>
          <c:smooth val="0"/>
        </c:s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sz="900" kern="1200">
                <a:solidFill>
                  <a:schemeClr val="tx1">
                    <a:lumMod val="75000"/>
                    <a:lumOff val="25000"/>
                  </a:schemeClr>
                </a:solidFill>
                <a:latin typeface="+mn-lt"/>
                <a:ea typeface="+mn-ea"/>
                <a:cs typeface="+mn-cs"/>
              </a:endParaRPr>
            </a:p>
          </c:txPr>
          <c:showLegendKey val="0"/>
          <c:showVal val="0"/>
          <c:showCatName val="0"/>
          <c:showSerName val="0"/>
          <c:showPercent val="0"/>
          <c:showBubbleSize val="0"/>
        </c:dLbls>
        <c:marker val="1"/>
        <c:smooth val="0"/>
        <c:axId val="1"/>
        <c:axId val="2"/>
      </c:lineChart>
      <c:catAx>
        <c:axId val="1"/>
        <c:scaling>
          <c:orientation val="minMax"/>
        </c:scaling>
        <c:delete val="0"/>
        <c:axPos val="b"/>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lang="ja-JP" altLang="en-US" sz="900" kern="1200">
                <a:solidFill>
                  <a:schemeClr val="tx1">
                    <a:lumMod val="65000"/>
                    <a:lumOff val="35000"/>
                  </a:schemeClr>
                </a:solidFill>
                <a:latin typeface="+mn-lt"/>
                <a:ea typeface="+mn-ea"/>
                <a:cs typeface="+mn-cs"/>
              </a:defRPr>
            </a:pPr>
            <a:endParaRPr lang="ja-JP" altLang="en-US" sz="900" kern="1200">
              <a:solidFill>
                <a:schemeClr val="tx1">
                  <a:lumMod val="65000"/>
                  <a:lumOff val="35000"/>
                </a:schemeClr>
              </a:solidFill>
              <a:latin typeface="+mn-lt"/>
              <a:ea typeface="+mn-ea"/>
              <a:cs typeface="+mn-cs"/>
            </a:endParaRPr>
          </a:p>
        </c:txPr>
        <c:crossAx val="2"/>
        <c:crosses val="autoZero"/>
        <c:auto val="1"/>
        <c:lblAlgn val="ctr"/>
        <c:lblOffset val="100"/>
        <c:noMultiLvlLbl val="0"/>
      </c:catAx>
      <c:valAx>
        <c:axId val="2"/>
        <c:scaling>
          <c:orientation val="minMax"/>
        </c:scaling>
        <c:delete val="0"/>
        <c:axPos val="l"/>
        <c:majorGridlines>
          <c:spPr>
            <a:noFill/>
            <a:ln w="9525" cap="flat" cmpd="sng" algn="ctr">
              <a:solidFill>
                <a:schemeClr val="tx1">
                  <a:lumMod val="15000"/>
                  <a:lumOff val="85000"/>
                </a:schemeClr>
              </a:solidFill>
              <a:round/>
            </a:ln>
            <a:effectLst/>
          </c:spPr>
        </c:majorGridlines>
        <c:numFmt formatCode="#,##0_ " sourceLinked="0"/>
        <c:majorTickMark val="in"/>
        <c:minorTickMark val="none"/>
        <c:tickLblPos val="nextTo"/>
        <c:spPr>
          <a:noFill/>
          <a:ln>
            <a:noFill/>
          </a:ln>
          <a:effectLst/>
        </c:spPr>
        <c:txPr>
          <a:bodyPr rot="-60000000" spcFirstLastPara="1" vertOverflow="ellipsis" horzOverflow="overflow" wrap="square" anchor="ctr" anchorCtr="1"/>
          <a:lstStyle/>
          <a:p>
            <a:pPr algn="ctr" rtl="0">
              <a:defRPr lang="ja-JP" altLang="en-US" sz="900" kern="1200">
                <a:solidFill>
                  <a:schemeClr val="tx1">
                    <a:lumMod val="65000"/>
                    <a:lumOff val="35000"/>
                  </a:schemeClr>
                </a:solidFill>
                <a:latin typeface="+mn-lt"/>
                <a:ea typeface="+mn-ea"/>
                <a:cs typeface="+mn-cs"/>
              </a:defRPr>
            </a:pPr>
            <a:endParaRPr lang="ja-JP" altLang="en-US" sz="900" kern="1200">
              <a:solidFill>
                <a:schemeClr val="tx1">
                  <a:lumMod val="65000"/>
                  <a:lumOff val="35000"/>
                </a:schemeClr>
              </a:solidFill>
              <a:latin typeface="+mn-lt"/>
              <a:ea typeface="+mn-ea"/>
              <a:cs typeface="+mn-cs"/>
            </a:endParaRPr>
          </a:p>
        </c:txPr>
        <c:crossAx val="1"/>
        <c:crosses val="autoZero"/>
        <c:crossBetween val="between"/>
      </c:valAx>
      <c:spPr>
        <a:noFill/>
        <a:ln>
          <a:noFill/>
        </a:ln>
        <a:effectLst/>
      </c:spPr>
    </c:plotArea>
    <c:legend>
      <c:legendPos val="r"/>
      <c:layout/>
      <c:overlay val="0"/>
      <c:spPr>
        <a:noFill/>
        <a:ln>
          <a:noFill/>
        </a:ln>
        <a:effectLst/>
      </c:spPr>
      <c:txPr>
        <a:bodyPr rot="0" spcFirstLastPara="1" vertOverflow="ellipsis" horzOverflow="overflow" wrap="square" anchor="ctr" anchorCtr="1"/>
        <a:lstStyle/>
        <a:p>
          <a:pPr algn="l" rtl="0">
            <a:defRPr lang="ja-JP" altLang="en-US" sz="900" kern="1200">
              <a:solidFill>
                <a:schemeClr val="tx1">
                  <a:lumMod val="65000"/>
                  <a:lumOff val="35000"/>
                </a:schemeClr>
              </a:solidFill>
              <a:latin typeface="+mn-lt"/>
              <a:ea typeface="+mn-ea"/>
              <a:cs typeface="+mn-cs"/>
            </a:defRPr>
          </a:pPr>
          <a:endParaRPr lang="ja-JP" altLang="en-US" sz="900" kern="1200">
            <a:solidFill>
              <a:schemeClr val="tx1">
                <a:lumMod val="65000"/>
                <a:lumOff val="35000"/>
              </a:schemeClr>
            </a:solidFill>
            <a:latin typeface="+mn-lt"/>
            <a:ea typeface="+mn-ea"/>
            <a:cs typeface="+mn-cs"/>
          </a:endParaR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vertOverflow="overflow" horzOverflow="overflow" anchor="ctr" anchorCtr="1"/>
    <a:lstStyle/>
    <a:p>
      <a:pPr algn="ctr" rtl="0">
        <a:defRPr lang="ja-JP" altLang="en-US"/>
      </a:pPr>
      <a:endParaRPr lang="ja-JP" altLang="en-US"/>
    </a:p>
  </c:txPr>
  <c:externalData r:id="rId1">
    <c:autoUpdate val="0"/>
  </c:externalData>
  <c:extLst>
    <c:ext xmlns:c14="http://schemas.microsoft.com/office/drawing/2007/8/2/chart" uri="{781A3756-C4B2-4CAC-9D66-4F8BD8637D16}"/>
  </c:extLst>
</c:chartSpace>
</file>

<file path=word/charts/chart3.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horzOverflow="overflow" wrap="square" anchor="t" anchorCtr="1"/>
          <a:lstStyle/>
          <a:p>
            <a:pPr algn="ctr" rtl="0">
              <a:defRPr kumimoji="0" lang="ja-JP" altLang="en-US" sz="1200" b="0" i="0" u="none" strike="noStrike" kern="1200" spc="0" baseline="0">
                <a:solidFill>
                  <a:schemeClr val="tx1">
                    <a:lumMod val="65000"/>
                    <a:lumOff val="35000"/>
                  </a:schemeClr>
                </a:solidFill>
                <a:latin typeface="+mn-lt"/>
                <a:ea typeface="+mn-ea"/>
                <a:cs typeface="+mn-cs"/>
              </a:defRPr>
            </a:pPr>
            <a:r>
              <a:rPr kumimoji="0" lang="ja-JP" altLang="en-US" sz="1200" b="0" i="0" u="none" strike="noStrike" kern="1200" spc="0" baseline="0">
                <a:solidFill>
                  <a:schemeClr val="tx1">
                    <a:lumMod val="65000"/>
                    <a:lumOff val="35000"/>
                  </a:schemeClr>
                </a:solidFill>
                <a:latin typeface="+mn-lt"/>
                <a:ea typeface="+mn-ea"/>
                <a:cs typeface="+mn-cs"/>
              </a:rPr>
              <a:t>病院に勤務する医師の平均年齢の推移</a:t>
            </a:r>
            <a:endParaRPr kumimoji="0" lang="ja-JP" altLang="en-US" sz="1200" b="0" i="0" u="none" strike="noStrike" kern="1200" spc="0" baseline="0">
              <a:solidFill>
                <a:schemeClr val="tx1">
                  <a:lumMod val="65000"/>
                  <a:lumOff val="35000"/>
                </a:schemeClr>
              </a:solidFill>
              <a:latin typeface="+mn-lt"/>
              <a:ea typeface="+mn-ea"/>
              <a:cs typeface="+mn-cs"/>
            </a:endParaRPr>
          </a:p>
        </c:rich>
      </c:tx>
      <c:layout>
        <c:manualLayout>
          <c:xMode val="edge"/>
          <c:yMode val="edge"/>
          <c:x val="0.24083781606507107"/>
          <c:y val="4.3689245684680293e-002"/>
        </c:manualLayout>
      </c:layout>
      <c:overlay val="0"/>
      <c:spPr>
        <a:noFill/>
        <a:ln>
          <a:noFill/>
        </a:ln>
        <a:effectLst/>
      </c:spPr>
    </c:title>
    <c:autoTitleDeleted val="0"/>
    <c:plotArea>
      <c:layout>
        <c:manualLayout>
          <c:layoutTarget val="inner"/>
          <c:xMode val="edge"/>
          <c:yMode val="edge"/>
          <c:x val="5.9040590405904057e-002"/>
          <c:y val="0.21844660194174759"/>
          <c:w val="0.75461254612546114"/>
          <c:h val="0.6310679611650486"/>
        </c:manualLayout>
      </c:layout>
      <c:lineChart>
        <c:grouping val="standard"/>
        <c:varyColors val="0"/>
        <c:ser>
          <c:idx val="0"/>
          <c:order val="0"/>
          <c:tx>
            <c:strRef>
              <c:f>'[0]●病院医師数　平均年齢の推移'!$C$11</c:f>
              <c:strCache>
                <c:ptCount val="1"/>
                <c:pt idx="0">
                  <c:v>平均年齢</c:v>
                </c:pt>
              </c:strCache>
            </c:strRef>
          </c:tx>
          <c:spPr>
            <a:noFill/>
            <a:ln w="28575" cap="rnd">
              <a:solidFill>
                <a:schemeClr val="accent1"/>
              </a:solidFill>
              <a:round/>
            </a:ln>
            <a:effectLst/>
          </c:spPr>
          <c:marker>
            <c:symbol val="triangle"/>
            <c:size val="5"/>
            <c:spPr>
              <a:solidFill>
                <a:schemeClr val="accent1"/>
              </a:solidFill>
              <a:ln w="9525">
                <a:solidFill>
                  <a:schemeClr val="accent1"/>
                </a:solidFill>
              </a:ln>
              <a:effectLst/>
            </c:spPr>
          </c:mark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dLblPos val="b"/>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'[0]●病院医師数　平均年齢の推移'!$D$10:$L$10</c:f>
              <c:strCache>
                <c:ptCount val="9"/>
                <c:pt idx="0">
                  <c:v>H14</c:v>
                </c:pt>
                <c:pt idx="1">
                  <c:v>H16</c:v>
                </c:pt>
                <c:pt idx="2">
                  <c:v>H18</c:v>
                </c:pt>
                <c:pt idx="3">
                  <c:v>H20</c:v>
                </c:pt>
                <c:pt idx="4">
                  <c:v>H22</c:v>
                </c:pt>
                <c:pt idx="5">
                  <c:v>H24</c:v>
                </c:pt>
                <c:pt idx="6">
                  <c:v>H26</c:v>
                </c:pt>
                <c:pt idx="7">
                  <c:v>H28</c:v>
                </c:pt>
                <c:pt idx="8">
                  <c:v>H30</c:v>
                </c:pt>
              </c:strCache>
            </c:strRef>
          </c:cat>
          <c:val>
            <c:numRef>
              <c:f>'[診療所の状況.xlsx]●病院医師数　平均年齢の推移'!$D$11:$L$11</c:f>
              <c:numCache>
                <c:formatCode>General</c:formatCode>
                <c:ptCount val="9"/>
                <c:pt idx="0">
                  <c:v>43.9</c:v>
                </c:pt>
                <c:pt idx="1">
                  <c:v>44.9</c:v>
                </c:pt>
                <c:pt idx="2">
                  <c:v>45.8</c:v>
                </c:pt>
                <c:pt idx="3">
                  <c:v>46.7</c:v>
                </c:pt>
                <c:pt idx="4">
                  <c:v>47.4</c:v>
                </c:pt>
                <c:pt idx="5">
                  <c:v>47.8</c:v>
                </c:pt>
                <c:pt idx="6">
                  <c:v>48.1</c:v>
                </c:pt>
                <c:pt idx="7">
                  <c:v>48.2</c:v>
                </c:pt>
                <c:pt idx="8">
                  <c:v>48.7</c:v>
                </c:pt>
              </c:numCache>
            </c:numRef>
          </c:val>
          <c:smooth val="0"/>
        </c:ser>
        <c:ser>
          <c:idx val="1"/>
          <c:order val="1"/>
          <c:tx>
            <c:strRef>
              <c:f>'[0]●病院医師数　平均年齢の推移'!$C$12</c:f>
              <c:strCache>
                <c:ptCount val="1"/>
                <c:pt idx="0">
                  <c:v>うち男</c:v>
                </c:pt>
              </c:strCache>
            </c:strRef>
          </c:tx>
          <c:spPr>
            <a:noFill/>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'[0]●病院医師数　平均年齢の推移'!$D$10:$L$10</c:f>
              <c:strCache>
                <c:ptCount val="9"/>
                <c:pt idx="0">
                  <c:v>H14</c:v>
                </c:pt>
                <c:pt idx="1">
                  <c:v>H16</c:v>
                </c:pt>
                <c:pt idx="2">
                  <c:v>H18</c:v>
                </c:pt>
                <c:pt idx="3">
                  <c:v>H20</c:v>
                </c:pt>
                <c:pt idx="4">
                  <c:v>H22</c:v>
                </c:pt>
                <c:pt idx="5">
                  <c:v>H24</c:v>
                </c:pt>
                <c:pt idx="6">
                  <c:v>H26</c:v>
                </c:pt>
                <c:pt idx="7">
                  <c:v>H28</c:v>
                </c:pt>
                <c:pt idx="8">
                  <c:v>H30</c:v>
                </c:pt>
              </c:strCache>
            </c:strRef>
          </c:cat>
          <c:val>
            <c:numRef>
              <c:f>'[診療所の状況.xlsx]●病院医師数　平均年齢の推移'!$D$12:$L$12</c:f>
              <c:numCache>
                <c:formatCode>General</c:formatCode>
                <c:ptCount val="9"/>
                <c:pt idx="0">
                  <c:v>45</c:v>
                </c:pt>
                <c:pt idx="1">
                  <c:v>46</c:v>
                </c:pt>
                <c:pt idx="2">
                  <c:v>47</c:v>
                </c:pt>
                <c:pt idx="3">
                  <c:v>48.2</c:v>
                </c:pt>
                <c:pt idx="4">
                  <c:v>49.3</c:v>
                </c:pt>
                <c:pt idx="5">
                  <c:v>49.4</c:v>
                </c:pt>
                <c:pt idx="6">
                  <c:v>49.9</c:v>
                </c:pt>
                <c:pt idx="7">
                  <c:v>50.3</c:v>
                </c:pt>
                <c:pt idx="8">
                  <c:v>50.6</c:v>
                </c:pt>
              </c:numCache>
            </c:numRef>
          </c:val>
          <c:smooth val="0"/>
        </c:ser>
        <c:ser>
          <c:idx val="2"/>
          <c:order val="2"/>
          <c:tx>
            <c:strRef>
              <c:f>'[0]●病院医師数　平均年齢の推移'!$C$13</c:f>
              <c:strCache>
                <c:ptCount val="1"/>
                <c:pt idx="0">
                  <c:v>うち女</c:v>
                </c:pt>
              </c:strCache>
            </c:strRef>
          </c:tx>
          <c:spPr>
            <a:noFill/>
            <a:ln w="28575" cap="rnd">
              <a:solidFill>
                <a:schemeClr val="accent3"/>
              </a:solidFill>
              <a:round/>
            </a:ln>
            <a:effectLst/>
          </c:spPr>
          <c:marker>
            <c:symbol val="square"/>
            <c:size val="5"/>
            <c:spPr>
              <a:solidFill>
                <a:schemeClr val="accent3"/>
              </a:solidFill>
              <a:ln w="9525">
                <a:solidFill>
                  <a:schemeClr val="accent3"/>
                </a:solidFill>
              </a:ln>
              <a:effectLst/>
            </c:spPr>
          </c:marker>
          <c:dPt>
            <c:idx val="0"/>
            <c:invertIfNegative val="0"/>
            <c:marker>
              <c:symbol val="square"/>
              <c:size val="5"/>
              <c:spPr>
                <a:solidFill>
                  <a:schemeClr val="accent3"/>
                </a:solidFill>
                <a:ln w="9525">
                  <a:solidFill>
                    <a:schemeClr val="accent3"/>
                  </a:solidFill>
                </a:ln>
                <a:effectLst/>
              </c:spPr>
            </c:marker>
            <c:bubble3D val="0"/>
            <c:spPr>
              <a:noFill/>
              <a:ln w="28575" cap="rnd">
                <a:solidFill>
                  <a:schemeClr val="accent3"/>
                </a:solidFill>
                <a:round/>
              </a:ln>
              <a:effectLst/>
            </c:spPr>
          </c:dPt>
          <c:dPt>
            <c:idx val="1"/>
            <c:invertIfNegative val="0"/>
            <c:marker>
              <c:symbol val="square"/>
              <c:size val="5"/>
              <c:spPr>
                <a:solidFill>
                  <a:schemeClr val="accent3"/>
                </a:solidFill>
                <a:ln w="9525">
                  <a:solidFill>
                    <a:schemeClr val="accent3"/>
                  </a:solidFill>
                </a:ln>
                <a:effectLst/>
              </c:spPr>
            </c:marker>
            <c:bubble3D val="0"/>
            <c:spPr>
              <a:noFill/>
              <a:ln w="28575" cap="rnd">
                <a:solidFill>
                  <a:schemeClr val="accent3"/>
                </a:solidFill>
                <a:round/>
              </a:ln>
              <a:effectLst/>
            </c:spPr>
          </c:dPt>
          <c:dPt>
            <c:idx val="2"/>
            <c:invertIfNegative val="0"/>
            <c:marker>
              <c:symbol val="square"/>
              <c:size val="5"/>
              <c:spPr>
                <a:solidFill>
                  <a:schemeClr val="accent3"/>
                </a:solidFill>
                <a:ln w="9525">
                  <a:solidFill>
                    <a:schemeClr val="accent3"/>
                  </a:solidFill>
                </a:ln>
                <a:effectLst/>
              </c:spPr>
            </c:marker>
            <c:bubble3D val="0"/>
            <c:spPr>
              <a:noFill/>
              <a:ln w="28575" cap="rnd">
                <a:solidFill>
                  <a:schemeClr val="accent3"/>
                </a:solidFill>
                <a:round/>
              </a:ln>
              <a:effectLst/>
            </c:spPr>
          </c:dPt>
          <c:dPt>
            <c:idx val="3"/>
            <c:invertIfNegative val="0"/>
            <c:marker>
              <c:symbol val="square"/>
              <c:size val="5"/>
              <c:spPr>
                <a:solidFill>
                  <a:schemeClr val="accent3"/>
                </a:solidFill>
                <a:ln w="9525">
                  <a:solidFill>
                    <a:schemeClr val="accent3"/>
                  </a:solidFill>
                </a:ln>
                <a:effectLst/>
              </c:spPr>
            </c:marker>
            <c:bubble3D val="0"/>
            <c:spPr>
              <a:noFill/>
              <a:ln w="28575" cap="rnd">
                <a:solidFill>
                  <a:schemeClr val="accent3"/>
                </a:solidFill>
                <a:round/>
              </a:ln>
              <a:effectLst/>
            </c:spPr>
          </c:dPt>
          <c:dPt>
            <c:idx val="4"/>
            <c:invertIfNegative val="0"/>
            <c:marker>
              <c:symbol val="square"/>
              <c:size val="5"/>
              <c:spPr>
                <a:solidFill>
                  <a:schemeClr val="accent3"/>
                </a:solidFill>
                <a:ln w="9525">
                  <a:solidFill>
                    <a:schemeClr val="accent3"/>
                  </a:solidFill>
                </a:ln>
                <a:effectLst/>
              </c:spPr>
            </c:marker>
            <c:bubble3D val="0"/>
            <c:spPr>
              <a:noFill/>
              <a:ln w="28575" cap="rnd">
                <a:solidFill>
                  <a:schemeClr val="accent3"/>
                </a:solidFill>
                <a:round/>
              </a:ln>
              <a:effectLst/>
            </c:spPr>
          </c:dPt>
          <c:dLbls>
            <c:dLbl>
              <c:idx val="0"/>
              <c:layout/>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dLblPos val="b"/>
              <c:showLegendKey val="0"/>
              <c:showVal val="1"/>
              <c:showCatName val="0"/>
              <c:showSerName val="0"/>
              <c:showPercent val="0"/>
              <c:showBubbleSize val="0"/>
            </c:dLbl>
            <c:dLbl>
              <c:idx val="1"/>
              <c:layout/>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dLblPos val="b"/>
              <c:showLegendKey val="0"/>
              <c:showVal val="1"/>
              <c:showCatName val="0"/>
              <c:showSerName val="0"/>
              <c:showPercent val="0"/>
              <c:showBubbleSize val="0"/>
            </c:dLbl>
            <c:dLbl>
              <c:idx val="2"/>
              <c:layout/>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dLblPos val="b"/>
              <c:showLegendKey val="0"/>
              <c:showVal val="1"/>
              <c:showCatName val="0"/>
              <c:showSerName val="0"/>
              <c:showPercent val="0"/>
              <c:showBubbleSize val="0"/>
            </c:dLbl>
            <c:dLbl>
              <c:idx val="3"/>
              <c:layout/>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dLblPos val="b"/>
              <c:showLegendKey val="0"/>
              <c:showVal val="1"/>
              <c:showCatName val="0"/>
              <c:showSerName val="0"/>
              <c:showPercent val="0"/>
              <c:showBubbleSize val="0"/>
            </c:dLbl>
            <c:dLbl>
              <c:idx val="4"/>
              <c:layout/>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dLblPos val="b"/>
              <c:showLegendKey val="0"/>
              <c:showVal val="1"/>
              <c:showCatName val="0"/>
              <c:showSerName val="0"/>
              <c:showPercent val="0"/>
              <c:showBubbleSize val="0"/>
            </c:dLbl>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dLblPos val="b"/>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'[0]●病院医師数　平均年齢の推移'!$D$10:$L$10</c:f>
              <c:strCache>
                <c:ptCount val="9"/>
                <c:pt idx="0">
                  <c:v>H14</c:v>
                </c:pt>
                <c:pt idx="1">
                  <c:v>H16</c:v>
                </c:pt>
                <c:pt idx="2">
                  <c:v>H18</c:v>
                </c:pt>
                <c:pt idx="3">
                  <c:v>H20</c:v>
                </c:pt>
                <c:pt idx="4">
                  <c:v>H22</c:v>
                </c:pt>
                <c:pt idx="5">
                  <c:v>H24</c:v>
                </c:pt>
                <c:pt idx="6">
                  <c:v>H26</c:v>
                </c:pt>
                <c:pt idx="7">
                  <c:v>H28</c:v>
                </c:pt>
                <c:pt idx="8">
                  <c:v>H30</c:v>
                </c:pt>
              </c:strCache>
            </c:strRef>
          </c:cat>
          <c:val>
            <c:numRef>
              <c:f>'[診療所の状況.xlsx]●病院医師数　平均年齢の推移'!$D$13:$L$13</c:f>
              <c:numCache>
                <c:formatCode>General</c:formatCode>
                <c:ptCount val="9"/>
                <c:pt idx="0">
                  <c:v>38.6</c:v>
                </c:pt>
                <c:pt idx="1">
                  <c:v>39.4</c:v>
                </c:pt>
                <c:pt idx="2">
                  <c:v>40.1</c:v>
                </c:pt>
                <c:pt idx="3">
                  <c:v>40.200000000000003</c:v>
                </c:pt>
                <c:pt idx="4">
                  <c:v>40.200000000000003</c:v>
                </c:pt>
                <c:pt idx="5">
                  <c:v>41.1</c:v>
                </c:pt>
                <c:pt idx="6">
                  <c:v>41.1</c:v>
                </c:pt>
                <c:pt idx="7">
                  <c:v>41.1</c:v>
                </c:pt>
                <c:pt idx="8">
                  <c:v>41.8</c:v>
                </c:pt>
              </c:numCache>
            </c:numRef>
          </c:val>
          <c:smooth val="0"/>
        </c:s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sz="900" kern="1200">
                <a:solidFill>
                  <a:schemeClr val="tx1">
                    <a:lumMod val="75000"/>
                    <a:lumOff val="25000"/>
                  </a:schemeClr>
                </a:solidFill>
                <a:latin typeface="+mn-lt"/>
                <a:ea typeface="+mn-ea"/>
                <a:cs typeface="+mn-cs"/>
              </a:endParaRPr>
            </a:p>
          </c:txPr>
          <c:showLegendKey val="0"/>
          <c:showVal val="0"/>
          <c:showCatName val="0"/>
          <c:showSerName val="0"/>
          <c:showPercent val="0"/>
          <c:showBubbleSize val="0"/>
        </c:dLbls>
        <c:marker val="0"/>
        <c:smooth val="0"/>
        <c:axId val="1"/>
        <c:axId val="2"/>
      </c:lineChart>
      <c:catAx>
        <c:axId val="1"/>
        <c:scaling>
          <c:orientation val="minMax"/>
        </c:scaling>
        <c:delete val="0"/>
        <c:axPos val="b"/>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lang="ja-JP" altLang="en-US" sz="900" kern="1200">
                <a:solidFill>
                  <a:schemeClr val="tx1">
                    <a:lumMod val="65000"/>
                    <a:lumOff val="35000"/>
                  </a:schemeClr>
                </a:solidFill>
                <a:latin typeface="+mn-lt"/>
                <a:ea typeface="+mn-ea"/>
                <a:cs typeface="+mn-cs"/>
              </a:defRPr>
            </a:pPr>
            <a:endParaRPr lang="ja-JP" altLang="en-US" sz="900" kern="1200">
              <a:solidFill>
                <a:schemeClr val="tx1">
                  <a:lumMod val="65000"/>
                  <a:lumOff val="35000"/>
                </a:schemeClr>
              </a:solidFill>
              <a:latin typeface="+mn-lt"/>
              <a:ea typeface="+mn-ea"/>
              <a:cs typeface="+mn-cs"/>
            </a:endParaRPr>
          </a:p>
        </c:txPr>
        <c:crossAx val="2"/>
        <c:crosses val="autoZero"/>
        <c:auto val="1"/>
        <c:lblAlgn val="ctr"/>
        <c:lblOffset val="100"/>
        <c:noMultiLvlLbl val="0"/>
      </c:catAx>
      <c:valAx>
        <c:axId val="2"/>
        <c:scaling>
          <c:orientation val="minMax"/>
          <c:min val="35"/>
        </c:scaling>
        <c:delete val="0"/>
        <c:axPos val="l"/>
        <c:majorGridlines>
          <c:spPr>
            <a:noFill/>
            <a:ln w="9525" cap="flat" cmpd="sng" algn="ctr">
              <a:solidFill>
                <a:schemeClr val="tx1">
                  <a:lumMod val="15000"/>
                  <a:lumOff val="85000"/>
                </a:schemeClr>
              </a:solidFill>
              <a:round/>
            </a:ln>
            <a:effectLst/>
          </c:spPr>
        </c:majorGridlines>
        <c:numFmt formatCode="General" sourceLinked="1"/>
        <c:majorTickMark val="in"/>
        <c:minorTickMark val="none"/>
        <c:tickLblPos val="nextTo"/>
        <c:spPr>
          <a:noFill/>
          <a:ln>
            <a:noFill/>
          </a:ln>
          <a:effectLst/>
        </c:spPr>
        <c:txPr>
          <a:bodyPr rot="-60000000" spcFirstLastPara="1" vertOverflow="ellipsis" horzOverflow="overflow" wrap="square" anchor="ctr" anchorCtr="1"/>
          <a:lstStyle/>
          <a:p>
            <a:pPr algn="ctr" rtl="0">
              <a:defRPr lang="ja-JP" altLang="en-US" sz="900" kern="1200">
                <a:solidFill>
                  <a:schemeClr val="tx1">
                    <a:lumMod val="65000"/>
                    <a:lumOff val="35000"/>
                  </a:schemeClr>
                </a:solidFill>
                <a:latin typeface="+mn-lt"/>
                <a:ea typeface="+mn-ea"/>
                <a:cs typeface="+mn-cs"/>
              </a:defRPr>
            </a:pPr>
            <a:endParaRPr lang="ja-JP" altLang="en-US" sz="900" kern="1200">
              <a:solidFill>
                <a:schemeClr val="tx1">
                  <a:lumMod val="65000"/>
                  <a:lumOff val="35000"/>
                </a:schemeClr>
              </a:solidFill>
              <a:latin typeface="+mn-lt"/>
              <a:ea typeface="+mn-ea"/>
              <a:cs typeface="+mn-cs"/>
            </a:endParaRPr>
          </a:p>
        </c:txPr>
        <c:crossAx val="1"/>
        <c:crosses val="autoZero"/>
        <c:crossBetween val="between"/>
      </c:valAx>
      <c:spPr>
        <a:noFill/>
        <a:ln>
          <a:noFill/>
        </a:ln>
        <a:effectLst/>
      </c:spPr>
    </c:plotArea>
    <c:legend>
      <c:legendPos val="r"/>
      <c:layout/>
      <c:overlay val="0"/>
      <c:spPr>
        <a:noFill/>
        <a:ln>
          <a:noFill/>
        </a:ln>
        <a:effectLst/>
      </c:spPr>
      <c:txPr>
        <a:bodyPr rot="0" spcFirstLastPara="1" vertOverflow="ellipsis" horzOverflow="overflow" wrap="square" anchor="ctr" anchorCtr="1"/>
        <a:lstStyle/>
        <a:p>
          <a:pPr algn="l" rtl="0">
            <a:defRPr lang="ja-JP" altLang="en-US" sz="900" kern="1200">
              <a:solidFill>
                <a:schemeClr val="tx1">
                  <a:lumMod val="65000"/>
                  <a:lumOff val="35000"/>
                </a:schemeClr>
              </a:solidFill>
              <a:latin typeface="+mn-lt"/>
              <a:ea typeface="+mn-ea"/>
              <a:cs typeface="+mn-cs"/>
            </a:defRPr>
          </a:pPr>
          <a:endParaRPr lang="ja-JP" altLang="en-US" sz="900" kern="1200">
            <a:solidFill>
              <a:schemeClr val="tx1">
                <a:lumMod val="65000"/>
                <a:lumOff val="35000"/>
              </a:schemeClr>
            </a:solidFill>
            <a:latin typeface="+mn-lt"/>
            <a:ea typeface="+mn-ea"/>
            <a:cs typeface="+mn-cs"/>
          </a:endParaR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vertOverflow="overflow" horzOverflow="overflow" anchor="ctr" anchorCtr="1"/>
    <a:lstStyle/>
    <a:p>
      <a:pPr algn="ctr" rtl="0">
        <a:defRPr lang="ja-JP" altLang="en-US"/>
      </a:pPr>
      <a:endParaRPr lang="ja-JP" altLang="en-US"/>
    </a:p>
  </c:txPr>
  <c:externalData r:id="rId1">
    <c:autoUpdate val="0"/>
  </c:externalData>
  <c:extLst>
    <c:ext xmlns:c14="http://schemas.microsoft.com/office/drawing/2007/8/2/chart" uri="{781A3756-C4B2-4CAC-9D66-4F8BD8637D16}"/>
  </c:extLst>
</c:chartSpace>
</file>

<file path=word/charts/chart4.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horzOverflow="overflow" wrap="square" anchor="t" anchorCtr="1"/>
          <a:lstStyle/>
          <a:p>
            <a:pPr algn="ctr" rtl="0">
              <a:defRPr kumimoji="0" lang="ja-JP" altLang="en-US" sz="1200" b="0" i="0" u="none" strike="noStrike" kern="1200" cap="none" spc="0" normalizeH="0" baseline="0">
                <a:solidFill>
                  <a:schemeClr val="tx1">
                    <a:lumMod val="65000"/>
                    <a:lumOff val="35000"/>
                  </a:schemeClr>
                </a:solidFill>
                <a:latin typeface="+mj-lt"/>
                <a:ea typeface="+mj-ea"/>
                <a:cs typeface="+mj-cs"/>
              </a:defRPr>
            </a:pPr>
            <a:r>
              <a:rPr kumimoji="0" lang="ja-JP" altLang="en-US" sz="1200" b="0" i="0" u="none" strike="noStrike" kern="1200" cap="none" spc="0" normalizeH="0" baseline="0">
                <a:solidFill>
                  <a:sysClr val="windowText" lastClr="000000"/>
                </a:solidFill>
                <a:latin typeface="+mj-lt"/>
                <a:ea typeface="+mj-ea"/>
                <a:cs typeface="+mj-cs"/>
              </a:rPr>
              <a:t>病院に勤務する医師の年齢区分毎の状況</a:t>
            </a:r>
            <a:endParaRPr kumimoji="0" lang="ja-JP" altLang="en-US" sz="1200" b="0" i="0" u="none" strike="noStrike" kern="1200" cap="none" spc="0" normalizeH="0" baseline="0">
              <a:solidFill>
                <a:sysClr val="windowText" lastClr="000000"/>
              </a:solidFill>
              <a:latin typeface="+mj-lt"/>
              <a:ea typeface="+mj-ea"/>
              <a:cs typeface="+mj-cs"/>
            </a:endParaRPr>
          </a:p>
        </c:rich>
      </c:tx>
      <c:layout>
        <c:manualLayout>
          <c:xMode val="edge"/>
          <c:yMode val="edge"/>
          <c:x val="0.24581933799210448"/>
          <c:y val="1.3089640008866263e-002"/>
        </c:manualLayout>
      </c:layout>
      <c:overlay val="0"/>
      <c:spPr>
        <a:noFill/>
        <a:ln>
          <a:noFill/>
        </a:ln>
        <a:effectLst/>
      </c:spPr>
    </c:title>
    <c:autoTitleDeleted val="0"/>
    <c:plotArea>
      <c:layout>
        <c:manualLayout>
          <c:layoutTarget val="inner"/>
          <c:xMode val="edge"/>
          <c:yMode val="edge"/>
          <c:x val="5.8043346588365415e-002"/>
          <c:y val="7.3298429319371722e-002"/>
          <c:w val="0.87172253969925984"/>
          <c:h val="0.74869109947643964"/>
        </c:manualLayout>
      </c:layout>
      <c:barChart>
        <c:barDir val="col"/>
        <c:grouping val="clustered"/>
        <c:varyColors val="0"/>
        <c:ser>
          <c:idx val="0"/>
          <c:order val="0"/>
          <c:tx>
            <c:strRef>
              <c:f>Sheet3!$B$3</c:f>
              <c:strCache>
                <c:ptCount val="1"/>
                <c:pt idx="0">
                  <c:v>H14</c:v>
                </c:pt>
              </c:strCache>
            </c:strRef>
          </c:tx>
          <c:spPr>
            <a:solidFill>
              <a:schemeClr val="accent6"/>
            </a:solidFill>
            <a:ln>
              <a:noFill/>
            </a:ln>
            <a:effectLst/>
          </c:spPr>
          <c:invertIfNegative val="0"/>
          <c:dLbls>
            <c:spPr>
              <a:noFill/>
              <a:ln>
                <a:noFill/>
              </a:ln>
              <a:effectLst/>
            </c:spPr>
            <c:txPr>
              <a:bodyPr rot="-5400000" spcFirstLastPara="1" vertOverflow="clip" horzOverflow="clip" wrap="square" lIns="38100" tIns="19050" rIns="38100" bIns="19050" anchor="ctr" anchorCtr="1">
                <a:spAutoFit/>
              </a:bodyPr>
              <a:lstStyle/>
              <a:p>
                <a:pPr algn="ctr" rtl="0">
                  <a:defRPr kumimoji="0" lang="ja-JP" altLang="en-US" sz="600" kern="1200">
                    <a:solidFill>
                      <a:schemeClr val="tx1">
                        <a:lumMod val="75000"/>
                        <a:lumOff val="25000"/>
                      </a:schemeClr>
                    </a:solidFill>
                    <a:latin typeface="+mn-lt"/>
                    <a:ea typeface="+mn-ea"/>
                    <a:cs typeface="+mn-cs"/>
                  </a:defRPr>
                </a:pPr>
                <a:endParaRPr lang="ja-JP" altLang="en-US"/>
              </a:p>
            </c:txPr>
            <c:dLblPos val="outEnd"/>
            <c:showLegendKey val="0"/>
            <c:showVal val="1"/>
            <c:showCatName val="0"/>
            <c:showSerName val="0"/>
            <c:showPercent val="0"/>
            <c:showBubbleSize val="0"/>
            <c:extLst>
              <c:ext xmlns:c15="http://schemas.microsoft.com/office/drawing/2012/chart" uri="{CE6537A1-D6FC-4f65-9D91-7224C49458BB}">
                <c15:showLeaderLines val="1"/>
                <c15:leaderLines>
                  <c:spPr>
                    <a:noFill/>
                    <a:ln w="9525">
                      <a:solidFill>
                        <a:schemeClr val="tx1">
                          <a:lumMod val="35000"/>
                          <a:lumOff val="65000"/>
                        </a:schemeClr>
                      </a:solidFill>
                    </a:ln>
                    <a:effectLst/>
                  </c:spPr>
                </c15:leaderLines>
              </c:ext>
            </c:extLst>
          </c:dLbls>
          <c:cat>
            <c:strRef>
              <c:f>Sheet3!$C$2:$O$2</c:f>
              <c:strCache>
                <c:ptCount val="13"/>
                <c:pt idx="0">
                  <c:v>～24歳</c:v>
                </c:pt>
                <c:pt idx="1">
                  <c:v>25歳～29歳</c:v>
                </c:pt>
                <c:pt idx="2">
                  <c:v>30歳～34歳</c:v>
                </c:pt>
                <c:pt idx="3">
                  <c:v>35歳～39歳</c:v>
                </c:pt>
                <c:pt idx="4">
                  <c:v>40歳～44歳</c:v>
                </c:pt>
                <c:pt idx="5">
                  <c:v>45歳～49歳</c:v>
                </c:pt>
                <c:pt idx="6">
                  <c:v>50歳～54歳</c:v>
                </c:pt>
                <c:pt idx="7">
                  <c:v>55歳～59歳</c:v>
                </c:pt>
                <c:pt idx="8">
                  <c:v>60歳～64歳</c:v>
                </c:pt>
                <c:pt idx="9">
                  <c:v>65歳～69歳</c:v>
                </c:pt>
                <c:pt idx="10">
                  <c:v>70歳～74歳</c:v>
                </c:pt>
                <c:pt idx="11">
                  <c:v>75歳～79歳</c:v>
                </c:pt>
                <c:pt idx="12">
                  <c:v>80歳以上</c:v>
                </c:pt>
              </c:strCache>
            </c:strRef>
          </c:cat>
          <c:val>
            <c:numRef>
              <c:f>[病院年齢推移.xlsx]Sheet3!$C$3:$O$3</c:f>
              <c:numCache>
                <c:formatCode>General</c:formatCode>
                <c:ptCount val="13"/>
                <c:pt idx="0">
                  <c:v>6</c:v>
                </c:pt>
                <c:pt idx="1">
                  <c:v>187</c:v>
                </c:pt>
                <c:pt idx="2">
                  <c:v>264</c:v>
                </c:pt>
                <c:pt idx="3">
                  <c:v>247</c:v>
                </c:pt>
                <c:pt idx="4">
                  <c:v>245</c:v>
                </c:pt>
                <c:pt idx="5">
                  <c:v>169</c:v>
                </c:pt>
                <c:pt idx="6">
                  <c:v>166</c:v>
                </c:pt>
                <c:pt idx="7">
                  <c:v>73</c:v>
                </c:pt>
                <c:pt idx="8">
                  <c:v>48</c:v>
                </c:pt>
                <c:pt idx="9">
                  <c:v>31</c:v>
                </c:pt>
                <c:pt idx="10">
                  <c:v>41</c:v>
                </c:pt>
                <c:pt idx="11">
                  <c:v>47</c:v>
                </c:pt>
                <c:pt idx="12">
                  <c:v>22</c:v>
                </c:pt>
              </c:numCache>
            </c:numRef>
          </c:val>
        </c:ser>
        <c:ser>
          <c:idx val="1"/>
          <c:order val="1"/>
          <c:tx>
            <c:strRef>
              <c:f>Sheet3!$B$4</c:f>
              <c:strCache>
                <c:ptCount val="1"/>
                <c:pt idx="0">
                  <c:v>H16</c:v>
                </c:pt>
              </c:strCache>
            </c:strRef>
          </c:tx>
          <c:spPr>
            <a:solidFill>
              <a:schemeClr val="accent5"/>
            </a:solidFill>
            <a:ln>
              <a:noFill/>
            </a:ln>
            <a:effectLst/>
          </c:spPr>
          <c:invertIfNegative val="0"/>
          <c:dLbls>
            <c:spPr>
              <a:noFill/>
              <a:ln>
                <a:noFill/>
              </a:ln>
              <a:effectLst/>
            </c:spPr>
            <c:txPr>
              <a:bodyPr rot="-5400000" spcFirstLastPara="1" vertOverflow="clip" horzOverflow="clip" wrap="square" lIns="38100" tIns="19050" rIns="38100" bIns="19050" anchor="ctr" anchorCtr="1">
                <a:spAutoFit/>
              </a:bodyPr>
              <a:lstStyle/>
              <a:p>
                <a:pPr algn="ctr" rtl="0">
                  <a:defRPr kumimoji="0" lang="ja-JP" altLang="en-US" sz="600" kern="1200">
                    <a:solidFill>
                      <a:schemeClr val="tx1">
                        <a:lumMod val="75000"/>
                        <a:lumOff val="25000"/>
                      </a:schemeClr>
                    </a:solidFill>
                    <a:latin typeface="+mn-lt"/>
                    <a:ea typeface="+mn-ea"/>
                    <a:cs typeface="+mn-cs"/>
                  </a:defRPr>
                </a:pPr>
                <a:endParaRPr lang="ja-JP" altLang="en-US"/>
              </a:p>
            </c:txPr>
            <c:dLblPos val="outEnd"/>
            <c:showLegendKey val="0"/>
            <c:showVal val="1"/>
            <c:showCatName val="0"/>
            <c:showSerName val="0"/>
            <c:showPercent val="0"/>
            <c:showBubbleSize val="0"/>
            <c:extLst>
              <c:ext xmlns:c15="http://schemas.microsoft.com/office/drawing/2012/chart" uri="{CE6537A1-D6FC-4f65-9D91-7224C49458BB}">
                <c15:showLeaderLines val="1"/>
                <c15:leaderLines>
                  <c:spPr>
                    <a:noFill/>
                    <a:ln w="9525">
                      <a:solidFill>
                        <a:schemeClr val="tx1">
                          <a:lumMod val="35000"/>
                          <a:lumOff val="65000"/>
                        </a:schemeClr>
                      </a:solidFill>
                    </a:ln>
                    <a:effectLst/>
                  </c:spPr>
                </c15:leaderLines>
              </c:ext>
            </c:extLst>
          </c:dLbls>
          <c:cat>
            <c:strRef>
              <c:f>Sheet3!$C$2:$O$2</c:f>
              <c:strCache>
                <c:ptCount val="13"/>
                <c:pt idx="0">
                  <c:v>～24歳</c:v>
                </c:pt>
                <c:pt idx="1">
                  <c:v>25歳～29歳</c:v>
                </c:pt>
                <c:pt idx="2">
                  <c:v>30歳～34歳</c:v>
                </c:pt>
                <c:pt idx="3">
                  <c:v>35歳～39歳</c:v>
                </c:pt>
                <c:pt idx="4">
                  <c:v>40歳～44歳</c:v>
                </c:pt>
                <c:pt idx="5">
                  <c:v>45歳～49歳</c:v>
                </c:pt>
                <c:pt idx="6">
                  <c:v>50歳～54歳</c:v>
                </c:pt>
                <c:pt idx="7">
                  <c:v>55歳～59歳</c:v>
                </c:pt>
                <c:pt idx="8">
                  <c:v>60歳～64歳</c:v>
                </c:pt>
                <c:pt idx="9">
                  <c:v>65歳～69歳</c:v>
                </c:pt>
                <c:pt idx="10">
                  <c:v>70歳～74歳</c:v>
                </c:pt>
                <c:pt idx="11">
                  <c:v>75歳～79歳</c:v>
                </c:pt>
                <c:pt idx="12">
                  <c:v>80歳以上</c:v>
                </c:pt>
              </c:strCache>
            </c:strRef>
          </c:cat>
          <c:val>
            <c:numRef>
              <c:f>[病院年齢推移.xlsx]Sheet3!$C$4:$O$4</c:f>
              <c:numCache>
                <c:formatCode>General</c:formatCode>
                <c:ptCount val="13"/>
                <c:pt idx="0">
                  <c:v>3</c:v>
                </c:pt>
                <c:pt idx="1">
                  <c:v>171</c:v>
                </c:pt>
                <c:pt idx="2">
                  <c:v>227</c:v>
                </c:pt>
                <c:pt idx="3">
                  <c:v>244</c:v>
                </c:pt>
                <c:pt idx="4">
                  <c:v>233</c:v>
                </c:pt>
                <c:pt idx="5">
                  <c:v>193</c:v>
                </c:pt>
                <c:pt idx="6">
                  <c:v>149</c:v>
                </c:pt>
                <c:pt idx="7">
                  <c:v>107</c:v>
                </c:pt>
                <c:pt idx="8">
                  <c:v>67</c:v>
                </c:pt>
                <c:pt idx="9">
                  <c:v>28</c:v>
                </c:pt>
                <c:pt idx="10">
                  <c:v>35</c:v>
                </c:pt>
                <c:pt idx="11">
                  <c:v>49</c:v>
                </c:pt>
                <c:pt idx="12">
                  <c:v>27</c:v>
                </c:pt>
              </c:numCache>
            </c:numRef>
          </c:val>
        </c:ser>
        <c:ser>
          <c:idx val="2"/>
          <c:order val="2"/>
          <c:tx>
            <c:strRef>
              <c:f>Sheet3!$B$5</c:f>
              <c:strCache>
                <c:ptCount val="1"/>
                <c:pt idx="0">
                  <c:v>H18</c:v>
                </c:pt>
              </c:strCache>
            </c:strRef>
          </c:tx>
          <c:spPr>
            <a:solidFill>
              <a:schemeClr val="accent4"/>
            </a:solidFill>
            <a:ln>
              <a:noFill/>
            </a:ln>
            <a:effectLst/>
          </c:spPr>
          <c:invertIfNegative val="0"/>
          <c:dLbls>
            <c:spPr>
              <a:noFill/>
              <a:ln>
                <a:noFill/>
              </a:ln>
              <a:effectLst/>
            </c:spPr>
            <c:txPr>
              <a:bodyPr rot="-5400000" spcFirstLastPara="1" vertOverflow="clip" horzOverflow="clip" wrap="square" lIns="38100" tIns="19050" rIns="38100" bIns="19050" anchor="ctr" anchorCtr="1">
                <a:spAutoFit/>
              </a:bodyPr>
              <a:lstStyle/>
              <a:p>
                <a:pPr algn="ctr" rtl="0">
                  <a:defRPr kumimoji="0" lang="ja-JP" altLang="en-US" sz="600" kern="1200">
                    <a:solidFill>
                      <a:schemeClr val="tx1">
                        <a:lumMod val="75000"/>
                        <a:lumOff val="25000"/>
                      </a:schemeClr>
                    </a:solidFill>
                    <a:latin typeface="+mn-lt"/>
                    <a:ea typeface="+mn-ea"/>
                    <a:cs typeface="+mn-cs"/>
                  </a:defRPr>
                </a:pPr>
                <a:endParaRPr lang="ja-JP" altLang="en-US"/>
              </a:p>
            </c:txPr>
            <c:dLblPos val="outEnd"/>
            <c:showLegendKey val="0"/>
            <c:showVal val="1"/>
            <c:showCatName val="0"/>
            <c:showSerName val="0"/>
            <c:showPercent val="0"/>
            <c:showBubbleSize val="0"/>
            <c:extLst>
              <c:ext xmlns:c15="http://schemas.microsoft.com/office/drawing/2012/chart" uri="{CE6537A1-D6FC-4f65-9D91-7224C49458BB}">
                <c15:showLeaderLines val="1"/>
                <c15:leaderLines>
                  <c:spPr>
                    <a:noFill/>
                    <a:ln w="9525">
                      <a:solidFill>
                        <a:schemeClr val="tx1">
                          <a:lumMod val="35000"/>
                          <a:lumOff val="65000"/>
                        </a:schemeClr>
                      </a:solidFill>
                    </a:ln>
                    <a:effectLst/>
                  </c:spPr>
                </c15:leaderLines>
              </c:ext>
            </c:extLst>
          </c:dLbls>
          <c:cat>
            <c:strRef>
              <c:f>Sheet3!$C$2:$O$2</c:f>
              <c:strCache>
                <c:ptCount val="13"/>
                <c:pt idx="0">
                  <c:v>～24歳</c:v>
                </c:pt>
                <c:pt idx="1">
                  <c:v>25歳～29歳</c:v>
                </c:pt>
                <c:pt idx="2">
                  <c:v>30歳～34歳</c:v>
                </c:pt>
                <c:pt idx="3">
                  <c:v>35歳～39歳</c:v>
                </c:pt>
                <c:pt idx="4">
                  <c:v>40歳～44歳</c:v>
                </c:pt>
                <c:pt idx="5">
                  <c:v>45歳～49歳</c:v>
                </c:pt>
                <c:pt idx="6">
                  <c:v>50歳～54歳</c:v>
                </c:pt>
                <c:pt idx="7">
                  <c:v>55歳～59歳</c:v>
                </c:pt>
                <c:pt idx="8">
                  <c:v>60歳～64歳</c:v>
                </c:pt>
                <c:pt idx="9">
                  <c:v>65歳～69歳</c:v>
                </c:pt>
                <c:pt idx="10">
                  <c:v>70歳～74歳</c:v>
                </c:pt>
                <c:pt idx="11">
                  <c:v>75歳～79歳</c:v>
                </c:pt>
                <c:pt idx="12">
                  <c:v>80歳以上</c:v>
                </c:pt>
              </c:strCache>
            </c:strRef>
          </c:cat>
          <c:val>
            <c:numRef>
              <c:f>[病院年齢推移.xlsx]Sheet3!$C$5:$O$5</c:f>
              <c:numCache>
                <c:formatCode>General</c:formatCode>
                <c:ptCount val="13"/>
                <c:pt idx="0">
                  <c:v>3</c:v>
                </c:pt>
                <c:pt idx="1">
                  <c:v>173</c:v>
                </c:pt>
                <c:pt idx="2">
                  <c:v>198</c:v>
                </c:pt>
                <c:pt idx="3">
                  <c:v>226</c:v>
                </c:pt>
                <c:pt idx="4">
                  <c:v>214</c:v>
                </c:pt>
                <c:pt idx="5">
                  <c:v>221</c:v>
                </c:pt>
                <c:pt idx="6">
                  <c:v>148</c:v>
                </c:pt>
                <c:pt idx="7">
                  <c:v>124</c:v>
                </c:pt>
                <c:pt idx="8">
                  <c:v>59</c:v>
                </c:pt>
                <c:pt idx="9">
                  <c:v>41</c:v>
                </c:pt>
                <c:pt idx="10">
                  <c:v>35</c:v>
                </c:pt>
                <c:pt idx="11">
                  <c:v>33</c:v>
                </c:pt>
                <c:pt idx="12">
                  <c:v>42</c:v>
                </c:pt>
              </c:numCache>
            </c:numRef>
          </c:val>
        </c:ser>
        <c:ser>
          <c:idx val="3"/>
          <c:order val="3"/>
          <c:tx>
            <c:strRef>
              <c:f>Sheet3!$B$6</c:f>
              <c:strCache>
                <c:ptCount val="1"/>
                <c:pt idx="0">
                  <c:v>H20</c:v>
                </c:pt>
              </c:strCache>
            </c:strRef>
          </c:tx>
          <c:spPr>
            <a:solidFill>
              <a:schemeClr val="accent6">
                <a:lumMod val="60000"/>
              </a:schemeClr>
            </a:solidFill>
            <a:ln>
              <a:noFill/>
            </a:ln>
            <a:effectLst/>
          </c:spPr>
          <c:invertIfNegative val="0"/>
          <c:dLbls>
            <c:spPr>
              <a:noFill/>
              <a:ln>
                <a:noFill/>
              </a:ln>
              <a:effectLst/>
            </c:spPr>
            <c:txPr>
              <a:bodyPr rot="-5400000" spcFirstLastPara="1" vertOverflow="clip" horzOverflow="clip" wrap="square" lIns="38100" tIns="19050" rIns="38100" bIns="19050" anchor="ctr" anchorCtr="1">
                <a:spAutoFit/>
              </a:bodyPr>
              <a:lstStyle/>
              <a:p>
                <a:pPr algn="ctr" rtl="0">
                  <a:defRPr kumimoji="0" lang="ja-JP" altLang="en-US" sz="600" kern="1200">
                    <a:solidFill>
                      <a:schemeClr val="tx1">
                        <a:lumMod val="75000"/>
                        <a:lumOff val="25000"/>
                      </a:schemeClr>
                    </a:solidFill>
                    <a:latin typeface="+mn-lt"/>
                    <a:ea typeface="+mn-ea"/>
                    <a:cs typeface="+mn-cs"/>
                  </a:defRPr>
                </a:pPr>
                <a:endParaRPr lang="ja-JP" altLang="en-US"/>
              </a:p>
            </c:txPr>
            <c:dLblPos val="outEnd"/>
            <c:showLegendKey val="0"/>
            <c:showVal val="1"/>
            <c:showCatName val="0"/>
            <c:showSerName val="0"/>
            <c:showPercent val="0"/>
            <c:showBubbleSize val="0"/>
            <c:extLst>
              <c:ext xmlns:c15="http://schemas.microsoft.com/office/drawing/2012/chart" uri="{CE6537A1-D6FC-4f65-9D91-7224C49458BB}">
                <c15:showLeaderLines val="1"/>
                <c15:leaderLines>
                  <c:spPr>
                    <a:noFill/>
                    <a:ln w="9525">
                      <a:solidFill>
                        <a:schemeClr val="tx1">
                          <a:lumMod val="35000"/>
                          <a:lumOff val="65000"/>
                        </a:schemeClr>
                      </a:solidFill>
                    </a:ln>
                    <a:effectLst/>
                  </c:spPr>
                </c15:leaderLines>
              </c:ext>
            </c:extLst>
          </c:dLbls>
          <c:cat>
            <c:strRef>
              <c:f>Sheet3!$C$2:$O$2</c:f>
              <c:strCache>
                <c:ptCount val="13"/>
                <c:pt idx="0">
                  <c:v>～24歳</c:v>
                </c:pt>
                <c:pt idx="1">
                  <c:v>25歳～29歳</c:v>
                </c:pt>
                <c:pt idx="2">
                  <c:v>30歳～34歳</c:v>
                </c:pt>
                <c:pt idx="3">
                  <c:v>35歳～39歳</c:v>
                </c:pt>
                <c:pt idx="4">
                  <c:v>40歳～44歳</c:v>
                </c:pt>
                <c:pt idx="5">
                  <c:v>45歳～49歳</c:v>
                </c:pt>
                <c:pt idx="6">
                  <c:v>50歳～54歳</c:v>
                </c:pt>
                <c:pt idx="7">
                  <c:v>55歳～59歳</c:v>
                </c:pt>
                <c:pt idx="8">
                  <c:v>60歳～64歳</c:v>
                </c:pt>
                <c:pt idx="9">
                  <c:v>65歳～69歳</c:v>
                </c:pt>
                <c:pt idx="10">
                  <c:v>70歳～74歳</c:v>
                </c:pt>
                <c:pt idx="11">
                  <c:v>75歳～79歳</c:v>
                </c:pt>
                <c:pt idx="12">
                  <c:v>80歳以上</c:v>
                </c:pt>
              </c:strCache>
            </c:strRef>
          </c:cat>
          <c:val>
            <c:numRef>
              <c:f>[病院年齢推移.xlsx]Sheet3!$C$6:$O$6</c:f>
              <c:numCache>
                <c:formatCode>General</c:formatCode>
                <c:ptCount val="13"/>
                <c:pt idx="0">
                  <c:v>0</c:v>
                </c:pt>
                <c:pt idx="1">
                  <c:v>132</c:v>
                </c:pt>
                <c:pt idx="2">
                  <c:v>211</c:v>
                </c:pt>
                <c:pt idx="3">
                  <c:v>209</c:v>
                </c:pt>
                <c:pt idx="4">
                  <c:v>235</c:v>
                </c:pt>
                <c:pt idx="5">
                  <c:v>208</c:v>
                </c:pt>
                <c:pt idx="6">
                  <c:v>168</c:v>
                </c:pt>
                <c:pt idx="7">
                  <c:v>140</c:v>
                </c:pt>
                <c:pt idx="8">
                  <c:v>81</c:v>
                </c:pt>
                <c:pt idx="9">
                  <c:v>50</c:v>
                </c:pt>
                <c:pt idx="10">
                  <c:v>24</c:v>
                </c:pt>
                <c:pt idx="11">
                  <c:v>28</c:v>
                </c:pt>
                <c:pt idx="12">
                  <c:v>54</c:v>
                </c:pt>
              </c:numCache>
            </c:numRef>
          </c:val>
        </c:ser>
        <c:ser>
          <c:idx val="4"/>
          <c:order val="4"/>
          <c:tx>
            <c:strRef>
              <c:f>Sheet3!$B$7</c:f>
              <c:strCache>
                <c:ptCount val="1"/>
                <c:pt idx="0">
                  <c:v>H22</c:v>
                </c:pt>
              </c:strCache>
            </c:strRef>
          </c:tx>
          <c:spPr>
            <a:solidFill>
              <a:schemeClr val="accent5">
                <a:lumMod val="60000"/>
              </a:schemeClr>
            </a:solidFill>
            <a:ln>
              <a:noFill/>
            </a:ln>
            <a:effectLst/>
          </c:spPr>
          <c:invertIfNegative val="0"/>
          <c:dLbls>
            <c:spPr>
              <a:noFill/>
              <a:ln>
                <a:noFill/>
              </a:ln>
              <a:effectLst/>
            </c:spPr>
            <c:txPr>
              <a:bodyPr rot="-5400000" spcFirstLastPara="1" vertOverflow="clip" horzOverflow="clip" wrap="square" lIns="38100" tIns="19050" rIns="38100" bIns="19050" anchor="ctr" anchorCtr="1">
                <a:spAutoFit/>
              </a:bodyPr>
              <a:lstStyle/>
              <a:p>
                <a:pPr algn="ctr" rtl="0">
                  <a:defRPr kumimoji="0" lang="ja-JP" altLang="en-US" sz="600" kern="1200">
                    <a:solidFill>
                      <a:schemeClr val="tx1">
                        <a:lumMod val="75000"/>
                        <a:lumOff val="25000"/>
                      </a:schemeClr>
                    </a:solidFill>
                    <a:latin typeface="+mn-lt"/>
                    <a:ea typeface="+mn-ea"/>
                    <a:cs typeface="+mn-cs"/>
                  </a:defRPr>
                </a:pPr>
                <a:endParaRPr lang="ja-JP" altLang="en-US"/>
              </a:p>
            </c:txPr>
            <c:dLblPos val="outEnd"/>
            <c:showLegendKey val="0"/>
            <c:showVal val="1"/>
            <c:showCatName val="0"/>
            <c:showSerName val="0"/>
            <c:showPercent val="0"/>
            <c:showBubbleSize val="0"/>
            <c:extLst>
              <c:ext xmlns:c15="http://schemas.microsoft.com/office/drawing/2012/chart" uri="{CE6537A1-D6FC-4f65-9D91-7224C49458BB}">
                <c15:showLeaderLines val="1"/>
                <c15:leaderLines>
                  <c:spPr>
                    <a:noFill/>
                    <a:ln w="9525">
                      <a:solidFill>
                        <a:schemeClr val="tx1">
                          <a:lumMod val="35000"/>
                          <a:lumOff val="65000"/>
                        </a:schemeClr>
                      </a:solidFill>
                    </a:ln>
                    <a:effectLst/>
                  </c:spPr>
                </c15:leaderLines>
              </c:ext>
            </c:extLst>
          </c:dLbls>
          <c:cat>
            <c:strRef>
              <c:f>Sheet3!$C$2:$O$2</c:f>
              <c:strCache>
                <c:ptCount val="13"/>
                <c:pt idx="0">
                  <c:v>～24歳</c:v>
                </c:pt>
                <c:pt idx="1">
                  <c:v>25歳～29歳</c:v>
                </c:pt>
                <c:pt idx="2">
                  <c:v>30歳～34歳</c:v>
                </c:pt>
                <c:pt idx="3">
                  <c:v>35歳～39歳</c:v>
                </c:pt>
                <c:pt idx="4">
                  <c:v>40歳～44歳</c:v>
                </c:pt>
                <c:pt idx="5">
                  <c:v>45歳～49歳</c:v>
                </c:pt>
                <c:pt idx="6">
                  <c:v>50歳～54歳</c:v>
                </c:pt>
                <c:pt idx="7">
                  <c:v>55歳～59歳</c:v>
                </c:pt>
                <c:pt idx="8">
                  <c:v>60歳～64歳</c:v>
                </c:pt>
                <c:pt idx="9">
                  <c:v>65歳～69歳</c:v>
                </c:pt>
                <c:pt idx="10">
                  <c:v>70歳～74歳</c:v>
                </c:pt>
                <c:pt idx="11">
                  <c:v>75歳～79歳</c:v>
                </c:pt>
                <c:pt idx="12">
                  <c:v>80歳以上</c:v>
                </c:pt>
              </c:strCache>
            </c:strRef>
          </c:cat>
          <c:val>
            <c:numRef>
              <c:f>[病院年齢推移.xlsx]Sheet3!$C$7:$O$7</c:f>
              <c:numCache>
                <c:formatCode>General</c:formatCode>
                <c:ptCount val="13"/>
                <c:pt idx="0">
                  <c:v>4</c:v>
                </c:pt>
                <c:pt idx="1">
                  <c:v>132</c:v>
                </c:pt>
                <c:pt idx="2">
                  <c:v>164</c:v>
                </c:pt>
                <c:pt idx="3">
                  <c:v>213</c:v>
                </c:pt>
                <c:pt idx="4">
                  <c:v>215</c:v>
                </c:pt>
                <c:pt idx="5">
                  <c:v>209</c:v>
                </c:pt>
                <c:pt idx="6">
                  <c:v>192</c:v>
                </c:pt>
                <c:pt idx="7">
                  <c:v>135</c:v>
                </c:pt>
                <c:pt idx="8">
                  <c:v>115</c:v>
                </c:pt>
                <c:pt idx="9">
                  <c:v>50</c:v>
                </c:pt>
                <c:pt idx="10">
                  <c:v>30</c:v>
                </c:pt>
                <c:pt idx="11">
                  <c:v>26</c:v>
                </c:pt>
                <c:pt idx="12">
                  <c:v>47</c:v>
                </c:pt>
              </c:numCache>
            </c:numRef>
          </c:val>
        </c:ser>
        <c:ser>
          <c:idx val="5"/>
          <c:order val="5"/>
          <c:tx>
            <c:strRef>
              <c:f>Sheet3!$B$8</c:f>
              <c:strCache>
                <c:ptCount val="1"/>
                <c:pt idx="0">
                  <c:v>H24</c:v>
                </c:pt>
              </c:strCache>
            </c:strRef>
          </c:tx>
          <c:spPr>
            <a:solidFill>
              <a:schemeClr val="accent4">
                <a:lumMod val="60000"/>
              </a:schemeClr>
            </a:solidFill>
            <a:ln>
              <a:noFill/>
            </a:ln>
            <a:effectLst/>
          </c:spPr>
          <c:invertIfNegative val="0"/>
          <c:dLbls>
            <c:spPr>
              <a:noFill/>
              <a:ln>
                <a:noFill/>
              </a:ln>
              <a:effectLst/>
            </c:spPr>
            <c:txPr>
              <a:bodyPr rot="-5400000" spcFirstLastPara="1" vertOverflow="clip" horzOverflow="clip" wrap="square" lIns="38100" tIns="19050" rIns="38100" bIns="19050" anchor="ctr" anchorCtr="1">
                <a:spAutoFit/>
              </a:bodyPr>
              <a:lstStyle/>
              <a:p>
                <a:pPr algn="ctr" rtl="0">
                  <a:defRPr kumimoji="0" lang="ja-JP" altLang="en-US" sz="600" kern="1200">
                    <a:solidFill>
                      <a:schemeClr val="tx1">
                        <a:lumMod val="75000"/>
                        <a:lumOff val="25000"/>
                      </a:schemeClr>
                    </a:solidFill>
                    <a:latin typeface="+mn-lt"/>
                    <a:ea typeface="+mn-ea"/>
                    <a:cs typeface="+mn-cs"/>
                  </a:defRPr>
                </a:pPr>
                <a:endParaRPr lang="ja-JP" altLang="en-US"/>
              </a:p>
            </c:txPr>
            <c:dLblPos val="outEnd"/>
            <c:showLegendKey val="0"/>
            <c:showVal val="1"/>
            <c:showCatName val="0"/>
            <c:showSerName val="0"/>
            <c:showPercent val="0"/>
            <c:showBubbleSize val="0"/>
            <c:extLst>
              <c:ext xmlns:c15="http://schemas.microsoft.com/office/drawing/2012/chart" uri="{CE6537A1-D6FC-4f65-9D91-7224C49458BB}">
                <c15:showLeaderLines val="1"/>
                <c15:leaderLines>
                  <c:spPr>
                    <a:noFill/>
                    <a:ln w="9525">
                      <a:solidFill>
                        <a:schemeClr val="tx1">
                          <a:lumMod val="35000"/>
                          <a:lumOff val="65000"/>
                        </a:schemeClr>
                      </a:solidFill>
                    </a:ln>
                    <a:effectLst/>
                  </c:spPr>
                </c15:leaderLines>
              </c:ext>
            </c:extLst>
          </c:dLbls>
          <c:cat>
            <c:strRef>
              <c:f>Sheet3!$C$2:$O$2</c:f>
              <c:strCache>
                <c:ptCount val="13"/>
                <c:pt idx="0">
                  <c:v>～24歳</c:v>
                </c:pt>
                <c:pt idx="1">
                  <c:v>25歳～29歳</c:v>
                </c:pt>
                <c:pt idx="2">
                  <c:v>30歳～34歳</c:v>
                </c:pt>
                <c:pt idx="3">
                  <c:v>35歳～39歳</c:v>
                </c:pt>
                <c:pt idx="4">
                  <c:v>40歳～44歳</c:v>
                </c:pt>
                <c:pt idx="5">
                  <c:v>45歳～49歳</c:v>
                </c:pt>
                <c:pt idx="6">
                  <c:v>50歳～54歳</c:v>
                </c:pt>
                <c:pt idx="7">
                  <c:v>55歳～59歳</c:v>
                </c:pt>
                <c:pt idx="8">
                  <c:v>60歳～64歳</c:v>
                </c:pt>
                <c:pt idx="9">
                  <c:v>65歳～69歳</c:v>
                </c:pt>
                <c:pt idx="10">
                  <c:v>70歳～74歳</c:v>
                </c:pt>
                <c:pt idx="11">
                  <c:v>75歳～79歳</c:v>
                </c:pt>
                <c:pt idx="12">
                  <c:v>80歳以上</c:v>
                </c:pt>
              </c:strCache>
            </c:strRef>
          </c:cat>
          <c:val>
            <c:numRef>
              <c:f>[病院年齢推移.xlsx]Sheet3!$C$8:$O$8</c:f>
              <c:numCache>
                <c:formatCode>General</c:formatCode>
                <c:ptCount val="13"/>
                <c:pt idx="0">
                  <c:v>3</c:v>
                </c:pt>
                <c:pt idx="1">
                  <c:v>139</c:v>
                </c:pt>
                <c:pt idx="2">
                  <c:v>171</c:v>
                </c:pt>
                <c:pt idx="3">
                  <c:v>193</c:v>
                </c:pt>
                <c:pt idx="4">
                  <c:v>215</c:v>
                </c:pt>
                <c:pt idx="5">
                  <c:v>202</c:v>
                </c:pt>
                <c:pt idx="6">
                  <c:v>202</c:v>
                </c:pt>
                <c:pt idx="7">
                  <c:v>144</c:v>
                </c:pt>
                <c:pt idx="8">
                  <c:v>122</c:v>
                </c:pt>
                <c:pt idx="9">
                  <c:v>63</c:v>
                </c:pt>
                <c:pt idx="10">
                  <c:v>41</c:v>
                </c:pt>
                <c:pt idx="11">
                  <c:v>18</c:v>
                </c:pt>
                <c:pt idx="12">
                  <c:v>50</c:v>
                </c:pt>
              </c:numCache>
            </c:numRef>
          </c:val>
        </c:ser>
        <c:ser>
          <c:idx val="6"/>
          <c:order val="6"/>
          <c:tx>
            <c:strRef>
              <c:f>Sheet3!$B$9</c:f>
              <c:strCache>
                <c:ptCount val="1"/>
                <c:pt idx="0">
                  <c:v>H26</c:v>
                </c:pt>
              </c:strCache>
            </c:strRef>
          </c:tx>
          <c:spPr>
            <a:solidFill>
              <a:schemeClr val="accent6">
                <a:lumMod val="80000"/>
                <a:lumOff val="20000"/>
              </a:schemeClr>
            </a:solidFill>
            <a:ln>
              <a:noFill/>
            </a:ln>
            <a:effectLst/>
          </c:spPr>
          <c:invertIfNegative val="0"/>
          <c:dPt>
            <c:idx val="12"/>
            <c:invertIfNegative val="0"/>
            <c:bubble3D val="0"/>
            <c:spPr>
              <a:solidFill>
                <a:schemeClr val="accent6">
                  <a:lumMod val="80000"/>
                  <a:lumOff val="20000"/>
                </a:schemeClr>
              </a:solidFill>
              <a:ln>
                <a:noFill/>
              </a:ln>
              <a:effectLst/>
            </c:spPr>
          </c:dPt>
          <c:dLbls>
            <c:dLbl>
              <c:idx val="12"/>
              <c:layout>
                <c:manualLayout>
                  <c:x val="-4.7542552164257058e-004"/>
                  <c:y val="-6.3266960739855162e-003"/>
                </c:manualLayout>
              </c:layout>
              <c:spPr>
                <a:noFill/>
                <a:ln>
                  <a:noFill/>
                </a:ln>
                <a:effectLst/>
              </c:spPr>
              <c:txPr>
                <a:bodyPr rot="-5400000" spcFirstLastPara="1" vertOverflow="clip" horzOverflow="clip" wrap="square" lIns="38100" tIns="19050" rIns="38100" bIns="19050" anchor="ctr" anchorCtr="1">
                  <a:spAutoFit/>
                </a:bodyPr>
                <a:lstStyle/>
                <a:p>
                  <a:pPr algn="ctr" rtl="0">
                    <a:defRPr kumimoji="0" lang="ja-JP" altLang="en-US" sz="600" kern="1200">
                      <a:solidFill>
                        <a:schemeClr val="tx1">
                          <a:lumMod val="75000"/>
                          <a:lumOff val="25000"/>
                        </a:schemeClr>
                      </a:solidFill>
                      <a:latin typeface="+mn-lt"/>
                      <a:ea typeface="+mn-ea"/>
                      <a:cs typeface="+mn-cs"/>
                    </a:defRPr>
                  </a:pPr>
                  <a:endParaRPr lang="ja-JP" altLang="en-US"/>
                </a:p>
              </c:txPr>
              <c:showLegendKey val="0"/>
              <c:showVal val="1"/>
              <c:showCatName val="0"/>
              <c:showSerName val="0"/>
              <c:showPercent val="0"/>
              <c:showBubbleSize val="0"/>
            </c:dLbl>
            <c:spPr>
              <a:noFill/>
              <a:ln>
                <a:noFill/>
              </a:ln>
              <a:effectLst/>
            </c:spPr>
            <c:txPr>
              <a:bodyPr rot="-5400000" spcFirstLastPara="1" vertOverflow="clip" horzOverflow="clip" wrap="square" lIns="38100" tIns="19050" rIns="38100" bIns="19050" anchor="ctr" anchorCtr="1">
                <a:spAutoFit/>
              </a:bodyPr>
              <a:lstStyle/>
              <a:p>
                <a:pPr algn="ctr" rtl="0">
                  <a:defRPr kumimoji="0" lang="ja-JP" altLang="en-US" sz="600" kern="1200">
                    <a:solidFill>
                      <a:schemeClr val="tx1">
                        <a:lumMod val="75000"/>
                        <a:lumOff val="25000"/>
                      </a:schemeClr>
                    </a:solidFill>
                    <a:latin typeface="+mn-lt"/>
                    <a:ea typeface="+mn-ea"/>
                    <a:cs typeface="+mn-cs"/>
                  </a:defRPr>
                </a:pPr>
                <a:endParaRPr lang="ja-JP" altLang="en-US"/>
              </a:p>
            </c:txPr>
            <c:dLblPos val="outEnd"/>
            <c:showLegendKey val="0"/>
            <c:showVal val="1"/>
            <c:showCatName val="0"/>
            <c:showSerName val="0"/>
            <c:showPercent val="0"/>
            <c:showBubbleSize val="0"/>
            <c:extLst>
              <c:ext xmlns:c15="http://schemas.microsoft.com/office/drawing/2012/chart" uri="{CE6537A1-D6FC-4f65-9D91-7224C49458BB}">
                <c15:showLeaderLines val="1"/>
                <c15:leaderLines>
                  <c:spPr>
                    <a:noFill/>
                    <a:ln w="9525">
                      <a:solidFill>
                        <a:schemeClr val="tx1">
                          <a:lumMod val="35000"/>
                          <a:lumOff val="65000"/>
                        </a:schemeClr>
                      </a:solidFill>
                    </a:ln>
                    <a:effectLst/>
                  </c:spPr>
                </c15:leaderLines>
              </c:ext>
            </c:extLst>
          </c:dLbls>
          <c:cat>
            <c:strRef>
              <c:f>Sheet3!$C$2:$O$2</c:f>
              <c:strCache>
                <c:ptCount val="13"/>
                <c:pt idx="0">
                  <c:v>～24歳</c:v>
                </c:pt>
                <c:pt idx="1">
                  <c:v>25歳～29歳</c:v>
                </c:pt>
                <c:pt idx="2">
                  <c:v>30歳～34歳</c:v>
                </c:pt>
                <c:pt idx="3">
                  <c:v>35歳～39歳</c:v>
                </c:pt>
                <c:pt idx="4">
                  <c:v>40歳～44歳</c:v>
                </c:pt>
                <c:pt idx="5">
                  <c:v>45歳～49歳</c:v>
                </c:pt>
                <c:pt idx="6">
                  <c:v>50歳～54歳</c:v>
                </c:pt>
                <c:pt idx="7">
                  <c:v>55歳～59歳</c:v>
                </c:pt>
                <c:pt idx="8">
                  <c:v>60歳～64歳</c:v>
                </c:pt>
                <c:pt idx="9">
                  <c:v>65歳～69歳</c:v>
                </c:pt>
                <c:pt idx="10">
                  <c:v>70歳～74歳</c:v>
                </c:pt>
                <c:pt idx="11">
                  <c:v>75歳～79歳</c:v>
                </c:pt>
                <c:pt idx="12">
                  <c:v>80歳以上</c:v>
                </c:pt>
              </c:strCache>
            </c:strRef>
          </c:cat>
          <c:val>
            <c:numRef>
              <c:f>[病院年齢推移.xlsx]Sheet3!$C$9:$O$9</c:f>
              <c:numCache>
                <c:formatCode>General</c:formatCode>
                <c:ptCount val="13"/>
                <c:pt idx="0">
                  <c:v>5</c:v>
                </c:pt>
                <c:pt idx="1">
                  <c:v>145</c:v>
                </c:pt>
                <c:pt idx="2">
                  <c:v>168</c:v>
                </c:pt>
                <c:pt idx="3">
                  <c:v>177</c:v>
                </c:pt>
                <c:pt idx="4">
                  <c:v>208</c:v>
                </c:pt>
                <c:pt idx="5">
                  <c:v>225</c:v>
                </c:pt>
                <c:pt idx="6">
                  <c:v>191</c:v>
                </c:pt>
                <c:pt idx="7">
                  <c:v>174</c:v>
                </c:pt>
                <c:pt idx="8">
                  <c:v>112</c:v>
                </c:pt>
                <c:pt idx="9">
                  <c:v>86</c:v>
                </c:pt>
                <c:pt idx="10">
                  <c:v>50</c:v>
                </c:pt>
                <c:pt idx="11">
                  <c:v>19</c:v>
                </c:pt>
                <c:pt idx="12">
                  <c:v>40</c:v>
                </c:pt>
              </c:numCache>
            </c:numRef>
          </c:val>
        </c:ser>
        <c:ser>
          <c:idx val="7"/>
          <c:order val="7"/>
          <c:tx>
            <c:strRef>
              <c:f>Sheet3!$B$10</c:f>
              <c:strCache>
                <c:ptCount val="1"/>
                <c:pt idx="0">
                  <c:v>H28</c:v>
                </c:pt>
              </c:strCache>
            </c:strRef>
          </c:tx>
          <c:spPr>
            <a:solidFill>
              <a:schemeClr val="accent5">
                <a:lumMod val="80000"/>
                <a:lumOff val="20000"/>
              </a:schemeClr>
            </a:solidFill>
            <a:ln>
              <a:noFill/>
            </a:ln>
            <a:effectLst/>
          </c:spPr>
          <c:invertIfNegative val="0"/>
          <c:dLbls>
            <c:spPr>
              <a:noFill/>
              <a:ln>
                <a:noFill/>
              </a:ln>
              <a:effectLst/>
            </c:spPr>
            <c:txPr>
              <a:bodyPr rot="-5400000" spcFirstLastPara="1" vertOverflow="clip" horzOverflow="clip" wrap="square" lIns="38100" tIns="19050" rIns="38100" bIns="19050" anchor="ctr" anchorCtr="1">
                <a:spAutoFit/>
              </a:bodyPr>
              <a:lstStyle/>
              <a:p>
                <a:pPr algn="ctr" rtl="0">
                  <a:defRPr kumimoji="0" lang="ja-JP" altLang="en-US" sz="600" kern="1200">
                    <a:solidFill>
                      <a:schemeClr val="tx1">
                        <a:lumMod val="75000"/>
                        <a:lumOff val="25000"/>
                      </a:schemeClr>
                    </a:solidFill>
                    <a:latin typeface="+mn-lt"/>
                    <a:ea typeface="+mn-ea"/>
                    <a:cs typeface="+mn-cs"/>
                  </a:defRPr>
                </a:pPr>
                <a:endParaRPr lang="ja-JP" altLang="en-US"/>
              </a:p>
            </c:txPr>
            <c:dLblPos val="outEnd"/>
            <c:showLegendKey val="0"/>
            <c:showVal val="1"/>
            <c:showCatName val="0"/>
            <c:showSerName val="0"/>
            <c:showPercent val="0"/>
            <c:showBubbleSize val="0"/>
            <c:extLst>
              <c:ext xmlns:c15="http://schemas.microsoft.com/office/drawing/2012/chart" uri="{CE6537A1-D6FC-4f65-9D91-7224C49458BB}">
                <c15:showLeaderLines val="1"/>
                <c15:leaderLines>
                  <c:spPr>
                    <a:noFill/>
                    <a:ln w="9525">
                      <a:solidFill>
                        <a:schemeClr val="tx1">
                          <a:lumMod val="35000"/>
                          <a:lumOff val="65000"/>
                        </a:schemeClr>
                      </a:solidFill>
                    </a:ln>
                    <a:effectLst/>
                  </c:spPr>
                </c15:leaderLines>
              </c:ext>
            </c:extLst>
          </c:dLbls>
          <c:cat>
            <c:strRef>
              <c:f>Sheet3!$C$2:$O$2</c:f>
              <c:strCache>
                <c:ptCount val="13"/>
                <c:pt idx="0">
                  <c:v>～24歳</c:v>
                </c:pt>
                <c:pt idx="1">
                  <c:v>25歳～29歳</c:v>
                </c:pt>
                <c:pt idx="2">
                  <c:v>30歳～34歳</c:v>
                </c:pt>
                <c:pt idx="3">
                  <c:v>35歳～39歳</c:v>
                </c:pt>
                <c:pt idx="4">
                  <c:v>40歳～44歳</c:v>
                </c:pt>
                <c:pt idx="5">
                  <c:v>45歳～49歳</c:v>
                </c:pt>
                <c:pt idx="6">
                  <c:v>50歳～54歳</c:v>
                </c:pt>
                <c:pt idx="7">
                  <c:v>55歳～59歳</c:v>
                </c:pt>
                <c:pt idx="8">
                  <c:v>60歳～64歳</c:v>
                </c:pt>
                <c:pt idx="9">
                  <c:v>65歳～69歳</c:v>
                </c:pt>
                <c:pt idx="10">
                  <c:v>70歳～74歳</c:v>
                </c:pt>
                <c:pt idx="11">
                  <c:v>75歳～79歳</c:v>
                </c:pt>
                <c:pt idx="12">
                  <c:v>80歳以上</c:v>
                </c:pt>
              </c:strCache>
            </c:strRef>
          </c:cat>
          <c:val>
            <c:numRef>
              <c:f>[病院年齢推移.xlsx]Sheet3!$C$10:$O$10</c:f>
              <c:numCache>
                <c:formatCode>General</c:formatCode>
                <c:ptCount val="13"/>
                <c:pt idx="0">
                  <c:v>3</c:v>
                </c:pt>
                <c:pt idx="1">
                  <c:v>187</c:v>
                </c:pt>
                <c:pt idx="2">
                  <c:v>180</c:v>
                </c:pt>
                <c:pt idx="3">
                  <c:v>166</c:v>
                </c:pt>
                <c:pt idx="4">
                  <c:v>203</c:v>
                </c:pt>
                <c:pt idx="5">
                  <c:v>200</c:v>
                </c:pt>
                <c:pt idx="6">
                  <c:v>197</c:v>
                </c:pt>
                <c:pt idx="7">
                  <c:v>203</c:v>
                </c:pt>
                <c:pt idx="8">
                  <c:v>108</c:v>
                </c:pt>
                <c:pt idx="9">
                  <c:v>102</c:v>
                </c:pt>
                <c:pt idx="10">
                  <c:v>50</c:v>
                </c:pt>
                <c:pt idx="11">
                  <c:v>33</c:v>
                </c:pt>
                <c:pt idx="12">
                  <c:v>38</c:v>
                </c:pt>
              </c:numCache>
            </c:numRef>
          </c:val>
        </c:ser>
        <c:ser>
          <c:idx val="8"/>
          <c:order val="8"/>
          <c:tx>
            <c:strRef>
              <c:f>Sheet3!$B$11</c:f>
              <c:strCache>
                <c:ptCount val="1"/>
                <c:pt idx="0">
                  <c:v>H30</c:v>
                </c:pt>
              </c:strCache>
            </c:strRef>
          </c:tx>
          <c:spPr>
            <a:solidFill>
              <a:schemeClr val="accent4">
                <a:lumMod val="80000"/>
                <a:lumOff val="20000"/>
              </a:schemeClr>
            </a:solidFill>
            <a:ln>
              <a:noFill/>
            </a:ln>
            <a:effectLst/>
          </c:spPr>
          <c:invertIfNegative val="0"/>
          <c:dLbls>
            <c:spPr>
              <a:noFill/>
              <a:ln>
                <a:noFill/>
              </a:ln>
              <a:effectLst/>
            </c:spPr>
            <c:txPr>
              <a:bodyPr rot="-5400000" spcFirstLastPara="1" vertOverflow="clip" horzOverflow="clip" wrap="square" lIns="38100" tIns="19050" rIns="38100" bIns="19050" anchor="ctr" anchorCtr="1">
                <a:spAutoFit/>
              </a:bodyPr>
              <a:lstStyle/>
              <a:p>
                <a:pPr algn="ctr" rtl="0">
                  <a:defRPr kumimoji="0" lang="ja-JP" altLang="en-US" sz="600" kern="1200">
                    <a:solidFill>
                      <a:schemeClr val="tx1">
                        <a:lumMod val="75000"/>
                        <a:lumOff val="25000"/>
                      </a:schemeClr>
                    </a:solidFill>
                    <a:latin typeface="+mn-lt"/>
                    <a:ea typeface="+mn-ea"/>
                    <a:cs typeface="+mn-cs"/>
                  </a:defRPr>
                </a:pPr>
                <a:endParaRPr lang="ja-JP" altLang="en-US"/>
              </a:p>
            </c:txPr>
            <c:dLblPos val="outEnd"/>
            <c:showLegendKey val="0"/>
            <c:showVal val="1"/>
            <c:showCatName val="0"/>
            <c:showSerName val="0"/>
            <c:showPercent val="0"/>
            <c:showBubbleSize val="0"/>
            <c:extLst>
              <c:ext xmlns:c15="http://schemas.microsoft.com/office/drawing/2012/chart" uri="{CE6537A1-D6FC-4f65-9D91-7224C49458BB}">
                <c15:showLeaderLines val="1"/>
                <c15:leaderLines>
                  <c:spPr>
                    <a:noFill/>
                    <a:ln w="9525">
                      <a:solidFill>
                        <a:schemeClr val="tx1">
                          <a:lumMod val="35000"/>
                          <a:lumOff val="65000"/>
                        </a:schemeClr>
                      </a:solidFill>
                    </a:ln>
                    <a:effectLst/>
                  </c:spPr>
                </c15:leaderLines>
              </c:ext>
            </c:extLst>
          </c:dLbls>
          <c:cat>
            <c:strRef>
              <c:f>Sheet3!$C$2:$O$2</c:f>
              <c:strCache>
                <c:ptCount val="13"/>
                <c:pt idx="0">
                  <c:v>～24歳</c:v>
                </c:pt>
                <c:pt idx="1">
                  <c:v>25歳～29歳</c:v>
                </c:pt>
                <c:pt idx="2">
                  <c:v>30歳～34歳</c:v>
                </c:pt>
                <c:pt idx="3">
                  <c:v>35歳～39歳</c:v>
                </c:pt>
                <c:pt idx="4">
                  <c:v>40歳～44歳</c:v>
                </c:pt>
                <c:pt idx="5">
                  <c:v>45歳～49歳</c:v>
                </c:pt>
                <c:pt idx="6">
                  <c:v>50歳～54歳</c:v>
                </c:pt>
                <c:pt idx="7">
                  <c:v>55歳～59歳</c:v>
                </c:pt>
                <c:pt idx="8">
                  <c:v>60歳～64歳</c:v>
                </c:pt>
                <c:pt idx="9">
                  <c:v>65歳～69歳</c:v>
                </c:pt>
                <c:pt idx="10">
                  <c:v>70歳～74歳</c:v>
                </c:pt>
                <c:pt idx="11">
                  <c:v>75歳～79歳</c:v>
                </c:pt>
                <c:pt idx="12">
                  <c:v>80歳以上</c:v>
                </c:pt>
              </c:strCache>
            </c:strRef>
          </c:cat>
          <c:val>
            <c:numRef>
              <c:f>[病院年齢推移.xlsx]Sheet3!$C$11:$O$11</c:f>
              <c:numCache>
                <c:formatCode>General</c:formatCode>
                <c:ptCount val="13"/>
                <c:pt idx="0">
                  <c:v>2</c:v>
                </c:pt>
                <c:pt idx="1">
                  <c:v>198</c:v>
                </c:pt>
                <c:pt idx="2">
                  <c:v>189</c:v>
                </c:pt>
                <c:pt idx="3">
                  <c:v>163</c:v>
                </c:pt>
                <c:pt idx="4">
                  <c:v>179</c:v>
                </c:pt>
                <c:pt idx="5">
                  <c:v>191</c:v>
                </c:pt>
                <c:pt idx="6">
                  <c:v>203</c:v>
                </c:pt>
                <c:pt idx="7">
                  <c:v>197</c:v>
                </c:pt>
                <c:pt idx="8">
                  <c:v>152</c:v>
                </c:pt>
                <c:pt idx="9">
                  <c:v>97</c:v>
                </c:pt>
                <c:pt idx="10">
                  <c:v>67</c:v>
                </c:pt>
                <c:pt idx="11">
                  <c:v>38</c:v>
                </c:pt>
                <c:pt idx="12">
                  <c:v>39</c:v>
                </c:pt>
              </c:numCache>
            </c:numRef>
          </c:val>
        </c:ser>
        <c:dLbls>
          <c:spPr>
            <a:noFill/>
            <a:ln>
              <a:noFill/>
            </a:ln>
            <a:effectLst/>
          </c:spPr>
          <c:txPr>
            <a:bodyPr rot="-5400000" spcFirstLastPara="1" vertOverflow="clip" horzOverflow="clip" wrap="square" lIns="38100" tIns="19050" rIns="38100" bIns="19050"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sz="900" kern="1200">
                <a:solidFill>
                  <a:schemeClr val="tx1">
                    <a:lumMod val="75000"/>
                    <a:lumOff val="25000"/>
                  </a:schemeClr>
                </a:solidFill>
                <a:latin typeface="+mn-lt"/>
                <a:ea typeface="+mn-ea"/>
                <a:cs typeface="+mn-cs"/>
              </a:endParaRPr>
            </a:p>
          </c:txPr>
          <c:showLegendKey val="0"/>
          <c:showVal val="0"/>
          <c:showCatName val="0"/>
          <c:showSerName val="0"/>
          <c:showPercent val="0"/>
          <c:showBubbleSize val="0"/>
        </c:dLbls>
        <c:gapWidth val="150"/>
        <c:overlap val="0"/>
        <c:axId val="1"/>
        <c:axId val="2"/>
      </c:barChart>
      <c:catAx>
        <c:axId val="1"/>
        <c:scaling>
          <c:orientation val="minMax"/>
        </c:scaling>
        <c:delete val="0"/>
        <c:axPos val="b"/>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kumimoji="0" lang="ja-JP" altLang="en-US" sz="800" b="0" kern="1200" cap="none" spc="0" normalizeH="0" baseline="0">
                <a:solidFill>
                  <a:schemeClr val="tx1">
                    <a:lumMod val="65000"/>
                    <a:lumOff val="35000"/>
                  </a:schemeClr>
                </a:solidFill>
                <a:latin typeface="+mn-lt"/>
                <a:ea typeface="+mn-ea"/>
                <a:cs typeface="+mn-cs"/>
              </a:defRPr>
            </a:pPr>
            <a:endParaRPr lang="ja-JP" altLang="en-US"/>
          </a:p>
        </c:txPr>
        <c:crossAx val="2"/>
        <c:crosses val="autoZero"/>
        <c:auto val="1"/>
        <c:lblAlgn val="ctr"/>
        <c:lblOffset val="100"/>
        <c:noMultiLvlLbl val="0"/>
      </c:catAx>
      <c:valAx>
        <c:axId val="2"/>
        <c:scaling>
          <c:orientation val="minMax"/>
        </c:scaling>
        <c:delete val="0"/>
        <c:axPos val="l"/>
        <c:majorGridlines>
          <c:spPr>
            <a:noFill/>
            <a:ln w="9525" cap="flat" cmpd="sng" algn="ctr">
              <a:solidFill>
                <a:schemeClr val="tx1">
                  <a:lumMod val="15000"/>
                  <a:lumOff val="85000"/>
                </a:schemeClr>
              </a:solidFill>
              <a:round/>
            </a:ln>
            <a:effectLst/>
          </c:spPr>
        </c:majorGridlines>
        <c:numFmt formatCode="General" sourceLinked="1"/>
        <c:majorTickMark val="in"/>
        <c:minorTickMark val="none"/>
        <c:tickLblPos val="nextTo"/>
        <c:spPr>
          <a:noFill/>
          <a:ln>
            <a:noFill/>
          </a:ln>
          <a:effectLst/>
        </c:spPr>
        <c:txPr>
          <a:bodyPr rot="-60000000" spcFirstLastPara="1" vertOverflow="ellipsis" horzOverflow="overflow" wrap="square" anchor="ctr" anchorCtr="1"/>
          <a:lstStyle/>
          <a:p>
            <a:pPr algn="ctr" rtl="0">
              <a:defRPr lang="ja-JP" altLang="en-US" sz="900" kern="1200">
                <a:solidFill>
                  <a:schemeClr val="tx1">
                    <a:lumMod val="65000"/>
                    <a:lumOff val="35000"/>
                  </a:schemeClr>
                </a:solidFill>
                <a:latin typeface="+mn-lt"/>
                <a:ea typeface="+mn-ea"/>
                <a:cs typeface="+mn-cs"/>
              </a:defRPr>
            </a:pPr>
            <a:endParaRPr lang="ja-JP" altLang="en-US" sz="900" kern="1200">
              <a:solidFill>
                <a:schemeClr val="tx1">
                  <a:lumMod val="65000"/>
                  <a:lumOff val="35000"/>
                </a:schemeClr>
              </a:solidFill>
              <a:latin typeface="+mn-lt"/>
              <a:ea typeface="+mn-ea"/>
              <a:cs typeface="+mn-cs"/>
            </a:endParaRPr>
          </a:p>
        </c:txPr>
        <c:crossAx val="1"/>
        <c:crosses val="autoZero"/>
        <c:crossBetween val="between"/>
      </c:valAx>
      <c:spPr>
        <a:noFill/>
        <a:ln>
          <a:noFill/>
        </a:ln>
        <a:effectLst/>
      </c:spPr>
    </c:plotArea>
    <c:legend>
      <c:legendPos val="r"/>
      <c:layout>
        <c:manualLayout>
          <c:xMode val="edge"/>
          <c:yMode val="edge"/>
          <c:x val="0.92642140468227441"/>
          <c:y val="0.30104712041884818"/>
          <c:w val="6.8561872909698993e-002"/>
          <c:h val="0.47905759162303663"/>
        </c:manualLayout>
      </c:layout>
      <c:overlay val="0"/>
      <c:spPr>
        <a:noFill/>
        <a:ln>
          <a:noFill/>
        </a:ln>
        <a:effectLst/>
      </c:spPr>
      <c:txPr>
        <a:bodyPr rot="0" spcFirstLastPara="1" vertOverflow="ellipsis" horzOverflow="overflow" wrap="square" anchor="ctr" anchorCtr="1"/>
        <a:lstStyle/>
        <a:p>
          <a:pPr algn="l" rtl="0">
            <a:defRPr kumimoji="0" lang="ja-JP" altLang="en-US" sz="800" kern="1200">
              <a:solidFill>
                <a:schemeClr val="tx1">
                  <a:lumMod val="65000"/>
                  <a:lumOff val="35000"/>
                </a:schemeClr>
              </a:solidFill>
              <a:latin typeface="+mn-lt"/>
              <a:ea typeface="+mn-ea"/>
              <a:cs typeface="+mn-cs"/>
            </a:defRPr>
          </a:pPr>
          <a:endParaRPr lang="ja-JP" alt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vertOverflow="overflow" horzOverflow="overflow" anchor="ctr" anchorCtr="1"/>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5.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horzOverflow="overflow" wrap="square" anchor="t" anchorCtr="1"/>
          <a:lstStyle/>
          <a:p>
            <a:pPr algn="ctr" rtl="0">
              <a:defRPr kumimoji="0" lang="ja-JP" altLang="en-US" sz="1200" b="0" i="0" u="none" strike="noStrike" kern="1200" spc="0" baseline="0">
                <a:solidFill>
                  <a:schemeClr val="tx1"/>
                </a:solidFill>
                <a:latin typeface="+mn-lt"/>
                <a:ea typeface="+mn-ea"/>
                <a:cs typeface="+mn-cs"/>
              </a:defRPr>
            </a:pPr>
            <a:r>
              <a:rPr kumimoji="0" lang="ja-JP" altLang="en-US" sz="1200" b="0" i="0" u="none" strike="noStrike" kern="1200" spc="0" baseline="0">
                <a:solidFill>
                  <a:schemeClr val="tx1"/>
                </a:solidFill>
                <a:latin typeface="+mn-lt"/>
                <a:ea typeface="+mn-ea"/>
                <a:cs typeface="+mn-cs"/>
              </a:rPr>
              <a:t>一般診療所</a:t>
            </a:r>
            <a:r>
              <a:rPr kumimoji="0" lang="ja-JP" altLang="en-US" sz="1200" b="0" i="0" u="none" strike="noStrike" kern="1200" spc="0" baseline="0">
                <a:solidFill>
                  <a:schemeClr val="tx1"/>
                </a:solidFill>
                <a:latin typeface="+mn-lt"/>
                <a:ea typeface="+mn-ea"/>
                <a:cs typeface="+mn-cs"/>
              </a:rPr>
              <a:t>に勤務する医師数の推移</a:t>
            </a:r>
            <a:endParaRPr kumimoji="0" lang="ja-JP" altLang="en-US" sz="1200" b="0" i="0" u="none" strike="noStrike" kern="1200" spc="0" baseline="0">
              <a:solidFill>
                <a:schemeClr val="tx1"/>
              </a:solidFill>
              <a:latin typeface="+mn-lt"/>
              <a:ea typeface="+mn-ea"/>
              <a:cs typeface="+mn-cs"/>
            </a:endParaRPr>
          </a:p>
        </c:rich>
      </c:tx>
      <c:layout/>
      <c:overlay val="0"/>
      <c:spPr>
        <a:noFill/>
        <a:ln>
          <a:noFill/>
        </a:ln>
        <a:effectLst/>
      </c:spPr>
    </c:title>
    <c:autoTitleDeleted val="0"/>
    <c:plotArea>
      <c:layout/>
      <c:barChart>
        <c:barDir val="col"/>
        <c:grouping val="clustered"/>
        <c:varyColors val="0"/>
        <c:ser>
          <c:idx val="1"/>
          <c:order val="1"/>
          <c:tx>
            <c:strRef>
              <c:f>'[0]●診療所医師数　平均年齢の推移'!$C$7</c:f>
              <c:strCache>
                <c:ptCount val="1"/>
                <c:pt idx="0">
                  <c:v>うち男</c:v>
                </c:pt>
              </c:strCache>
            </c:strRef>
          </c:tx>
          <c:spPr>
            <a:solidFill>
              <a:srgbClr val="FFC000"/>
            </a:solidFill>
            <a:ln>
              <a:noFill/>
            </a:ln>
            <a:effectLst/>
          </c:spPr>
          <c:invertIfNegative val="0"/>
          <c:dPt>
            <c:idx val="1"/>
            <c:invertIfNegative val="0"/>
            <c:bubble3D val="0"/>
            <c:spPr>
              <a:solidFill>
                <a:srgbClr val="FFC000"/>
              </a:solidFill>
              <a:ln>
                <a:noFill/>
              </a:ln>
              <a:effectLst/>
            </c:spPr>
          </c:dPt>
          <c:dLbls>
            <c:dLbl>
              <c:idx val="1"/>
              <c:layout/>
              <c:numFmt formatCode="#,##0_ " sourceLinked="0"/>
              <c:spPr>
                <a:noFill/>
                <a:ln>
                  <a:noFill/>
                </a:ln>
                <a:effectLst/>
              </c:spPr>
              <c:txPr>
                <a:bodyPr rot="0" spcFirstLastPara="1" vertOverflow="ellipsis" horzOverflow="overflow" wrap="square" anchor="ctr" anchorCtr="1">
                  <a:spAutoFit/>
                </a:bodyPr>
                <a:lstStyle/>
                <a:p>
                  <a:pPr algn="ctr" rtl="0">
                    <a:defRPr kumimoji="0" lang="ja-JP" altLang="en-US" sz="900" kern="1200">
                      <a:solidFill>
                        <a:schemeClr val="tx1"/>
                      </a:solidFill>
                      <a:latin typeface="+mn-lt"/>
                      <a:ea typeface="+mn-ea"/>
                      <a:cs typeface="+mn-cs"/>
                    </a:defRPr>
                  </a:pPr>
                  <a:endParaRPr lang="ja-JP" altLang="en-US">
                    <a:solidFill>
                      <a:schemeClr val="tx1"/>
                    </a:solidFill>
                  </a:endParaRPr>
                </a:p>
              </c:txPr>
              <c:dLblPos val="inEnd"/>
              <c:showLegendKey val="0"/>
              <c:showVal val="1"/>
              <c:showCatName val="0"/>
              <c:showSerName val="0"/>
              <c:showPercent val="0"/>
              <c:showBubbleSize val="0"/>
            </c:dLbl>
            <c:numFmt formatCode="#,##0_ " sourceLinked="0"/>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solidFill>
                    <a:latin typeface="+mn-lt"/>
                    <a:ea typeface="+mn-ea"/>
                    <a:cs typeface="+mn-cs"/>
                  </a:defRPr>
                </a:pPr>
                <a:endParaRPr lang="ja-JP" altLang="en-US"/>
              </a:p>
            </c:txPr>
            <c:dLblPos val="inEnd"/>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'[0]●診療所医師数　平均年齢の推移'!$D$5:$L$5</c:f>
              <c:strCache>
                <c:ptCount val="9"/>
                <c:pt idx="0">
                  <c:v>H14</c:v>
                </c:pt>
                <c:pt idx="1">
                  <c:v>H16</c:v>
                </c:pt>
                <c:pt idx="2">
                  <c:v>H18</c:v>
                </c:pt>
                <c:pt idx="3">
                  <c:v>H20</c:v>
                </c:pt>
                <c:pt idx="4">
                  <c:v>H22</c:v>
                </c:pt>
                <c:pt idx="5">
                  <c:v>H24</c:v>
                </c:pt>
                <c:pt idx="6">
                  <c:v>H26</c:v>
                </c:pt>
                <c:pt idx="7">
                  <c:v>H28</c:v>
                </c:pt>
                <c:pt idx="8">
                  <c:v>H30</c:v>
                </c:pt>
              </c:strCache>
            </c:strRef>
          </c:cat>
          <c:val>
            <c:numRef>
              <c:f>'[診療所の状況.xlsx]●診療所医師数　平均年齢の推移'!$D$7:$L$7</c:f>
              <c:numCache>
                <c:formatCode>General</c:formatCode>
                <c:ptCount val="9"/>
                <c:pt idx="0">
                  <c:v>475</c:v>
                </c:pt>
                <c:pt idx="1">
                  <c:v>490</c:v>
                </c:pt>
                <c:pt idx="2">
                  <c:v>484</c:v>
                </c:pt>
                <c:pt idx="3">
                  <c:v>472</c:v>
                </c:pt>
                <c:pt idx="4">
                  <c:v>477</c:v>
                </c:pt>
                <c:pt idx="5">
                  <c:v>477</c:v>
                </c:pt>
                <c:pt idx="6">
                  <c:v>468</c:v>
                </c:pt>
                <c:pt idx="7">
                  <c:v>446</c:v>
                </c:pt>
                <c:pt idx="8">
                  <c:v>424</c:v>
                </c:pt>
              </c:numCache>
            </c:numRef>
          </c:val>
        </c:ser>
        <c:ser>
          <c:idx val="2"/>
          <c:order val="2"/>
          <c:tx>
            <c:strRef>
              <c:f>'[0]●診療所医師数　平均年齢の推移'!$C$8</c:f>
              <c:strCache>
                <c:ptCount val="1"/>
                <c:pt idx="0">
                  <c:v>うち女</c:v>
                </c:pt>
              </c:strCache>
            </c:strRef>
          </c:tx>
          <c:spPr>
            <a:solidFill>
              <a:srgbClr val="E78B8B"/>
            </a:solidFill>
            <a:ln>
              <a:noFill/>
            </a:ln>
            <a:effectLst/>
          </c:spPr>
          <c:invertIfNegative val="0"/>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solidFill>
                    <a:latin typeface="+mn-lt"/>
                    <a:ea typeface="+mn-ea"/>
                    <a:cs typeface="+mn-cs"/>
                  </a:defRPr>
                </a:pPr>
                <a:endParaRPr lang="ja-JP" altLang="en-US"/>
              </a:p>
            </c:txPr>
            <c:dLblPos val="outEnd"/>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'[0]●診療所医師数　平均年齢の推移'!$D$5:$L$5</c:f>
              <c:strCache>
                <c:ptCount val="9"/>
                <c:pt idx="0">
                  <c:v>H14</c:v>
                </c:pt>
                <c:pt idx="1">
                  <c:v>H16</c:v>
                </c:pt>
                <c:pt idx="2">
                  <c:v>H18</c:v>
                </c:pt>
                <c:pt idx="3">
                  <c:v>H20</c:v>
                </c:pt>
                <c:pt idx="4">
                  <c:v>H22</c:v>
                </c:pt>
                <c:pt idx="5">
                  <c:v>H24</c:v>
                </c:pt>
                <c:pt idx="6">
                  <c:v>H26</c:v>
                </c:pt>
                <c:pt idx="7">
                  <c:v>H28</c:v>
                </c:pt>
                <c:pt idx="8">
                  <c:v>H30</c:v>
                </c:pt>
              </c:strCache>
            </c:strRef>
          </c:cat>
          <c:val>
            <c:numRef>
              <c:f>'[診療所の状況.xlsx]●診療所医師数　平均年齢の推移'!$D$8:$L$8</c:f>
              <c:numCache>
                <c:formatCode>General</c:formatCode>
                <c:ptCount val="9"/>
                <c:pt idx="0">
                  <c:v>73</c:v>
                </c:pt>
                <c:pt idx="1">
                  <c:v>76</c:v>
                </c:pt>
                <c:pt idx="2">
                  <c:v>76</c:v>
                </c:pt>
                <c:pt idx="3">
                  <c:v>88</c:v>
                </c:pt>
                <c:pt idx="4">
                  <c:v>86</c:v>
                </c:pt>
                <c:pt idx="5">
                  <c:v>96</c:v>
                </c:pt>
                <c:pt idx="6">
                  <c:v>94</c:v>
                </c:pt>
                <c:pt idx="7">
                  <c:v>90</c:v>
                </c:pt>
                <c:pt idx="8">
                  <c:v>98</c:v>
                </c:pt>
              </c:numCache>
            </c:numRef>
          </c:val>
        </c:s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sz="900" kern="1200">
                <a:solidFill>
                  <a:schemeClr val="tx1">
                    <a:lumMod val="75000"/>
                    <a:lumOff val="25000"/>
                  </a:schemeClr>
                </a:solidFill>
                <a:latin typeface="+mn-lt"/>
                <a:ea typeface="+mn-ea"/>
                <a:cs typeface="+mn-cs"/>
              </a:endParaRPr>
            </a:p>
          </c:txPr>
          <c:showLegendKey val="0"/>
          <c:showVal val="0"/>
          <c:showCatName val="0"/>
          <c:showSerName val="0"/>
          <c:showPercent val="0"/>
          <c:showBubbleSize val="0"/>
        </c:dLbls>
        <c:gapWidth val="150"/>
        <c:overlap val="0"/>
        <c:axId val="1"/>
        <c:axId val="2"/>
      </c:barChart>
      <c:lineChart>
        <c:grouping val="standard"/>
        <c:varyColors val="0"/>
        <c:ser>
          <c:idx val="0"/>
          <c:order val="0"/>
          <c:tx>
            <c:strRef>
              <c:f>'[0]●診療所医師数　平均年齢の推移'!$C$6</c:f>
              <c:strCache>
                <c:ptCount val="1"/>
                <c:pt idx="0">
                  <c:v>医師数</c:v>
                </c:pt>
              </c:strCache>
            </c:strRef>
          </c:tx>
          <c:spPr>
            <a:noFill/>
            <a:ln w="28575" cap="rnd">
              <a:solidFill>
                <a:schemeClr val="accent1"/>
              </a:solidFill>
              <a:round/>
            </a:ln>
            <a:effectLst/>
          </c:spPr>
          <c:marker>
            <c:symbol val="circle"/>
            <c:size val="5"/>
            <c:spPr>
              <a:solidFill>
                <a:schemeClr val="accent1"/>
              </a:solidFill>
              <a:ln w="9525">
                <a:solidFill>
                  <a:schemeClr val="accent1"/>
                </a:solidFill>
              </a:ln>
              <a:effectLst/>
            </c:spPr>
          </c:marker>
          <c:dLbls>
            <c:numFmt formatCode="#,##0_ " sourceLinked="0"/>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solidFill>
                    <a:latin typeface="+mn-lt"/>
                    <a:ea typeface="+mn-ea"/>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'[0]●診療所医師数　平均年齢の推移'!$D$5:$L$5</c:f>
              <c:strCache>
                <c:ptCount val="9"/>
                <c:pt idx="0">
                  <c:v>H14</c:v>
                </c:pt>
                <c:pt idx="1">
                  <c:v>H16</c:v>
                </c:pt>
                <c:pt idx="2">
                  <c:v>H18</c:v>
                </c:pt>
                <c:pt idx="3">
                  <c:v>H20</c:v>
                </c:pt>
                <c:pt idx="4">
                  <c:v>H22</c:v>
                </c:pt>
                <c:pt idx="5">
                  <c:v>H24</c:v>
                </c:pt>
                <c:pt idx="6">
                  <c:v>H26</c:v>
                </c:pt>
                <c:pt idx="7">
                  <c:v>H28</c:v>
                </c:pt>
                <c:pt idx="8">
                  <c:v>H30</c:v>
                </c:pt>
              </c:strCache>
            </c:strRef>
          </c:cat>
          <c:val>
            <c:numRef>
              <c:f>'[診療所の状況.xlsx]●診療所医師数　平均年齢の推移'!$D$6:$L$6</c:f>
              <c:numCache>
                <c:formatCode>General</c:formatCode>
                <c:ptCount val="9"/>
                <c:pt idx="0">
                  <c:v>548</c:v>
                </c:pt>
                <c:pt idx="1">
                  <c:v>566</c:v>
                </c:pt>
                <c:pt idx="2">
                  <c:v>560</c:v>
                </c:pt>
                <c:pt idx="3">
                  <c:v>560</c:v>
                </c:pt>
                <c:pt idx="4">
                  <c:v>563</c:v>
                </c:pt>
                <c:pt idx="5">
                  <c:v>573</c:v>
                </c:pt>
                <c:pt idx="6">
                  <c:v>562</c:v>
                </c:pt>
                <c:pt idx="7">
                  <c:v>536</c:v>
                </c:pt>
                <c:pt idx="8">
                  <c:v>522</c:v>
                </c:pt>
              </c:numCache>
            </c:numRef>
          </c:val>
          <c:smooth val="0"/>
        </c:s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sz="900" kern="1200">
                <a:solidFill>
                  <a:schemeClr val="tx1">
                    <a:lumMod val="75000"/>
                    <a:lumOff val="25000"/>
                  </a:schemeClr>
                </a:solidFill>
                <a:latin typeface="+mn-lt"/>
                <a:ea typeface="+mn-ea"/>
                <a:cs typeface="+mn-cs"/>
              </a:endParaRPr>
            </a:p>
          </c:txPr>
          <c:showLegendKey val="0"/>
          <c:showVal val="0"/>
          <c:showCatName val="0"/>
          <c:showSerName val="0"/>
          <c:showPercent val="0"/>
          <c:showBubbleSize val="0"/>
        </c:dLbls>
        <c:marker val="1"/>
        <c:smooth val="0"/>
        <c:axId val="1"/>
        <c:axId val="2"/>
      </c:lineChart>
      <c:catAx>
        <c:axId val="1"/>
        <c:scaling>
          <c:orientation val="minMax"/>
        </c:scaling>
        <c:delete val="0"/>
        <c:axPos val="b"/>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kumimoji="0" lang="ja-JP" altLang="en-US" sz="900" kern="1200">
                <a:solidFill>
                  <a:schemeClr val="tx1"/>
                </a:solidFill>
                <a:latin typeface="+mn-lt"/>
                <a:ea typeface="+mn-ea"/>
                <a:cs typeface="+mn-cs"/>
              </a:defRPr>
            </a:pPr>
            <a:endParaRPr lang="ja-JP" altLang="en-US"/>
          </a:p>
        </c:txPr>
        <c:crossAx val="2"/>
        <c:crosses val="autoZero"/>
        <c:auto val="1"/>
        <c:lblAlgn val="ctr"/>
        <c:lblOffset val="100"/>
        <c:noMultiLvlLbl val="0"/>
      </c:catAx>
      <c:valAx>
        <c:axId val="2"/>
        <c:scaling>
          <c:orientation val="minMax"/>
        </c:scaling>
        <c:delete val="0"/>
        <c:axPos val="l"/>
        <c:majorGridlines>
          <c:spPr>
            <a:noFill/>
            <a:ln w="9525" cap="flat" cmpd="sng" algn="ctr">
              <a:solidFill>
                <a:schemeClr val="tx1">
                  <a:lumMod val="15000"/>
                  <a:lumOff val="85000"/>
                </a:schemeClr>
              </a:solidFill>
              <a:round/>
            </a:ln>
            <a:effectLst/>
          </c:spPr>
        </c:majorGridlines>
        <c:numFmt formatCode="#,##0_ " sourceLinked="0"/>
        <c:majorTickMark val="in"/>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900" kern="1200">
                <a:solidFill>
                  <a:schemeClr val="tx1"/>
                </a:solidFill>
                <a:latin typeface="+mn-lt"/>
                <a:ea typeface="+mn-ea"/>
                <a:cs typeface="+mn-cs"/>
              </a:defRPr>
            </a:pPr>
            <a:endParaRPr lang="ja-JP" altLang="en-US"/>
          </a:p>
        </c:txPr>
        <c:crossAx val="1"/>
        <c:crosses val="autoZero"/>
        <c:crossBetween val="between"/>
      </c:valAx>
      <c:spPr>
        <a:noFill/>
        <a:ln>
          <a:noFill/>
        </a:ln>
        <a:effectLst/>
      </c:spPr>
    </c:plotArea>
    <c:legend>
      <c:legendPos val="r"/>
      <c:layout/>
      <c:overlay val="0"/>
      <c:spPr>
        <a:noFill/>
        <a:ln>
          <a:noFill/>
        </a:ln>
        <a:effectLst/>
      </c:spPr>
      <c:txPr>
        <a:bodyPr rot="0" spcFirstLastPara="1" vertOverflow="ellipsis" horzOverflow="overflow" wrap="square" anchor="ctr" anchorCtr="1"/>
        <a:lstStyle/>
        <a:p>
          <a:pPr algn="l" rtl="0">
            <a:defRPr kumimoji="0" lang="ja-JP" altLang="en-US" sz="900" kern="1200">
              <a:solidFill>
                <a:schemeClr val="tx1"/>
              </a:solidFill>
              <a:latin typeface="+mn-lt"/>
              <a:ea typeface="+mn-ea"/>
              <a:cs typeface="+mn-cs"/>
            </a:defRPr>
          </a:pPr>
          <a:endParaRPr lang="ja-JP" alt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vertOverflow="overflow" horzOverflow="overflow" anchor="ctr" anchorCtr="1"/>
    <a:lstStyle/>
    <a:p>
      <a:pPr algn="ctr" rtl="0">
        <a:defRPr lang="ja-JP" altLang="en-US"/>
      </a:pPr>
      <a:endParaRPr lang="ja-JP" altLang="en-US"/>
    </a:p>
  </c:txPr>
  <c:externalData r:id="rId1">
    <c:autoUpdate val="0"/>
  </c:externalData>
  <c:extLst>
    <c:ext xmlns:c14="http://schemas.microsoft.com/office/drawing/2007/8/2/chart" uri="{781A3756-C4B2-4CAC-9D66-4F8BD8637D16}"/>
  </c:extLst>
</c:chartSpace>
</file>

<file path=word/charts/chart6.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horzOverflow="overflow" wrap="square" anchor="t" anchorCtr="1"/>
          <a:lstStyle/>
          <a:p>
            <a:pPr algn="ctr" rtl="0">
              <a:defRPr kumimoji="0" lang="ja-JP" altLang="en-US" sz="1200" b="0" i="0" u="none" strike="noStrike" kern="1200" spc="0" baseline="0">
                <a:solidFill>
                  <a:schemeClr val="tx1"/>
                </a:solidFill>
                <a:latin typeface="+mn-lt"/>
                <a:ea typeface="+mn-ea"/>
                <a:cs typeface="+mn-cs"/>
              </a:defRPr>
            </a:pPr>
            <a:r>
              <a:rPr kumimoji="0" lang="ja-JP" altLang="en-US" sz="1200" b="0" i="0" u="none" strike="noStrike" kern="1200" spc="0" baseline="0">
                <a:solidFill>
                  <a:schemeClr val="tx1"/>
                </a:solidFill>
                <a:latin typeface="+mn-lt"/>
                <a:ea typeface="+mn-ea"/>
                <a:cs typeface="+mn-cs"/>
              </a:rPr>
              <a:t>一般診療所に勤務する医師の平均年齢の推移</a:t>
            </a:r>
            <a:endParaRPr kumimoji="0" lang="ja-JP" altLang="en-US" sz="1200" b="0" i="0" u="none" strike="noStrike" kern="1200" spc="0" baseline="0">
              <a:solidFill>
                <a:schemeClr val="tx1"/>
              </a:solidFill>
              <a:latin typeface="+mn-lt"/>
              <a:ea typeface="+mn-ea"/>
              <a:cs typeface="+mn-cs"/>
            </a:endParaRPr>
          </a:p>
        </c:rich>
      </c:tx>
      <c:layout>
        <c:manualLayout>
          <c:xMode val="edge"/>
          <c:yMode val="edge"/>
          <c:x val="0.24083766930510583"/>
          <c:y val="4.3690039250654844e-002"/>
        </c:manualLayout>
      </c:layout>
      <c:overlay val="0"/>
      <c:spPr>
        <a:noFill/>
        <a:ln>
          <a:noFill/>
        </a:ln>
        <a:effectLst/>
      </c:spPr>
    </c:title>
    <c:autoTitleDeleted val="0"/>
    <c:plotArea>
      <c:layout>
        <c:manualLayout>
          <c:layoutTarget val="inner"/>
          <c:xMode val="edge"/>
          <c:yMode val="edge"/>
          <c:x val="5.9016393442622953e-002"/>
          <c:y val="0.2129032258064516"/>
          <c:w val="0.78196721311475392"/>
          <c:h val="0.5741935483870968"/>
        </c:manualLayout>
      </c:layout>
      <c:lineChart>
        <c:grouping val="standard"/>
        <c:varyColors val="0"/>
        <c:ser>
          <c:idx val="0"/>
          <c:order val="0"/>
          <c:tx>
            <c:strRef>
              <c:f>'[0]●診療所医師数　平均年齢の推移'!$C$11</c:f>
              <c:strCache>
                <c:ptCount val="1"/>
                <c:pt idx="0">
                  <c:v>平均年齢</c:v>
                </c:pt>
              </c:strCache>
            </c:strRef>
          </c:tx>
          <c:spPr>
            <a:noFill/>
            <a:ln w="28575" cap="rnd">
              <a:solidFill>
                <a:schemeClr val="accent1"/>
              </a:solidFill>
              <a:round/>
            </a:ln>
            <a:effectLst/>
          </c:spPr>
          <c:marker>
            <c:symbol val="triangle"/>
            <c:size val="5"/>
            <c:spPr>
              <a:solidFill>
                <a:schemeClr val="accent1"/>
              </a:solidFill>
              <a:ln w="9525">
                <a:solidFill>
                  <a:schemeClr val="accent1"/>
                </a:solidFill>
              </a:ln>
              <a:effectLst/>
            </c:spPr>
          </c:marker>
          <c:dPt>
            <c:idx val="0"/>
            <c:invertIfNegative val="0"/>
            <c:marker>
              <c:symbol val="triangle"/>
              <c:size val="5"/>
              <c:spPr>
                <a:solidFill>
                  <a:schemeClr val="accent1"/>
                </a:solidFill>
                <a:ln w="9525">
                  <a:solidFill>
                    <a:schemeClr val="accent1"/>
                  </a:solidFill>
                </a:ln>
                <a:effectLst/>
              </c:spPr>
            </c:marker>
            <c:bubble3D val="0"/>
            <c:spPr>
              <a:noFill/>
              <a:ln w="28575" cap="rnd">
                <a:solidFill>
                  <a:schemeClr val="accent1"/>
                </a:solidFill>
                <a:round/>
              </a:ln>
              <a:effectLst/>
            </c:spPr>
          </c:dPt>
          <c:dPt>
            <c:idx val="1"/>
            <c:invertIfNegative val="0"/>
            <c:marker>
              <c:symbol val="triangle"/>
              <c:size val="5"/>
              <c:spPr>
                <a:solidFill>
                  <a:schemeClr val="accent1"/>
                </a:solidFill>
                <a:ln w="9525">
                  <a:solidFill>
                    <a:schemeClr val="accent1"/>
                  </a:solidFill>
                </a:ln>
                <a:effectLst/>
              </c:spPr>
            </c:marker>
            <c:bubble3D val="0"/>
            <c:spPr>
              <a:noFill/>
              <a:ln w="28575" cap="rnd">
                <a:solidFill>
                  <a:schemeClr val="accent1"/>
                </a:solidFill>
                <a:round/>
              </a:ln>
              <a:effectLst/>
            </c:spPr>
          </c:dPt>
          <c:dPt>
            <c:idx val="2"/>
            <c:invertIfNegative val="0"/>
            <c:marker>
              <c:symbol val="triangle"/>
              <c:size val="5"/>
              <c:spPr>
                <a:solidFill>
                  <a:schemeClr val="accent1"/>
                </a:solidFill>
                <a:ln w="9525">
                  <a:solidFill>
                    <a:schemeClr val="accent1"/>
                  </a:solidFill>
                </a:ln>
                <a:effectLst/>
              </c:spPr>
            </c:marker>
            <c:bubble3D val="0"/>
            <c:spPr>
              <a:noFill/>
              <a:ln w="28575" cap="rnd">
                <a:solidFill>
                  <a:schemeClr val="accent1"/>
                </a:solidFill>
                <a:round/>
              </a:ln>
              <a:effectLst/>
            </c:spPr>
          </c:dPt>
          <c:dPt>
            <c:idx val="3"/>
            <c:invertIfNegative val="0"/>
            <c:marker>
              <c:symbol val="triangle"/>
              <c:size val="5"/>
              <c:spPr>
                <a:solidFill>
                  <a:schemeClr val="accent1"/>
                </a:solidFill>
                <a:ln w="9525">
                  <a:solidFill>
                    <a:schemeClr val="accent1"/>
                  </a:solidFill>
                </a:ln>
                <a:effectLst/>
              </c:spPr>
            </c:marker>
            <c:bubble3D val="0"/>
            <c:spPr>
              <a:noFill/>
              <a:ln w="28575" cap="rnd">
                <a:solidFill>
                  <a:schemeClr val="accent1"/>
                </a:solidFill>
                <a:round/>
              </a:ln>
              <a:effectLst/>
            </c:spPr>
          </c:dPt>
          <c:dPt>
            <c:idx val="4"/>
            <c:invertIfNegative val="0"/>
            <c:marker>
              <c:symbol val="triangle"/>
              <c:size val="5"/>
              <c:spPr>
                <a:solidFill>
                  <a:schemeClr val="accent1"/>
                </a:solidFill>
                <a:ln w="9525">
                  <a:solidFill>
                    <a:schemeClr val="accent1"/>
                  </a:solidFill>
                </a:ln>
                <a:effectLst/>
              </c:spPr>
            </c:marker>
            <c:bubble3D val="0"/>
            <c:spPr>
              <a:noFill/>
              <a:ln w="28575" cap="rnd">
                <a:solidFill>
                  <a:schemeClr val="accent1"/>
                </a:solidFill>
                <a:round/>
              </a:ln>
              <a:effectLst/>
            </c:spPr>
          </c:dPt>
          <c:dPt>
            <c:idx val="5"/>
            <c:invertIfNegative val="0"/>
            <c:marker>
              <c:symbol val="triangle"/>
              <c:size val="5"/>
              <c:spPr>
                <a:solidFill>
                  <a:schemeClr val="accent1"/>
                </a:solidFill>
                <a:ln w="9525">
                  <a:solidFill>
                    <a:schemeClr val="accent1"/>
                  </a:solidFill>
                </a:ln>
                <a:effectLst/>
              </c:spPr>
            </c:marker>
            <c:bubble3D val="0"/>
            <c:spPr>
              <a:noFill/>
              <a:ln w="28575" cap="rnd">
                <a:solidFill>
                  <a:schemeClr val="accent1"/>
                </a:solidFill>
                <a:round/>
              </a:ln>
              <a:effectLst/>
            </c:spPr>
          </c:dPt>
          <c:dPt>
            <c:idx val="6"/>
            <c:invertIfNegative val="0"/>
            <c:marker>
              <c:symbol val="triangle"/>
              <c:size val="5"/>
              <c:spPr>
                <a:solidFill>
                  <a:schemeClr val="accent1"/>
                </a:solidFill>
                <a:ln w="9525">
                  <a:solidFill>
                    <a:schemeClr val="accent1"/>
                  </a:solidFill>
                </a:ln>
                <a:effectLst/>
              </c:spPr>
            </c:marker>
            <c:bubble3D val="0"/>
            <c:spPr>
              <a:noFill/>
              <a:ln w="28575" cap="rnd">
                <a:solidFill>
                  <a:schemeClr val="accent1"/>
                </a:solidFill>
                <a:round/>
              </a:ln>
              <a:effectLst/>
            </c:spPr>
          </c:dPt>
          <c:dPt>
            <c:idx val="7"/>
            <c:invertIfNegative val="0"/>
            <c:marker>
              <c:symbol val="triangle"/>
              <c:size val="5"/>
              <c:spPr>
                <a:solidFill>
                  <a:schemeClr val="accent1"/>
                </a:solidFill>
                <a:ln w="9525">
                  <a:solidFill>
                    <a:schemeClr val="accent1"/>
                  </a:solidFill>
                </a:ln>
                <a:effectLst/>
              </c:spPr>
            </c:marker>
            <c:bubble3D val="0"/>
            <c:spPr>
              <a:noFill/>
              <a:ln w="28575" cap="rnd">
                <a:solidFill>
                  <a:schemeClr val="accent1"/>
                </a:solidFill>
                <a:round/>
              </a:ln>
              <a:effectLst/>
            </c:spPr>
          </c:dPt>
          <c:dPt>
            <c:idx val="8"/>
            <c:invertIfNegative val="0"/>
            <c:marker>
              <c:symbol val="triangle"/>
              <c:size val="5"/>
              <c:spPr>
                <a:solidFill>
                  <a:schemeClr val="accent1"/>
                </a:solidFill>
                <a:ln w="9525">
                  <a:solidFill>
                    <a:schemeClr val="accent1"/>
                  </a:solidFill>
                </a:ln>
                <a:effectLst/>
              </c:spPr>
            </c:marker>
            <c:bubble3D val="0"/>
            <c:spPr>
              <a:noFill/>
              <a:ln w="28575" cap="rnd">
                <a:solidFill>
                  <a:schemeClr val="accent1"/>
                </a:solidFill>
                <a:round/>
              </a:ln>
              <a:effectLst/>
            </c:spPr>
          </c:dPt>
          <c:dLbls>
            <c:dLbl>
              <c:idx val="0"/>
              <c:layout>
                <c:manualLayout>
                  <c:x val="-3.9575808735683081e-002"/>
                  <c:y val="7.2970620607907877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solidFill>
                      <a:latin typeface="+mn-lt"/>
                      <a:ea typeface="+mn-ea"/>
                      <a:cs typeface="+mn-cs"/>
                    </a:defRPr>
                  </a:pPr>
                  <a:endParaRPr lang="ja-JP" altLang="en-US"/>
                </a:p>
              </c:txPr>
              <c:showLegendKey val="0"/>
              <c:showVal val="1"/>
              <c:showCatName val="0"/>
              <c:showSerName val="0"/>
              <c:showPercent val="0"/>
              <c:showBubbleSize val="0"/>
            </c:dLbl>
            <c:dLbl>
              <c:idx val="1"/>
              <c:layout>
                <c:manualLayout>
                  <c:x val="-3.9941878969873931e-002"/>
                  <c:y val="7.1107272881212436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solidFill>
                      <a:latin typeface="+mn-lt"/>
                      <a:ea typeface="+mn-ea"/>
                      <a:cs typeface="+mn-cs"/>
                    </a:defRPr>
                  </a:pPr>
                  <a:endParaRPr lang="ja-JP" altLang="en-US"/>
                </a:p>
              </c:txPr>
              <c:showLegendKey val="0"/>
              <c:showVal val="1"/>
              <c:showCatName val="0"/>
              <c:showSerName val="0"/>
              <c:showPercent val="0"/>
              <c:showBubbleSize val="0"/>
            </c:dLbl>
            <c:dLbl>
              <c:idx val="2"/>
              <c:layout>
                <c:manualLayout>
                  <c:x val="-3.5914368348947595e-002"/>
                  <c:y val="6.4655659977986626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solidFill>
                      <a:latin typeface="+mn-lt"/>
                      <a:ea typeface="+mn-ea"/>
                      <a:cs typeface="+mn-cs"/>
                    </a:defRPr>
                  </a:pPr>
                  <a:endParaRPr lang="ja-JP" altLang="en-US"/>
                </a:p>
              </c:txPr>
              <c:showLegendKey val="0"/>
              <c:showVal val="1"/>
              <c:showCatName val="0"/>
              <c:showSerName val="0"/>
              <c:showPercent val="0"/>
              <c:showBubbleSize val="0"/>
            </c:dLbl>
            <c:dLbl>
              <c:idx val="3"/>
              <c:layout>
                <c:manualLayout>
                  <c:x val="-3.4522784827643468e-002"/>
                  <c:y val="5.3615781898230463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solidFill>
                      <a:latin typeface="+mn-lt"/>
                      <a:ea typeface="+mn-ea"/>
                      <a:cs typeface="+mn-cs"/>
                    </a:defRPr>
                  </a:pPr>
                  <a:endParaRPr lang="ja-JP" altLang="en-US"/>
                </a:p>
              </c:txPr>
              <c:showLegendKey val="0"/>
              <c:showVal val="1"/>
              <c:showCatName val="0"/>
              <c:showSerName val="0"/>
              <c:showPercent val="0"/>
              <c:showBubbleSize val="0"/>
            </c:dLbl>
            <c:dLbl>
              <c:idx val="4"/>
              <c:layout>
                <c:manualLayout>
                  <c:x val="-3.7524966672663279e-002"/>
                  <c:y val="5.3686224705782742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solidFill>
                      <a:latin typeface="+mn-lt"/>
                      <a:ea typeface="+mn-ea"/>
                      <a:cs typeface="+mn-cs"/>
                    </a:defRPr>
                  </a:pPr>
                  <a:endParaRPr lang="ja-JP" altLang="en-US"/>
                </a:p>
              </c:txPr>
              <c:showLegendKey val="0"/>
              <c:showVal val="1"/>
              <c:showCatName val="0"/>
              <c:showSerName val="0"/>
              <c:showPercent val="0"/>
              <c:showBubbleSize val="0"/>
            </c:dLbl>
            <c:dLbl>
              <c:idx val="5"/>
              <c:layout>
                <c:manualLayout>
                  <c:x val="-4.1406159906637333e-002"/>
                  <c:y val="5.1891965117263565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solidFill>
                      <a:latin typeface="+mn-lt"/>
                      <a:ea typeface="+mn-ea"/>
                      <a:cs typeface="+mn-cs"/>
                    </a:defRPr>
                  </a:pPr>
                  <a:endParaRPr lang="ja-JP" altLang="en-US"/>
                </a:p>
              </c:txPr>
              <c:showLegendKey val="0"/>
              <c:showVal val="1"/>
              <c:showCatName val="0"/>
              <c:showSerName val="0"/>
              <c:showPercent val="0"/>
              <c:showBubbleSize val="0"/>
            </c:dLbl>
            <c:dLbl>
              <c:idx val="6"/>
              <c:layout>
                <c:manualLayout>
                  <c:x val="-4.1772045629621432e-002"/>
                  <c:y val="6.7660316653966643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solidFill>
                      <a:latin typeface="+mn-lt"/>
                      <a:ea typeface="+mn-ea"/>
                      <a:cs typeface="+mn-cs"/>
                    </a:defRPr>
                  </a:pPr>
                  <a:endParaRPr lang="ja-JP" altLang="en-US"/>
                </a:p>
              </c:txPr>
              <c:showLegendKey val="0"/>
              <c:showVal val="1"/>
              <c:showCatName val="0"/>
              <c:showSerName val="0"/>
              <c:showPercent val="0"/>
              <c:showBubbleSize val="0"/>
            </c:dLbl>
            <c:dLbl>
              <c:idx val="7"/>
              <c:layout>
                <c:manualLayout>
                  <c:x val="-3.7744350497488338e-002"/>
                  <c:y val="6.7799847599695193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solidFill>
                      <a:latin typeface="+mn-lt"/>
                      <a:ea typeface="+mn-ea"/>
                      <a:cs typeface="+mn-cs"/>
                    </a:defRPr>
                  </a:pPr>
                  <a:endParaRPr lang="ja-JP" altLang="en-US"/>
                </a:p>
              </c:txPr>
              <c:showLegendKey val="0"/>
              <c:showVal val="1"/>
              <c:showCatName val="0"/>
              <c:showSerName val="0"/>
              <c:showPercent val="0"/>
              <c:showBubbleSize val="0"/>
            </c:dLbl>
            <c:dLbl>
              <c:idx val="8"/>
              <c:layout>
                <c:manualLayout>
                  <c:x val="-4.1625543731462392e-002"/>
                  <c:y val="7.1095758191516381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solidFill>
                      <a:latin typeface="+mn-lt"/>
                      <a:ea typeface="+mn-ea"/>
                      <a:cs typeface="+mn-cs"/>
                    </a:defRPr>
                  </a:pPr>
                  <a:endParaRPr lang="ja-JP" altLang="en-US"/>
                </a:p>
              </c:txPr>
              <c:showLegendKey val="0"/>
              <c:showVal val="1"/>
              <c:showCatName val="0"/>
              <c:showSerName val="0"/>
              <c:showPercent val="0"/>
              <c:showBubbleSize val="0"/>
            </c:dLbl>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solidFill>
                    <a:latin typeface="+mn-lt"/>
                    <a:ea typeface="+mn-ea"/>
                    <a:cs typeface="+mn-cs"/>
                  </a:defRPr>
                </a:pPr>
                <a:endParaRPr lang="ja-JP" altLang="en-US"/>
              </a:p>
            </c:txPr>
            <c:dLblPos val="b"/>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'[0]●診療所医師数　平均年齢の推移'!$D$10:$L$10</c:f>
              <c:strCache>
                <c:ptCount val="9"/>
                <c:pt idx="0">
                  <c:v>H14</c:v>
                </c:pt>
                <c:pt idx="1">
                  <c:v>H16</c:v>
                </c:pt>
                <c:pt idx="2">
                  <c:v>H18</c:v>
                </c:pt>
                <c:pt idx="3">
                  <c:v>H20</c:v>
                </c:pt>
                <c:pt idx="4">
                  <c:v>H22</c:v>
                </c:pt>
                <c:pt idx="5">
                  <c:v>H24</c:v>
                </c:pt>
                <c:pt idx="6">
                  <c:v>H26</c:v>
                </c:pt>
                <c:pt idx="7">
                  <c:v>H28</c:v>
                </c:pt>
                <c:pt idx="8">
                  <c:v>H30</c:v>
                </c:pt>
              </c:strCache>
            </c:strRef>
          </c:cat>
          <c:val>
            <c:numRef>
              <c:f>'[診療所の状況.xlsx]●診療所医師数　平均年齢の推移'!$D$11:$L$11</c:f>
              <c:numCache>
                <c:formatCode>General</c:formatCode>
                <c:ptCount val="9"/>
                <c:pt idx="0">
                  <c:v>57.5</c:v>
                </c:pt>
                <c:pt idx="1">
                  <c:v>57.3</c:v>
                </c:pt>
                <c:pt idx="2">
                  <c:v>57.3</c:v>
                </c:pt>
                <c:pt idx="3">
                  <c:v>57.5</c:v>
                </c:pt>
                <c:pt idx="4">
                  <c:v>58.2</c:v>
                </c:pt>
                <c:pt idx="5">
                  <c:v>58.7</c:v>
                </c:pt>
                <c:pt idx="6">
                  <c:v>59.7</c:v>
                </c:pt>
                <c:pt idx="7">
                  <c:v>61.1</c:v>
                </c:pt>
                <c:pt idx="8">
                  <c:v>61.8</c:v>
                </c:pt>
              </c:numCache>
            </c:numRef>
          </c:val>
          <c:smooth val="0"/>
        </c:ser>
        <c:ser>
          <c:idx val="1"/>
          <c:order val="1"/>
          <c:tx>
            <c:strRef>
              <c:f>'[0]●診療所医師数　平均年齢の推移'!$C$12</c:f>
              <c:strCache>
                <c:ptCount val="1"/>
                <c:pt idx="0">
                  <c:v>うち男</c:v>
                </c:pt>
              </c:strCache>
            </c:strRef>
          </c:tx>
          <c:spPr>
            <a:noFill/>
            <a:ln w="28575" cap="rnd">
              <a:solidFill>
                <a:schemeClr val="accent2"/>
              </a:solidFill>
              <a:round/>
            </a:ln>
            <a:effectLst/>
          </c:spPr>
          <c:marker>
            <c:symbol val="circle"/>
            <c:size val="5"/>
            <c:spPr>
              <a:solidFill>
                <a:schemeClr val="accent2"/>
              </a:solidFill>
              <a:ln w="9525">
                <a:solidFill>
                  <a:schemeClr val="accent2"/>
                </a:solidFill>
              </a:ln>
              <a:effectLst/>
            </c:spPr>
          </c:marker>
          <c:dPt>
            <c:idx val="0"/>
            <c:invertIfNegative val="0"/>
            <c:marker>
              <c:symbol val="circle"/>
              <c:size val="5"/>
              <c:spPr>
                <a:solidFill>
                  <a:schemeClr val="accent2"/>
                </a:solidFill>
                <a:ln w="9525">
                  <a:solidFill>
                    <a:schemeClr val="accent2"/>
                  </a:solidFill>
                </a:ln>
                <a:effectLst/>
              </c:spPr>
            </c:marker>
            <c:bubble3D val="0"/>
            <c:spPr>
              <a:noFill/>
              <a:ln w="28575" cap="rnd">
                <a:solidFill>
                  <a:schemeClr val="accent2"/>
                </a:solidFill>
                <a:round/>
              </a:ln>
              <a:effectLst/>
            </c:spPr>
          </c:dPt>
          <c:dPt>
            <c:idx val="1"/>
            <c:invertIfNegative val="0"/>
            <c:marker>
              <c:symbol val="circle"/>
              <c:size val="5"/>
              <c:spPr>
                <a:solidFill>
                  <a:schemeClr val="accent2"/>
                </a:solidFill>
                <a:ln w="9525">
                  <a:solidFill>
                    <a:schemeClr val="accent2"/>
                  </a:solidFill>
                </a:ln>
                <a:effectLst/>
              </c:spPr>
            </c:marker>
            <c:bubble3D val="0"/>
            <c:spPr>
              <a:noFill/>
              <a:ln w="28575" cap="rnd">
                <a:solidFill>
                  <a:schemeClr val="accent2"/>
                </a:solidFill>
                <a:round/>
              </a:ln>
              <a:effectLst/>
            </c:spPr>
          </c:dPt>
          <c:dPt>
            <c:idx val="2"/>
            <c:invertIfNegative val="0"/>
            <c:marker>
              <c:symbol val="circle"/>
              <c:size val="5"/>
              <c:spPr>
                <a:solidFill>
                  <a:schemeClr val="accent2"/>
                </a:solidFill>
                <a:ln w="9525">
                  <a:solidFill>
                    <a:schemeClr val="accent2"/>
                  </a:solidFill>
                </a:ln>
                <a:effectLst/>
              </c:spPr>
            </c:marker>
            <c:bubble3D val="0"/>
            <c:spPr>
              <a:noFill/>
              <a:ln w="28575" cap="rnd">
                <a:solidFill>
                  <a:schemeClr val="accent2"/>
                </a:solidFill>
                <a:round/>
              </a:ln>
              <a:effectLst/>
            </c:spPr>
          </c:dPt>
          <c:dPt>
            <c:idx val="3"/>
            <c:invertIfNegative val="0"/>
            <c:marker>
              <c:symbol val="circle"/>
              <c:size val="5"/>
              <c:spPr>
                <a:solidFill>
                  <a:schemeClr val="accent2"/>
                </a:solidFill>
                <a:ln w="9525">
                  <a:solidFill>
                    <a:schemeClr val="accent2"/>
                  </a:solidFill>
                </a:ln>
                <a:effectLst/>
              </c:spPr>
            </c:marker>
            <c:bubble3D val="0"/>
            <c:spPr>
              <a:noFill/>
              <a:ln w="28575" cap="rnd">
                <a:solidFill>
                  <a:schemeClr val="accent2"/>
                </a:solidFill>
                <a:round/>
              </a:ln>
              <a:effectLst/>
            </c:spPr>
          </c:dPt>
          <c:dPt>
            <c:idx val="4"/>
            <c:invertIfNegative val="0"/>
            <c:marker>
              <c:symbol val="circle"/>
              <c:size val="5"/>
              <c:spPr>
                <a:solidFill>
                  <a:schemeClr val="accent2"/>
                </a:solidFill>
                <a:ln w="9525">
                  <a:solidFill>
                    <a:schemeClr val="accent2"/>
                  </a:solidFill>
                </a:ln>
                <a:effectLst/>
              </c:spPr>
            </c:marker>
            <c:bubble3D val="0"/>
            <c:spPr>
              <a:noFill/>
              <a:ln w="28575" cap="rnd">
                <a:solidFill>
                  <a:schemeClr val="accent2"/>
                </a:solidFill>
                <a:round/>
              </a:ln>
              <a:effectLst/>
            </c:spPr>
          </c:dPt>
          <c:dPt>
            <c:idx val="5"/>
            <c:invertIfNegative val="0"/>
            <c:marker>
              <c:symbol val="circle"/>
              <c:size val="5"/>
              <c:spPr>
                <a:solidFill>
                  <a:schemeClr val="accent2"/>
                </a:solidFill>
                <a:ln w="9525">
                  <a:solidFill>
                    <a:schemeClr val="accent2"/>
                  </a:solidFill>
                </a:ln>
                <a:effectLst/>
              </c:spPr>
            </c:marker>
            <c:bubble3D val="0"/>
            <c:spPr>
              <a:noFill/>
              <a:ln w="28575" cap="rnd">
                <a:solidFill>
                  <a:schemeClr val="accent2"/>
                </a:solidFill>
                <a:round/>
              </a:ln>
              <a:effectLst/>
            </c:spPr>
          </c:dPt>
          <c:dPt>
            <c:idx val="6"/>
            <c:invertIfNegative val="0"/>
            <c:marker>
              <c:symbol val="circle"/>
              <c:size val="5"/>
              <c:spPr>
                <a:solidFill>
                  <a:schemeClr val="accent2"/>
                </a:solidFill>
                <a:ln w="9525">
                  <a:solidFill>
                    <a:schemeClr val="accent2"/>
                  </a:solidFill>
                </a:ln>
                <a:effectLst/>
              </c:spPr>
            </c:marker>
            <c:bubble3D val="0"/>
            <c:spPr>
              <a:noFill/>
              <a:ln w="28575" cap="rnd">
                <a:solidFill>
                  <a:schemeClr val="accent2"/>
                </a:solidFill>
                <a:round/>
              </a:ln>
              <a:effectLst/>
            </c:spPr>
          </c:dPt>
          <c:dPt>
            <c:idx val="7"/>
            <c:invertIfNegative val="0"/>
            <c:marker>
              <c:symbol val="circle"/>
              <c:size val="5"/>
              <c:spPr>
                <a:solidFill>
                  <a:schemeClr val="accent2"/>
                </a:solidFill>
                <a:ln w="9525">
                  <a:solidFill>
                    <a:schemeClr val="accent2"/>
                  </a:solidFill>
                </a:ln>
                <a:effectLst/>
              </c:spPr>
            </c:marker>
            <c:bubble3D val="0"/>
            <c:spPr>
              <a:noFill/>
              <a:ln w="28575" cap="rnd">
                <a:solidFill>
                  <a:schemeClr val="accent2"/>
                </a:solidFill>
                <a:round/>
              </a:ln>
              <a:effectLst/>
            </c:spPr>
          </c:dPt>
          <c:dPt>
            <c:idx val="8"/>
            <c:invertIfNegative val="0"/>
            <c:marker>
              <c:symbol val="circle"/>
              <c:size val="5"/>
              <c:spPr>
                <a:solidFill>
                  <a:schemeClr val="accent2"/>
                </a:solidFill>
                <a:ln w="9525">
                  <a:solidFill>
                    <a:schemeClr val="accent2"/>
                  </a:solidFill>
                </a:ln>
                <a:effectLst/>
              </c:spPr>
            </c:marker>
            <c:bubble3D val="0"/>
            <c:spPr>
              <a:noFill/>
              <a:ln w="28575" cap="rnd">
                <a:solidFill>
                  <a:schemeClr val="accent2"/>
                </a:solidFill>
                <a:round/>
              </a:ln>
              <a:effectLst/>
            </c:spPr>
          </c:dPt>
          <c:dLbls>
            <c:dLbl>
              <c:idx val="0"/>
              <c:layout>
                <c:manualLayout>
                  <c:x val="-4.1876809597695318e-002"/>
                  <c:y val="-5.6172056162882553e-002"/>
                </c:manualLayout>
              </c:layout>
              <c:spPr>
                <a:noFill/>
                <a:ln>
                  <a:noFill/>
                </a:ln>
                <a:effectLst/>
              </c:spPr>
              <c:txPr>
                <a:bodyPr rot="0" spcFirstLastPara="1" vertOverflow="ellipsis" horzOverflow="overflow" wrap="square" anchor="ctr" anchorCtr="1">
                  <a:spAutoFit/>
                </a:bodyPr>
                <a:lstStyle/>
                <a:p>
                  <a:pPr algn="ctr" rtl="0">
                    <a:defRPr kumimoji="0" lang="ja-JP" altLang="en-US" sz="900" kern="1200">
                      <a:solidFill>
                        <a:schemeClr val="tx1"/>
                      </a:solidFill>
                      <a:latin typeface="+mn-lt"/>
                      <a:ea typeface="+mn-ea"/>
                      <a:cs typeface="+mn-cs"/>
                    </a:defRPr>
                  </a:pPr>
                  <a:endParaRPr lang="ja-JP" altLang="en-US">
                    <a:solidFill>
                      <a:schemeClr val="tx1"/>
                    </a:solidFill>
                  </a:endParaRPr>
                </a:p>
              </c:txPr>
              <c:showLegendKey val="0"/>
              <c:showVal val="1"/>
              <c:showCatName val="0"/>
              <c:showSerName val="0"/>
              <c:showPercent val="0"/>
              <c:showBubbleSize val="0"/>
            </c:dLbl>
            <c:dLbl>
              <c:idx val="1"/>
              <c:layout>
                <c:manualLayout>
                  <c:x val="-4.3201616372539067e-002"/>
                  <c:y val="-6.5187167138088323e-002"/>
                </c:manualLayout>
              </c:layout>
              <c:spPr>
                <a:noFill/>
                <a:ln>
                  <a:noFill/>
                </a:ln>
                <a:effectLst/>
              </c:spPr>
              <c:txPr>
                <a:bodyPr rot="0" spcFirstLastPara="1" vertOverflow="ellipsis" horzOverflow="overflow" wrap="square" anchor="ctr" anchorCtr="1">
                  <a:spAutoFit/>
                </a:bodyPr>
                <a:lstStyle/>
                <a:p>
                  <a:pPr algn="ctr" rtl="0">
                    <a:defRPr kumimoji="0" lang="ja-JP" altLang="en-US" sz="900" kern="1200">
                      <a:solidFill>
                        <a:schemeClr val="tx1"/>
                      </a:solidFill>
                      <a:latin typeface="+mn-lt"/>
                      <a:ea typeface="+mn-ea"/>
                      <a:cs typeface="+mn-cs"/>
                    </a:defRPr>
                  </a:pPr>
                  <a:endParaRPr lang="ja-JP" altLang="en-US">
                    <a:solidFill>
                      <a:schemeClr val="tx1"/>
                    </a:solidFill>
                  </a:endParaRPr>
                </a:p>
              </c:txPr>
              <c:showLegendKey val="0"/>
              <c:showVal val="1"/>
              <c:showCatName val="0"/>
              <c:showSerName val="0"/>
              <c:showPercent val="0"/>
              <c:showBubbleSize val="0"/>
            </c:dLbl>
            <c:dLbl>
              <c:idx val="2"/>
              <c:layout>
                <c:manualLayout>
                  <c:x val="-4.5447136787459576e-002"/>
                  <c:y val="-5.9986239584129651e-002"/>
                </c:manualLayout>
              </c:layout>
              <c:spPr>
                <a:noFill/>
                <a:ln>
                  <a:noFill/>
                </a:ln>
                <a:effectLst/>
              </c:spPr>
              <c:txPr>
                <a:bodyPr rot="0" spcFirstLastPara="1" vertOverflow="ellipsis" horzOverflow="overflow" wrap="square" anchor="ctr" anchorCtr="1">
                  <a:spAutoFit/>
                </a:bodyPr>
                <a:lstStyle/>
                <a:p>
                  <a:pPr algn="ctr" rtl="0">
                    <a:defRPr kumimoji="0" lang="ja-JP" altLang="en-US" sz="900" kern="1200">
                      <a:solidFill>
                        <a:schemeClr val="tx1"/>
                      </a:solidFill>
                      <a:latin typeface="+mn-lt"/>
                      <a:ea typeface="+mn-ea"/>
                      <a:cs typeface="+mn-cs"/>
                    </a:defRPr>
                  </a:pPr>
                  <a:endParaRPr lang="ja-JP" altLang="en-US">
                    <a:solidFill>
                      <a:schemeClr val="tx1"/>
                    </a:solidFill>
                  </a:endParaRPr>
                </a:p>
              </c:txPr>
              <c:showLegendKey val="0"/>
              <c:showVal val="1"/>
              <c:showCatName val="0"/>
              <c:showSerName val="0"/>
              <c:showPercent val="0"/>
              <c:showBubbleSize val="0"/>
            </c:dLbl>
            <c:dLbl>
              <c:idx val="3"/>
              <c:layout>
                <c:manualLayout>
                  <c:x val="-4.3088508964003812e-002"/>
                  <c:y val="-6.5880794026960218e-002"/>
                </c:manualLayout>
              </c:layout>
              <c:spPr>
                <a:noFill/>
                <a:ln>
                  <a:noFill/>
                </a:ln>
                <a:effectLst/>
              </c:spPr>
              <c:txPr>
                <a:bodyPr rot="0" spcFirstLastPara="1" vertOverflow="ellipsis" horzOverflow="overflow" wrap="square" anchor="ctr" anchorCtr="1">
                  <a:spAutoFit/>
                </a:bodyPr>
                <a:lstStyle/>
                <a:p>
                  <a:pPr algn="ctr" rtl="0">
                    <a:defRPr kumimoji="0" lang="ja-JP" altLang="en-US" sz="900" kern="1200">
                      <a:solidFill>
                        <a:schemeClr val="tx1"/>
                      </a:solidFill>
                      <a:latin typeface="+mn-lt"/>
                      <a:ea typeface="+mn-ea"/>
                      <a:cs typeface="+mn-cs"/>
                    </a:defRPr>
                  </a:pPr>
                  <a:endParaRPr lang="ja-JP" altLang="en-US">
                    <a:solidFill>
                      <a:schemeClr val="tx1"/>
                    </a:solidFill>
                  </a:endParaRPr>
                </a:p>
              </c:txPr>
              <c:showLegendKey val="0"/>
              <c:showVal val="1"/>
              <c:showCatName val="0"/>
              <c:showSerName val="0"/>
              <c:showPercent val="0"/>
              <c:showBubbleSize val="0"/>
            </c:dLbl>
            <c:dLbl>
              <c:idx val="4"/>
              <c:layout>
                <c:manualLayout>
                  <c:x val="-4.1650788126622297e-002"/>
                  <c:y val="-6.7267538159671791e-002"/>
                </c:manualLayout>
              </c:layout>
              <c:spPr>
                <a:noFill/>
                <a:ln>
                  <a:noFill/>
                </a:ln>
                <a:effectLst/>
              </c:spPr>
              <c:txPr>
                <a:bodyPr rot="0" spcFirstLastPara="1" vertOverflow="ellipsis" horzOverflow="overflow" wrap="square" anchor="ctr" anchorCtr="1">
                  <a:spAutoFit/>
                </a:bodyPr>
                <a:lstStyle/>
                <a:p>
                  <a:pPr algn="ctr" rtl="0">
                    <a:defRPr kumimoji="0" lang="ja-JP" altLang="en-US" sz="900" kern="1200">
                      <a:solidFill>
                        <a:schemeClr val="tx1"/>
                      </a:solidFill>
                      <a:latin typeface="+mn-lt"/>
                      <a:ea typeface="+mn-ea"/>
                      <a:cs typeface="+mn-cs"/>
                    </a:defRPr>
                  </a:pPr>
                  <a:endParaRPr lang="ja-JP" altLang="en-US">
                    <a:solidFill>
                      <a:schemeClr val="tx1"/>
                    </a:solidFill>
                  </a:endParaRPr>
                </a:p>
              </c:txPr>
              <c:showLegendKey val="0"/>
              <c:showVal val="1"/>
              <c:showCatName val="0"/>
              <c:showSerName val="0"/>
              <c:showPercent val="0"/>
              <c:showBubbleSize val="0"/>
            </c:dLbl>
            <c:dLbl>
              <c:idx val="5"/>
              <c:layout>
                <c:manualLayout>
                  <c:x val="-4.2975594901466047e-002"/>
                  <c:y val="-6.4493540249216427e-002"/>
                </c:manualLayout>
              </c:layout>
              <c:spPr>
                <a:noFill/>
                <a:ln>
                  <a:noFill/>
                </a:ln>
                <a:effectLst/>
              </c:spPr>
              <c:txPr>
                <a:bodyPr rot="0" spcFirstLastPara="1" vertOverflow="ellipsis" horzOverflow="overflow" wrap="square" anchor="ctr" anchorCtr="1">
                  <a:spAutoFit/>
                </a:bodyPr>
                <a:lstStyle/>
                <a:p>
                  <a:pPr algn="ctr" rtl="0">
                    <a:defRPr kumimoji="0" lang="ja-JP" altLang="en-US" sz="900" kern="1200">
                      <a:solidFill>
                        <a:schemeClr val="tx1"/>
                      </a:solidFill>
                      <a:latin typeface="+mn-lt"/>
                      <a:ea typeface="+mn-ea"/>
                      <a:cs typeface="+mn-cs"/>
                    </a:defRPr>
                  </a:pPr>
                  <a:endParaRPr lang="ja-JP" altLang="en-US">
                    <a:solidFill>
                      <a:schemeClr val="tx1"/>
                    </a:solidFill>
                  </a:endParaRPr>
                </a:p>
              </c:txPr>
              <c:showLegendKey val="0"/>
              <c:showVal val="1"/>
              <c:showCatName val="0"/>
              <c:showSerName val="0"/>
              <c:showPercent val="0"/>
              <c:showBubbleSize val="0"/>
            </c:dLbl>
            <c:dLbl>
              <c:idx val="6"/>
              <c:layout>
                <c:manualLayout>
                  <c:x val="-4.3379494690235547e-002"/>
                  <c:y val="-6.9001350559335428e-002"/>
                </c:manualLayout>
              </c:layout>
              <c:spPr>
                <a:noFill/>
                <a:ln>
                  <a:noFill/>
                </a:ln>
                <a:effectLst/>
              </c:spPr>
              <c:txPr>
                <a:bodyPr rot="0" spcFirstLastPara="1" vertOverflow="ellipsis" horzOverflow="overflow" wrap="square" anchor="ctr" anchorCtr="1">
                  <a:spAutoFit/>
                </a:bodyPr>
                <a:lstStyle/>
                <a:p>
                  <a:pPr algn="ctr" rtl="0">
                    <a:defRPr kumimoji="0" lang="ja-JP" altLang="en-US" sz="900" kern="1200">
                      <a:solidFill>
                        <a:schemeClr val="tx1"/>
                      </a:solidFill>
                      <a:latin typeface="+mn-lt"/>
                      <a:ea typeface="+mn-ea"/>
                      <a:cs typeface="+mn-cs"/>
                    </a:defRPr>
                  </a:pPr>
                  <a:endParaRPr lang="ja-JP" altLang="en-US">
                    <a:solidFill>
                      <a:schemeClr val="tx1"/>
                    </a:solidFill>
                  </a:endParaRPr>
                </a:p>
              </c:txPr>
              <c:showLegendKey val="0"/>
              <c:showVal val="1"/>
              <c:showCatName val="0"/>
              <c:showSerName val="0"/>
              <c:showPercent val="0"/>
              <c:showBubbleSize val="0"/>
            </c:dLbl>
            <c:dLbl>
              <c:idx val="7"/>
              <c:layout>
                <c:manualLayout>
                  <c:x val="-3.4395092878583548e-002"/>
                  <c:y val="-5.374461687434702e-002"/>
                </c:manualLayout>
              </c:layout>
              <c:spPr>
                <a:noFill/>
                <a:ln>
                  <a:noFill/>
                </a:ln>
                <a:effectLst/>
              </c:spPr>
              <c:txPr>
                <a:bodyPr rot="0" spcFirstLastPara="1" vertOverflow="ellipsis" horzOverflow="overflow" wrap="square" anchor="ctr" anchorCtr="1">
                  <a:spAutoFit/>
                </a:bodyPr>
                <a:lstStyle/>
                <a:p>
                  <a:pPr algn="ctr" rtl="0">
                    <a:defRPr kumimoji="0" lang="ja-JP" altLang="en-US" sz="900" kern="1200">
                      <a:solidFill>
                        <a:schemeClr val="tx1"/>
                      </a:solidFill>
                      <a:latin typeface="+mn-lt"/>
                      <a:ea typeface="+mn-ea"/>
                      <a:cs typeface="+mn-cs"/>
                    </a:defRPr>
                  </a:pPr>
                  <a:endParaRPr lang="ja-JP" altLang="en-US">
                    <a:solidFill>
                      <a:schemeClr val="tx1"/>
                    </a:solidFill>
                  </a:endParaRPr>
                </a:p>
              </c:txPr>
              <c:showLegendKey val="0"/>
              <c:showVal val="1"/>
              <c:showCatName val="0"/>
              <c:showSerName val="0"/>
              <c:showPercent val="0"/>
              <c:showBubbleSize val="0"/>
            </c:dLbl>
            <c:dLbl>
              <c:idx val="8"/>
              <c:layout>
                <c:manualLayout>
                  <c:x val="-4.3383012975750618e-002"/>
                  <c:y val="-6.3817796968927268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solidFill>
                      <a:latin typeface="+mn-lt"/>
                      <a:ea typeface="+mn-ea"/>
                      <a:cs typeface="+mn-cs"/>
                    </a:defRPr>
                  </a:pPr>
                  <a:endParaRPr lang="ja-JP" altLang="en-US"/>
                </a:p>
              </c:txPr>
              <c:showLegendKey val="0"/>
              <c:showVal val="1"/>
              <c:showCatName val="0"/>
              <c:showSerName val="0"/>
              <c:showPercent val="0"/>
              <c:showBubbleSize val="0"/>
            </c:dLbl>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solidFill>
                    <a:latin typeface="+mn-lt"/>
                    <a:ea typeface="+mn-ea"/>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'[0]●診療所医師数　平均年齢の推移'!$D$10:$L$10</c:f>
              <c:strCache>
                <c:ptCount val="9"/>
                <c:pt idx="0">
                  <c:v>H14</c:v>
                </c:pt>
                <c:pt idx="1">
                  <c:v>H16</c:v>
                </c:pt>
                <c:pt idx="2">
                  <c:v>H18</c:v>
                </c:pt>
                <c:pt idx="3">
                  <c:v>H20</c:v>
                </c:pt>
                <c:pt idx="4">
                  <c:v>H22</c:v>
                </c:pt>
                <c:pt idx="5">
                  <c:v>H24</c:v>
                </c:pt>
                <c:pt idx="6">
                  <c:v>H26</c:v>
                </c:pt>
                <c:pt idx="7">
                  <c:v>H28</c:v>
                </c:pt>
                <c:pt idx="8">
                  <c:v>H30</c:v>
                </c:pt>
              </c:strCache>
            </c:strRef>
          </c:cat>
          <c:val>
            <c:numRef>
              <c:f>'[診療所の状況.xlsx]●診療所医師数　平均年齢の推移'!$D$12:$L$12</c:f>
              <c:numCache>
                <c:formatCode>General</c:formatCode>
                <c:ptCount val="9"/>
                <c:pt idx="0">
                  <c:v>58.5</c:v>
                </c:pt>
                <c:pt idx="1">
                  <c:v>58.3</c:v>
                </c:pt>
                <c:pt idx="2">
                  <c:v>58.2</c:v>
                </c:pt>
                <c:pt idx="3">
                  <c:v>58.5</c:v>
                </c:pt>
                <c:pt idx="4">
                  <c:v>58.9</c:v>
                </c:pt>
                <c:pt idx="5">
                  <c:v>59.5</c:v>
                </c:pt>
                <c:pt idx="6">
                  <c:v>60.8</c:v>
                </c:pt>
                <c:pt idx="7">
                  <c:v>62</c:v>
                </c:pt>
                <c:pt idx="8">
                  <c:v>62.9</c:v>
                </c:pt>
              </c:numCache>
            </c:numRef>
          </c:val>
          <c:smooth val="0"/>
        </c:ser>
        <c:ser>
          <c:idx val="2"/>
          <c:order val="2"/>
          <c:tx>
            <c:strRef>
              <c:f>'[0]●診療所医師数　平均年齢の推移'!$C$13</c:f>
              <c:strCache>
                <c:ptCount val="1"/>
                <c:pt idx="0">
                  <c:v>うち女</c:v>
                </c:pt>
              </c:strCache>
            </c:strRef>
          </c:tx>
          <c:spPr>
            <a:noFill/>
            <a:ln w="28575" cap="rnd">
              <a:solidFill>
                <a:schemeClr val="accent3"/>
              </a:solidFill>
              <a:round/>
            </a:ln>
            <a:effectLst/>
          </c:spPr>
          <c:marker>
            <c:symbol val="square"/>
            <c:size val="5"/>
            <c:spPr>
              <a:solidFill>
                <a:schemeClr val="accent3"/>
              </a:solidFill>
              <a:ln w="9525">
                <a:solidFill>
                  <a:schemeClr val="accent3"/>
                </a:solidFill>
              </a:ln>
              <a:effectLst/>
            </c:spPr>
          </c:marker>
          <c:dPt>
            <c:idx val="0"/>
            <c:invertIfNegative val="0"/>
            <c:marker>
              <c:symbol val="square"/>
              <c:size val="5"/>
              <c:spPr>
                <a:solidFill>
                  <a:schemeClr val="accent3"/>
                </a:solidFill>
                <a:ln w="9525">
                  <a:solidFill>
                    <a:schemeClr val="accent3"/>
                  </a:solidFill>
                </a:ln>
                <a:effectLst/>
              </c:spPr>
            </c:marker>
            <c:bubble3D val="0"/>
            <c:spPr>
              <a:noFill/>
              <a:ln w="28575" cap="rnd">
                <a:solidFill>
                  <a:schemeClr val="accent3"/>
                </a:solidFill>
                <a:round/>
              </a:ln>
              <a:effectLst/>
            </c:spPr>
          </c:dPt>
          <c:dPt>
            <c:idx val="1"/>
            <c:invertIfNegative val="0"/>
            <c:marker>
              <c:symbol val="square"/>
              <c:size val="5"/>
              <c:spPr>
                <a:solidFill>
                  <a:schemeClr val="accent3"/>
                </a:solidFill>
                <a:ln w="9525">
                  <a:solidFill>
                    <a:schemeClr val="accent3"/>
                  </a:solidFill>
                </a:ln>
                <a:effectLst/>
              </c:spPr>
            </c:marker>
            <c:bubble3D val="0"/>
            <c:spPr>
              <a:noFill/>
              <a:ln w="28575" cap="rnd">
                <a:solidFill>
                  <a:schemeClr val="accent3"/>
                </a:solidFill>
                <a:round/>
              </a:ln>
              <a:effectLst/>
            </c:spPr>
          </c:dPt>
          <c:dPt>
            <c:idx val="2"/>
            <c:invertIfNegative val="0"/>
            <c:marker>
              <c:symbol val="square"/>
              <c:size val="5"/>
              <c:spPr>
                <a:solidFill>
                  <a:schemeClr val="accent3"/>
                </a:solidFill>
                <a:ln w="9525">
                  <a:solidFill>
                    <a:schemeClr val="accent3"/>
                  </a:solidFill>
                </a:ln>
                <a:effectLst/>
              </c:spPr>
            </c:marker>
            <c:bubble3D val="0"/>
            <c:spPr>
              <a:noFill/>
              <a:ln w="28575" cap="rnd">
                <a:solidFill>
                  <a:schemeClr val="accent3"/>
                </a:solidFill>
                <a:round/>
              </a:ln>
              <a:effectLst/>
            </c:spPr>
          </c:dPt>
          <c:dPt>
            <c:idx val="3"/>
            <c:invertIfNegative val="0"/>
            <c:marker>
              <c:symbol val="square"/>
              <c:size val="5"/>
              <c:spPr>
                <a:solidFill>
                  <a:schemeClr val="accent3"/>
                </a:solidFill>
                <a:ln w="9525">
                  <a:solidFill>
                    <a:schemeClr val="accent3"/>
                  </a:solidFill>
                </a:ln>
                <a:effectLst/>
              </c:spPr>
            </c:marker>
            <c:bubble3D val="0"/>
            <c:spPr>
              <a:noFill/>
              <a:ln w="28575" cap="rnd">
                <a:solidFill>
                  <a:schemeClr val="accent3"/>
                </a:solidFill>
                <a:round/>
              </a:ln>
              <a:effectLst/>
            </c:spPr>
          </c:dPt>
          <c:dPt>
            <c:idx val="4"/>
            <c:invertIfNegative val="0"/>
            <c:marker>
              <c:symbol val="square"/>
              <c:size val="5"/>
              <c:spPr>
                <a:solidFill>
                  <a:schemeClr val="accent3"/>
                </a:solidFill>
                <a:ln w="9525">
                  <a:solidFill>
                    <a:schemeClr val="accent3"/>
                  </a:solidFill>
                </a:ln>
                <a:effectLst/>
              </c:spPr>
            </c:marker>
            <c:bubble3D val="0"/>
            <c:spPr>
              <a:noFill/>
              <a:ln w="28575" cap="rnd">
                <a:solidFill>
                  <a:schemeClr val="accent3"/>
                </a:solidFill>
                <a:round/>
              </a:ln>
              <a:effectLst/>
            </c:spPr>
          </c:dPt>
          <c:dPt>
            <c:idx val="5"/>
            <c:invertIfNegative val="0"/>
            <c:marker>
              <c:symbol val="square"/>
              <c:size val="5"/>
              <c:spPr>
                <a:solidFill>
                  <a:schemeClr val="accent3"/>
                </a:solidFill>
                <a:ln w="9525">
                  <a:solidFill>
                    <a:schemeClr val="accent3"/>
                  </a:solidFill>
                </a:ln>
                <a:effectLst/>
              </c:spPr>
            </c:marker>
            <c:bubble3D val="0"/>
            <c:spPr>
              <a:noFill/>
              <a:ln w="28575" cap="rnd">
                <a:solidFill>
                  <a:schemeClr val="accent3"/>
                </a:solidFill>
                <a:round/>
              </a:ln>
              <a:effectLst/>
            </c:spPr>
          </c:dPt>
          <c:dPt>
            <c:idx val="6"/>
            <c:invertIfNegative val="0"/>
            <c:marker>
              <c:symbol val="square"/>
              <c:size val="5"/>
              <c:spPr>
                <a:solidFill>
                  <a:schemeClr val="accent3"/>
                </a:solidFill>
                <a:ln w="9525">
                  <a:solidFill>
                    <a:schemeClr val="accent3"/>
                  </a:solidFill>
                </a:ln>
                <a:effectLst/>
              </c:spPr>
            </c:marker>
            <c:bubble3D val="0"/>
            <c:spPr>
              <a:noFill/>
              <a:ln w="28575" cap="rnd">
                <a:solidFill>
                  <a:schemeClr val="accent3"/>
                </a:solidFill>
                <a:round/>
              </a:ln>
              <a:effectLst/>
            </c:spPr>
          </c:dPt>
          <c:dPt>
            <c:idx val="7"/>
            <c:invertIfNegative val="0"/>
            <c:marker>
              <c:symbol val="square"/>
              <c:size val="5"/>
              <c:spPr>
                <a:solidFill>
                  <a:schemeClr val="accent3"/>
                </a:solidFill>
                <a:ln w="9525">
                  <a:solidFill>
                    <a:schemeClr val="accent3"/>
                  </a:solidFill>
                </a:ln>
                <a:effectLst/>
              </c:spPr>
            </c:marker>
            <c:bubble3D val="0"/>
            <c:spPr>
              <a:noFill/>
              <a:ln w="28575" cap="rnd">
                <a:solidFill>
                  <a:schemeClr val="accent3"/>
                </a:solidFill>
                <a:round/>
              </a:ln>
              <a:effectLst/>
            </c:spPr>
          </c:dPt>
          <c:dPt>
            <c:idx val="8"/>
            <c:invertIfNegative val="0"/>
            <c:marker>
              <c:symbol val="square"/>
              <c:size val="5"/>
              <c:spPr>
                <a:solidFill>
                  <a:schemeClr val="accent3"/>
                </a:solidFill>
                <a:ln w="9525">
                  <a:solidFill>
                    <a:schemeClr val="accent3"/>
                  </a:solidFill>
                </a:ln>
                <a:effectLst/>
              </c:spPr>
            </c:marker>
            <c:bubble3D val="0"/>
            <c:spPr>
              <a:noFill/>
              <a:ln w="28575" cap="rnd">
                <a:solidFill>
                  <a:schemeClr val="accent3"/>
                </a:solidFill>
                <a:round/>
              </a:ln>
              <a:effectLst/>
            </c:spPr>
          </c:dPt>
          <c:dLbls>
            <c:dLbl>
              <c:idx val="0"/>
              <c:layout>
                <c:manualLayout>
                  <c:x val="-3.9267290541561889e-002"/>
                  <c:y val="-4.4540167773146004e-002"/>
                </c:manualLayout>
              </c:layout>
              <c:spPr>
                <a:noFill/>
                <a:ln>
                  <a:noFill/>
                </a:ln>
                <a:effectLst/>
              </c:spPr>
              <c:txPr>
                <a:bodyPr rot="0" spcFirstLastPara="1" vertOverflow="ellipsis" horzOverflow="overflow" wrap="square" anchor="ctr" anchorCtr="1">
                  <a:spAutoFit/>
                </a:bodyPr>
                <a:lstStyle/>
                <a:p>
                  <a:pPr algn="ctr" rtl="0">
                    <a:defRPr kumimoji="0" lang="ja-JP" altLang="en-US" sz="900" kern="1200">
                      <a:solidFill>
                        <a:schemeClr val="tx1"/>
                      </a:solidFill>
                      <a:latin typeface="+mn-lt"/>
                      <a:ea typeface="+mn-ea"/>
                      <a:cs typeface="+mn-cs"/>
                    </a:defRPr>
                  </a:pPr>
                  <a:endParaRPr lang="ja-JP" altLang="en-US">
                    <a:solidFill>
                      <a:schemeClr val="tx1"/>
                    </a:solidFill>
                  </a:endParaRPr>
                </a:p>
              </c:txPr>
              <c:showLegendKey val="0"/>
              <c:showVal val="1"/>
              <c:showCatName val="0"/>
              <c:showSerName val="0"/>
              <c:showPercent val="0"/>
              <c:showBubbleSize val="0"/>
            </c:dLbl>
            <c:dLbl>
              <c:idx val="1"/>
              <c:layout>
                <c:manualLayout>
                  <c:x val="-3.7371113951070255e-002"/>
                  <c:y val="-3.9638206988832275e-002"/>
                </c:manualLayout>
              </c:layout>
              <c:spPr>
                <a:noFill/>
                <a:ln>
                  <a:noFill/>
                </a:ln>
                <a:effectLst/>
              </c:spPr>
              <c:txPr>
                <a:bodyPr rot="0" spcFirstLastPara="1" vertOverflow="ellipsis" horzOverflow="overflow" wrap="square" anchor="ctr" anchorCtr="1">
                  <a:spAutoFit/>
                </a:bodyPr>
                <a:lstStyle/>
                <a:p>
                  <a:pPr algn="ctr" rtl="0">
                    <a:defRPr kumimoji="0" lang="ja-JP" altLang="en-US" sz="900" kern="1200">
                      <a:solidFill>
                        <a:schemeClr val="tx1"/>
                      </a:solidFill>
                      <a:latin typeface="+mn-lt"/>
                      <a:ea typeface="+mn-ea"/>
                      <a:cs typeface="+mn-cs"/>
                    </a:defRPr>
                  </a:pPr>
                  <a:endParaRPr lang="ja-JP" altLang="en-US">
                    <a:solidFill>
                      <a:schemeClr val="tx1"/>
                    </a:solidFill>
                  </a:endParaRPr>
                </a:p>
              </c:txPr>
              <c:showLegendKey val="0"/>
              <c:showVal val="1"/>
              <c:showCatName val="0"/>
              <c:showSerName val="0"/>
              <c:showPercent val="0"/>
              <c:showBubbleSize val="0"/>
            </c:dLbl>
            <c:dLbl>
              <c:idx val="2"/>
              <c:layout>
                <c:manualLayout>
                  <c:x val="-3.896552197990958e-002"/>
                  <c:y val="-5.7599197159178633e-002"/>
                </c:manualLayout>
              </c:layout>
              <c:spPr>
                <a:noFill/>
                <a:ln>
                  <a:noFill/>
                </a:ln>
                <a:effectLst/>
              </c:spPr>
              <c:txPr>
                <a:bodyPr rot="0" spcFirstLastPara="1" vertOverflow="ellipsis" horzOverflow="overflow" wrap="square" anchor="ctr" anchorCtr="1">
                  <a:spAutoFit/>
                </a:bodyPr>
                <a:lstStyle/>
                <a:p>
                  <a:pPr algn="ctr" rtl="0">
                    <a:defRPr kumimoji="0" lang="ja-JP" altLang="en-US" sz="900" kern="1200">
                      <a:solidFill>
                        <a:schemeClr val="tx1"/>
                      </a:solidFill>
                      <a:latin typeface="+mn-lt"/>
                      <a:ea typeface="+mn-ea"/>
                      <a:cs typeface="+mn-cs"/>
                    </a:defRPr>
                  </a:pPr>
                  <a:endParaRPr lang="ja-JP" altLang="en-US">
                    <a:solidFill>
                      <a:schemeClr val="tx1"/>
                    </a:solidFill>
                  </a:endParaRPr>
                </a:p>
              </c:txPr>
              <c:showLegendKey val="0"/>
              <c:showVal val="1"/>
              <c:showCatName val="0"/>
              <c:showSerName val="0"/>
              <c:showPercent val="0"/>
              <c:showBubbleSize val="0"/>
            </c:dLbl>
            <c:dLbl>
              <c:idx val="3"/>
              <c:layout>
                <c:manualLayout>
                  <c:x val="-4.3088508964003812e-002"/>
                  <c:y val="6.4494049894248659e-002"/>
                </c:manualLayout>
              </c:layout>
              <c:spPr>
                <a:noFill/>
                <a:ln>
                  <a:noFill/>
                </a:ln>
                <a:effectLst/>
              </c:spPr>
              <c:txPr>
                <a:bodyPr rot="0" spcFirstLastPara="1" vertOverflow="ellipsis" horzOverflow="overflow" wrap="square" anchor="ctr" anchorCtr="1">
                  <a:spAutoFit/>
                </a:bodyPr>
                <a:lstStyle/>
                <a:p>
                  <a:pPr algn="ctr" rtl="0">
                    <a:defRPr kumimoji="0" lang="ja-JP" altLang="en-US" sz="900" kern="1200">
                      <a:solidFill>
                        <a:schemeClr val="tx1"/>
                      </a:solidFill>
                      <a:latin typeface="+mn-lt"/>
                      <a:ea typeface="+mn-ea"/>
                      <a:cs typeface="+mn-cs"/>
                    </a:defRPr>
                  </a:pPr>
                  <a:endParaRPr lang="ja-JP" altLang="en-US">
                    <a:solidFill>
                      <a:schemeClr val="tx1"/>
                    </a:solidFill>
                  </a:endParaRPr>
                </a:p>
              </c:txPr>
              <c:showLegendKey val="0"/>
              <c:showVal val="1"/>
              <c:showCatName val="0"/>
              <c:showSerName val="0"/>
              <c:showPercent val="0"/>
              <c:showBubbleSize val="0"/>
            </c:dLbl>
            <c:dLbl>
              <c:idx val="4"/>
              <c:layout>
                <c:manualLayout>
                  <c:x val="-4.3492408752773305e-002"/>
                  <c:y val="6.033279820604949e-002"/>
                </c:manualLayout>
              </c:layout>
              <c:spPr>
                <a:noFill/>
                <a:ln>
                  <a:noFill/>
                </a:ln>
                <a:effectLst/>
              </c:spPr>
              <c:txPr>
                <a:bodyPr rot="0" spcFirstLastPara="1" vertOverflow="ellipsis" horzOverflow="overflow" wrap="square" anchor="ctr" anchorCtr="1">
                  <a:spAutoFit/>
                </a:bodyPr>
                <a:lstStyle/>
                <a:p>
                  <a:pPr algn="ctr" rtl="0">
                    <a:defRPr kumimoji="0" lang="ja-JP" altLang="en-US" sz="900" kern="1200">
                      <a:solidFill>
                        <a:schemeClr val="tx1"/>
                      </a:solidFill>
                      <a:latin typeface="+mn-lt"/>
                      <a:ea typeface="+mn-ea"/>
                      <a:cs typeface="+mn-cs"/>
                    </a:defRPr>
                  </a:pPr>
                  <a:endParaRPr lang="ja-JP" altLang="en-US">
                    <a:solidFill>
                      <a:schemeClr val="tx1"/>
                    </a:solidFill>
                  </a:endParaRPr>
                </a:p>
              </c:txPr>
              <c:showLegendKey val="0"/>
              <c:showVal val="1"/>
              <c:showCatName val="0"/>
              <c:showSerName val="0"/>
              <c:showPercent val="0"/>
              <c:showBubbleSize val="0"/>
            </c:dLbl>
            <c:dLbl>
              <c:idx val="5"/>
              <c:layout>
                <c:manualLayout>
                  <c:x val="-4.2975594901466047e-002"/>
                  <c:y val="5.4438243763218916e-002"/>
                </c:manualLayout>
              </c:layout>
              <c:spPr>
                <a:noFill/>
                <a:ln>
                  <a:noFill/>
                </a:ln>
                <a:effectLst/>
              </c:spPr>
              <c:txPr>
                <a:bodyPr rot="0" spcFirstLastPara="1" vertOverflow="ellipsis" horzOverflow="overflow" wrap="square" anchor="ctr" anchorCtr="1">
                  <a:spAutoFit/>
                </a:bodyPr>
                <a:lstStyle/>
                <a:p>
                  <a:pPr algn="ctr" rtl="0">
                    <a:defRPr kumimoji="0" lang="ja-JP" altLang="en-US" sz="900" kern="1200">
                      <a:solidFill>
                        <a:schemeClr val="tx1"/>
                      </a:solidFill>
                      <a:latin typeface="+mn-lt"/>
                      <a:ea typeface="+mn-ea"/>
                      <a:cs typeface="+mn-cs"/>
                    </a:defRPr>
                  </a:pPr>
                  <a:endParaRPr lang="ja-JP" altLang="en-US">
                    <a:solidFill>
                      <a:schemeClr val="tx1"/>
                    </a:solidFill>
                  </a:endParaRPr>
                </a:p>
              </c:txPr>
              <c:showLegendKey val="0"/>
              <c:showVal val="1"/>
              <c:showCatName val="0"/>
              <c:showSerName val="0"/>
              <c:showPercent val="0"/>
              <c:showBubbleSize val="0"/>
            </c:dLbl>
            <c:dLbl>
              <c:idx val="6"/>
              <c:layout>
                <c:manualLayout>
                  <c:x val="-4.1537874064084532e-002"/>
                  <c:y val="4.9583874831180083e-002"/>
                </c:manualLayout>
              </c:layout>
              <c:spPr>
                <a:noFill/>
                <a:ln>
                  <a:noFill/>
                </a:ln>
                <a:effectLst/>
              </c:spPr>
              <c:txPr>
                <a:bodyPr rot="0" spcFirstLastPara="1" vertOverflow="ellipsis" horzOverflow="overflow" wrap="square" anchor="ctr" anchorCtr="1">
                  <a:spAutoFit/>
                </a:bodyPr>
                <a:lstStyle/>
                <a:p>
                  <a:pPr algn="ctr" rtl="0">
                    <a:defRPr kumimoji="0" lang="ja-JP" altLang="en-US" sz="900" kern="1200">
                      <a:solidFill>
                        <a:schemeClr val="tx1"/>
                      </a:solidFill>
                      <a:latin typeface="+mn-lt"/>
                      <a:ea typeface="+mn-ea"/>
                      <a:cs typeface="+mn-cs"/>
                    </a:defRPr>
                  </a:pPr>
                  <a:endParaRPr lang="ja-JP" altLang="en-US">
                    <a:solidFill>
                      <a:schemeClr val="tx1"/>
                    </a:solidFill>
                  </a:endParaRPr>
                </a:p>
              </c:txPr>
              <c:showLegendKey val="0"/>
              <c:showVal val="1"/>
              <c:showCatName val="0"/>
              <c:showSerName val="0"/>
              <c:showPercent val="0"/>
              <c:showBubbleSize val="0"/>
            </c:dLbl>
            <c:dLbl>
              <c:idx val="7"/>
              <c:layout>
                <c:manualLayout>
                  <c:x val="-4.378339447900504e-002"/>
                  <c:y val="5.4091685141299084e-002"/>
                </c:manualLayout>
              </c:layout>
              <c:spPr>
                <a:noFill/>
                <a:ln>
                  <a:noFill/>
                </a:ln>
                <a:effectLst/>
              </c:spPr>
              <c:txPr>
                <a:bodyPr rot="0" spcFirstLastPara="1" vertOverflow="ellipsis" horzOverflow="overflow" wrap="square" anchor="ctr" anchorCtr="1">
                  <a:spAutoFit/>
                </a:bodyPr>
                <a:lstStyle/>
                <a:p>
                  <a:pPr algn="ctr" rtl="0">
                    <a:defRPr kumimoji="0" lang="ja-JP" altLang="en-US" sz="900" kern="1200">
                      <a:solidFill>
                        <a:schemeClr val="tx1"/>
                      </a:solidFill>
                      <a:latin typeface="+mn-lt"/>
                      <a:ea typeface="+mn-ea"/>
                      <a:cs typeface="+mn-cs"/>
                    </a:defRPr>
                  </a:pPr>
                  <a:endParaRPr lang="ja-JP" altLang="en-US">
                    <a:solidFill>
                      <a:schemeClr val="tx1"/>
                    </a:solidFill>
                  </a:endParaRPr>
                </a:p>
              </c:txPr>
              <c:showLegendKey val="0"/>
              <c:showVal val="1"/>
              <c:showCatName val="0"/>
              <c:showSerName val="0"/>
              <c:showPercent val="0"/>
              <c:showBubbleSize val="0"/>
            </c:dLbl>
            <c:dLbl>
              <c:idx val="8"/>
              <c:layout>
                <c:manualLayout>
                  <c:x val="-3.898924760942668e-002"/>
                  <c:y val="5.7703496740326814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solidFill>
                      <a:latin typeface="+mn-lt"/>
                      <a:ea typeface="+mn-ea"/>
                      <a:cs typeface="+mn-cs"/>
                    </a:defRPr>
                  </a:pPr>
                  <a:endParaRPr lang="ja-JP" altLang="en-US"/>
                </a:p>
              </c:txPr>
              <c:showLegendKey val="0"/>
              <c:showVal val="1"/>
              <c:showCatName val="0"/>
              <c:showSerName val="0"/>
              <c:showPercent val="0"/>
              <c:showBubbleSize val="0"/>
            </c:dLbl>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solidFill>
                    <a:latin typeface="+mn-lt"/>
                    <a:ea typeface="+mn-ea"/>
                    <a:cs typeface="+mn-cs"/>
                  </a:defRPr>
                </a:pPr>
                <a:endParaRPr lang="ja-JP" altLang="en-US"/>
              </a:p>
            </c:txPr>
            <c:dLblPos val="b"/>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'[0]●診療所医師数　平均年齢の推移'!$D$10:$L$10</c:f>
              <c:strCache>
                <c:ptCount val="9"/>
                <c:pt idx="0">
                  <c:v>H14</c:v>
                </c:pt>
                <c:pt idx="1">
                  <c:v>H16</c:v>
                </c:pt>
                <c:pt idx="2">
                  <c:v>H18</c:v>
                </c:pt>
                <c:pt idx="3">
                  <c:v>H20</c:v>
                </c:pt>
                <c:pt idx="4">
                  <c:v>H22</c:v>
                </c:pt>
                <c:pt idx="5">
                  <c:v>H24</c:v>
                </c:pt>
                <c:pt idx="6">
                  <c:v>H26</c:v>
                </c:pt>
                <c:pt idx="7">
                  <c:v>H28</c:v>
                </c:pt>
                <c:pt idx="8">
                  <c:v>H30</c:v>
                </c:pt>
              </c:strCache>
            </c:strRef>
          </c:cat>
          <c:val>
            <c:numRef>
              <c:f>'[診療所の状況.xlsx]●診療所医師数　平均年齢の推移'!$D$13:$L$13</c:f>
              <c:numCache>
                <c:formatCode>General</c:formatCode>
                <c:ptCount val="9"/>
                <c:pt idx="0">
                  <c:v>51.3</c:v>
                </c:pt>
                <c:pt idx="1">
                  <c:v>51.3</c:v>
                </c:pt>
                <c:pt idx="2">
                  <c:v>51.5</c:v>
                </c:pt>
                <c:pt idx="3">
                  <c:v>52.4</c:v>
                </c:pt>
                <c:pt idx="4">
                  <c:v>54.3</c:v>
                </c:pt>
                <c:pt idx="5">
                  <c:v>54.6</c:v>
                </c:pt>
                <c:pt idx="6">
                  <c:v>54.6</c:v>
                </c:pt>
                <c:pt idx="7">
                  <c:v>56.8</c:v>
                </c:pt>
                <c:pt idx="8">
                  <c:v>56.9</c:v>
                </c:pt>
              </c:numCache>
            </c:numRef>
          </c:val>
          <c:smooth val="0"/>
        </c:s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sz="900" kern="1200">
                <a:solidFill>
                  <a:schemeClr val="tx1">
                    <a:lumMod val="75000"/>
                    <a:lumOff val="25000"/>
                  </a:schemeClr>
                </a:solidFill>
                <a:latin typeface="+mn-lt"/>
                <a:ea typeface="+mn-ea"/>
                <a:cs typeface="+mn-cs"/>
              </a:endParaRPr>
            </a:p>
          </c:txPr>
          <c:showLegendKey val="0"/>
          <c:showVal val="0"/>
          <c:showCatName val="0"/>
          <c:showSerName val="0"/>
          <c:showPercent val="0"/>
          <c:showBubbleSize val="0"/>
        </c:dLbls>
        <c:marker val="0"/>
        <c:smooth val="0"/>
        <c:axId val="1"/>
        <c:axId val="2"/>
      </c:lineChart>
      <c:catAx>
        <c:axId val="1"/>
        <c:scaling>
          <c:orientation val="minMax"/>
        </c:scaling>
        <c:delete val="0"/>
        <c:axPos val="b"/>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kumimoji="0" lang="ja-JP" altLang="en-US" sz="900" kern="1200">
                <a:solidFill>
                  <a:schemeClr val="tx1"/>
                </a:solidFill>
                <a:latin typeface="+mn-lt"/>
                <a:ea typeface="+mn-ea"/>
                <a:cs typeface="+mn-cs"/>
              </a:defRPr>
            </a:pPr>
            <a:endParaRPr lang="ja-JP" altLang="en-US"/>
          </a:p>
        </c:txPr>
        <c:crossAx val="2"/>
        <c:crosses val="autoZero"/>
        <c:auto val="1"/>
        <c:lblAlgn val="ctr"/>
        <c:lblOffset val="100"/>
        <c:noMultiLvlLbl val="0"/>
      </c:catAx>
      <c:valAx>
        <c:axId val="2"/>
        <c:scaling>
          <c:orientation val="minMax"/>
          <c:min val="50"/>
        </c:scaling>
        <c:delete val="0"/>
        <c:axPos val="l"/>
        <c:majorGridlines>
          <c:spPr>
            <a:noFill/>
            <a:ln w="9525" cap="flat" cmpd="sng" algn="ctr">
              <a:solidFill>
                <a:schemeClr val="tx1">
                  <a:lumMod val="15000"/>
                  <a:lumOff val="85000"/>
                </a:schemeClr>
              </a:solidFill>
              <a:round/>
            </a:ln>
            <a:effectLst/>
          </c:spPr>
        </c:majorGridlines>
        <c:numFmt formatCode="General" sourceLinked="1"/>
        <c:majorTickMark val="in"/>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900" kern="1200">
                <a:solidFill>
                  <a:schemeClr val="tx1"/>
                </a:solidFill>
                <a:latin typeface="+mn-lt"/>
                <a:ea typeface="+mn-ea"/>
                <a:cs typeface="+mn-cs"/>
              </a:defRPr>
            </a:pPr>
            <a:endParaRPr lang="ja-JP" altLang="en-US"/>
          </a:p>
        </c:txPr>
        <c:crossAx val="1"/>
        <c:crosses val="autoZero"/>
        <c:crossBetween val="between"/>
      </c:valAx>
      <c:spPr>
        <a:noFill/>
        <a:ln>
          <a:noFill/>
        </a:ln>
        <a:effectLst/>
      </c:spPr>
    </c:plotArea>
    <c:legend>
      <c:legendPos val="r"/>
      <c:layout/>
      <c:overlay val="0"/>
      <c:spPr>
        <a:noFill/>
        <a:ln>
          <a:noFill/>
        </a:ln>
        <a:effectLst/>
      </c:spPr>
      <c:txPr>
        <a:bodyPr rot="0" spcFirstLastPara="1" vertOverflow="ellipsis" horzOverflow="overflow" wrap="square" anchor="ctr" anchorCtr="1"/>
        <a:lstStyle/>
        <a:p>
          <a:pPr algn="l" rtl="0">
            <a:defRPr kumimoji="0" lang="ja-JP" altLang="en-US" sz="900" kern="1200">
              <a:solidFill>
                <a:schemeClr val="tx1"/>
              </a:solidFill>
              <a:latin typeface="+mn-lt"/>
              <a:ea typeface="+mn-ea"/>
              <a:cs typeface="+mn-cs"/>
            </a:defRPr>
          </a:pPr>
          <a:endParaRPr lang="ja-JP" alt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vertOverflow="overflow" horzOverflow="overflow" anchor="ctr" anchorCtr="1"/>
    <a:lstStyle/>
    <a:p>
      <a:pPr algn="ctr" rtl="0">
        <a:defRPr lang="ja-JP" altLang="en-US"/>
      </a:pPr>
      <a:endParaRPr lang="ja-JP" altLang="en-US"/>
    </a:p>
  </c:txPr>
  <c:externalData r:id="rId1">
    <c:autoUpdate val="0"/>
  </c:externalData>
  <c:extLst>
    <c:ext xmlns:c14="http://schemas.microsoft.com/office/drawing/2007/8/2/chart" uri="{781A3756-C4B2-4CAC-9D66-4F8BD8637D16}"/>
  </c:extLst>
</c:chartSpace>
</file>

<file path=word/charts/chart7.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horzOverflow="overflow" wrap="square" anchor="t" anchorCtr="1"/>
          <a:lstStyle/>
          <a:p>
            <a:pPr algn="ctr" rtl="0">
              <a:defRPr kumimoji="0" lang="ja-JP" altLang="en-US" sz="1200" b="0" i="0" u="none" strike="noStrike" kern="1200" cap="none" spc="0" normalizeH="0" baseline="0">
                <a:solidFill>
                  <a:schemeClr val="tx1"/>
                </a:solidFill>
                <a:latin typeface="+mj-lt"/>
                <a:ea typeface="+mj-ea"/>
                <a:cs typeface="+mj-cs"/>
              </a:defRPr>
            </a:pPr>
            <a:r>
              <a:rPr kumimoji="0" lang="ja-JP" altLang="en-US" sz="1200" b="0" i="0" u="none" strike="noStrike" kern="1200" cap="none" spc="0" normalizeH="0" baseline="0">
                <a:solidFill>
                  <a:schemeClr val="tx1"/>
                </a:solidFill>
                <a:latin typeface="+mj-lt"/>
                <a:ea typeface="+mj-ea"/>
                <a:cs typeface="+mj-cs"/>
              </a:rPr>
              <a:t>一般診療所に勤務する医師の年齢区分毎の状況</a:t>
            </a:r>
            <a:endParaRPr kumimoji="0" lang="ja-JP" altLang="en-US" sz="1200" b="0" i="0" u="none" strike="noStrike" kern="1200" cap="none" spc="0" normalizeH="0" baseline="0">
              <a:solidFill>
                <a:schemeClr val="tx1"/>
              </a:solidFill>
              <a:latin typeface="+mj-lt"/>
              <a:ea typeface="+mj-ea"/>
              <a:cs typeface="+mj-cs"/>
            </a:endParaRPr>
          </a:p>
        </c:rich>
      </c:tx>
      <c:layout/>
      <c:overlay val="0"/>
      <c:spPr>
        <a:noFill/>
        <a:ln>
          <a:noFill/>
        </a:ln>
        <a:effectLst/>
      </c:spPr>
    </c:title>
    <c:autoTitleDeleted val="0"/>
    <c:plotArea>
      <c:layout/>
      <c:barChart>
        <c:barDir val="col"/>
        <c:grouping val="clustered"/>
        <c:varyColors val="0"/>
        <c:ser>
          <c:idx val="0"/>
          <c:order val="0"/>
          <c:tx>
            <c:strRef>
              <c:f>Sheet3!$B$3</c:f>
              <c:strCache>
                <c:ptCount val="1"/>
                <c:pt idx="0">
                  <c:v>H14</c:v>
                </c:pt>
              </c:strCache>
            </c:strRef>
          </c:tx>
          <c:spPr>
            <a:solidFill>
              <a:schemeClr val="accent6"/>
            </a:solidFill>
            <a:ln>
              <a:noFill/>
            </a:ln>
            <a:effectLst/>
          </c:spPr>
          <c:invertIfNegative val="0"/>
          <c:dLbls>
            <c:spPr>
              <a:noFill/>
              <a:ln>
                <a:noFill/>
              </a:ln>
              <a:effectLst/>
            </c:spPr>
            <c:txPr>
              <a:bodyPr rot="-5400000" spcFirstLastPara="1" vertOverflow="clip" horzOverflow="clip" wrap="square" lIns="38100" tIns="19050" rIns="38100" bIns="19050" anchor="ctr" anchorCtr="1">
                <a:spAutoFit/>
              </a:bodyPr>
              <a:lstStyle/>
              <a:p>
                <a:pPr algn="ctr" rtl="0">
                  <a:defRPr kumimoji="0" lang="ja-JP" altLang="en-US" sz="600" kern="1200">
                    <a:solidFill>
                      <a:schemeClr val="tx1">
                        <a:lumMod val="75000"/>
                        <a:lumOff val="25000"/>
                      </a:schemeClr>
                    </a:solidFill>
                    <a:latin typeface="+mn-lt"/>
                    <a:ea typeface="+mn-ea"/>
                    <a:cs typeface="+mn-cs"/>
                  </a:defRPr>
                </a:pPr>
                <a:endParaRPr lang="ja-JP" altLang="en-US"/>
              </a:p>
            </c:txPr>
            <c:dLblPos val="outEnd"/>
            <c:showLegendKey val="0"/>
            <c:showVal val="1"/>
            <c:showCatName val="0"/>
            <c:showSerName val="0"/>
            <c:showPercent val="0"/>
            <c:showBubbleSize val="0"/>
            <c:extLst>
              <c:ext xmlns:c15="http://schemas.microsoft.com/office/drawing/2012/chart" uri="{CE6537A1-D6FC-4f65-9D91-7224C49458BB}">
                <c15:showLeaderLines val="1"/>
                <c15:leaderLines>
                  <c:spPr>
                    <a:noFill/>
                    <a:ln w="9525">
                      <a:solidFill>
                        <a:schemeClr val="tx1">
                          <a:lumMod val="35000"/>
                          <a:lumOff val="65000"/>
                        </a:schemeClr>
                      </a:solidFill>
                    </a:ln>
                    <a:effectLst/>
                  </c:spPr>
                </c15:leaderLines>
              </c:ext>
            </c:extLst>
          </c:dLbls>
          <c:cat>
            <c:strRef>
              <c:f>Sheet3!$C$2:$O$2</c:f>
              <c:strCache>
                <c:ptCount val="13"/>
                <c:pt idx="0">
                  <c:v>～24歳</c:v>
                </c:pt>
                <c:pt idx="1">
                  <c:v>25歳～29歳</c:v>
                </c:pt>
                <c:pt idx="2">
                  <c:v>30歳～34歳</c:v>
                </c:pt>
                <c:pt idx="3">
                  <c:v>35歳～39歳</c:v>
                </c:pt>
                <c:pt idx="4">
                  <c:v>40歳～44歳</c:v>
                </c:pt>
                <c:pt idx="5">
                  <c:v>45歳～49歳</c:v>
                </c:pt>
                <c:pt idx="6">
                  <c:v>50歳～54歳</c:v>
                </c:pt>
                <c:pt idx="7">
                  <c:v>55歳～59歳</c:v>
                </c:pt>
                <c:pt idx="8">
                  <c:v>60歳～64歳</c:v>
                </c:pt>
                <c:pt idx="9">
                  <c:v>65歳～69歳</c:v>
                </c:pt>
                <c:pt idx="10">
                  <c:v>70歳～74歳</c:v>
                </c:pt>
                <c:pt idx="11">
                  <c:v>75歳～79歳</c:v>
                </c:pt>
                <c:pt idx="12">
                  <c:v>80歳以上</c:v>
                </c:pt>
              </c:strCache>
            </c:strRef>
          </c:cat>
          <c:val>
            <c:numRef>
              <c:f>[診療所年齢推移.xlsx]Sheet3!$C$3:$O$3</c:f>
              <c:numCache>
                <c:formatCode>General</c:formatCode>
                <c:ptCount val="13"/>
                <c:pt idx="0">
                  <c:v>1</c:v>
                </c:pt>
                <c:pt idx="1">
                  <c:v>3</c:v>
                </c:pt>
                <c:pt idx="2">
                  <c:v>18</c:v>
                </c:pt>
                <c:pt idx="3">
                  <c:v>24</c:v>
                </c:pt>
                <c:pt idx="4">
                  <c:v>61</c:v>
                </c:pt>
                <c:pt idx="5">
                  <c:v>81</c:v>
                </c:pt>
                <c:pt idx="6">
                  <c:v>86</c:v>
                </c:pt>
                <c:pt idx="7">
                  <c:v>52</c:v>
                </c:pt>
                <c:pt idx="8">
                  <c:v>52</c:v>
                </c:pt>
                <c:pt idx="9">
                  <c:v>49</c:v>
                </c:pt>
                <c:pt idx="10">
                  <c:v>45</c:v>
                </c:pt>
                <c:pt idx="11">
                  <c:v>46</c:v>
                </c:pt>
                <c:pt idx="12">
                  <c:v>30</c:v>
                </c:pt>
              </c:numCache>
            </c:numRef>
          </c:val>
        </c:ser>
        <c:ser>
          <c:idx val="1"/>
          <c:order val="1"/>
          <c:tx>
            <c:strRef>
              <c:f>Sheet3!$B$4</c:f>
              <c:strCache>
                <c:ptCount val="1"/>
                <c:pt idx="0">
                  <c:v>H16</c:v>
                </c:pt>
              </c:strCache>
            </c:strRef>
          </c:tx>
          <c:spPr>
            <a:solidFill>
              <a:schemeClr val="accent5"/>
            </a:solidFill>
            <a:ln>
              <a:noFill/>
            </a:ln>
            <a:effectLst/>
          </c:spPr>
          <c:invertIfNegative val="0"/>
          <c:dLbls>
            <c:spPr>
              <a:noFill/>
              <a:ln>
                <a:noFill/>
              </a:ln>
              <a:effectLst/>
            </c:spPr>
            <c:txPr>
              <a:bodyPr rot="-5400000" spcFirstLastPara="1" vertOverflow="clip" horzOverflow="clip" wrap="square" lIns="38100" tIns="19050" rIns="38100" bIns="19050" anchor="ctr" anchorCtr="1">
                <a:spAutoFit/>
              </a:bodyPr>
              <a:lstStyle/>
              <a:p>
                <a:pPr algn="ctr" rtl="0">
                  <a:defRPr kumimoji="0" lang="ja-JP" altLang="en-US" sz="600" kern="1200">
                    <a:solidFill>
                      <a:schemeClr val="tx1">
                        <a:lumMod val="75000"/>
                        <a:lumOff val="25000"/>
                      </a:schemeClr>
                    </a:solidFill>
                    <a:latin typeface="+mn-lt"/>
                    <a:ea typeface="+mn-ea"/>
                    <a:cs typeface="+mn-cs"/>
                  </a:defRPr>
                </a:pPr>
                <a:endParaRPr lang="ja-JP" altLang="en-US"/>
              </a:p>
            </c:txPr>
            <c:dLblPos val="outEnd"/>
            <c:showLegendKey val="0"/>
            <c:showVal val="1"/>
            <c:showCatName val="0"/>
            <c:showSerName val="0"/>
            <c:showPercent val="0"/>
            <c:showBubbleSize val="0"/>
            <c:extLst>
              <c:ext xmlns:c15="http://schemas.microsoft.com/office/drawing/2012/chart" uri="{CE6537A1-D6FC-4f65-9D91-7224C49458BB}">
                <c15:showLeaderLines val="1"/>
                <c15:leaderLines>
                  <c:spPr>
                    <a:noFill/>
                    <a:ln w="9525">
                      <a:solidFill>
                        <a:schemeClr val="tx1">
                          <a:lumMod val="35000"/>
                          <a:lumOff val="65000"/>
                        </a:schemeClr>
                      </a:solidFill>
                    </a:ln>
                    <a:effectLst/>
                  </c:spPr>
                </c15:leaderLines>
              </c:ext>
            </c:extLst>
          </c:dLbls>
          <c:cat>
            <c:strRef>
              <c:f>Sheet3!$C$2:$O$2</c:f>
              <c:strCache>
                <c:ptCount val="13"/>
                <c:pt idx="0">
                  <c:v>～24歳</c:v>
                </c:pt>
                <c:pt idx="1">
                  <c:v>25歳～29歳</c:v>
                </c:pt>
                <c:pt idx="2">
                  <c:v>30歳～34歳</c:v>
                </c:pt>
                <c:pt idx="3">
                  <c:v>35歳～39歳</c:v>
                </c:pt>
                <c:pt idx="4">
                  <c:v>40歳～44歳</c:v>
                </c:pt>
                <c:pt idx="5">
                  <c:v>45歳～49歳</c:v>
                </c:pt>
                <c:pt idx="6">
                  <c:v>50歳～54歳</c:v>
                </c:pt>
                <c:pt idx="7">
                  <c:v>55歳～59歳</c:v>
                </c:pt>
                <c:pt idx="8">
                  <c:v>60歳～64歳</c:v>
                </c:pt>
                <c:pt idx="9">
                  <c:v>65歳～69歳</c:v>
                </c:pt>
                <c:pt idx="10">
                  <c:v>70歳～74歳</c:v>
                </c:pt>
                <c:pt idx="11">
                  <c:v>75歳～79歳</c:v>
                </c:pt>
                <c:pt idx="12">
                  <c:v>80歳以上</c:v>
                </c:pt>
              </c:strCache>
            </c:strRef>
          </c:cat>
          <c:val>
            <c:numRef>
              <c:f>[診療所年齢推移.xlsx]Sheet3!$C$4:$O$4</c:f>
              <c:numCache>
                <c:formatCode>General</c:formatCode>
                <c:ptCount val="13"/>
                <c:pt idx="0">
                  <c:v>0</c:v>
                </c:pt>
                <c:pt idx="1">
                  <c:v>3</c:v>
                </c:pt>
                <c:pt idx="2">
                  <c:v>21</c:v>
                </c:pt>
                <c:pt idx="3">
                  <c:v>25</c:v>
                </c:pt>
                <c:pt idx="4">
                  <c:v>57</c:v>
                </c:pt>
                <c:pt idx="5">
                  <c:v>92</c:v>
                </c:pt>
                <c:pt idx="6">
                  <c:v>78</c:v>
                </c:pt>
                <c:pt idx="7">
                  <c:v>68</c:v>
                </c:pt>
                <c:pt idx="8">
                  <c:v>56</c:v>
                </c:pt>
                <c:pt idx="9">
                  <c:v>48</c:v>
                </c:pt>
                <c:pt idx="10">
                  <c:v>32</c:v>
                </c:pt>
                <c:pt idx="11">
                  <c:v>46</c:v>
                </c:pt>
                <c:pt idx="12">
                  <c:v>40</c:v>
                </c:pt>
              </c:numCache>
            </c:numRef>
          </c:val>
        </c:ser>
        <c:ser>
          <c:idx val="2"/>
          <c:order val="2"/>
          <c:tx>
            <c:strRef>
              <c:f>Sheet3!$B$5</c:f>
              <c:strCache>
                <c:ptCount val="1"/>
                <c:pt idx="0">
                  <c:v>H18</c:v>
                </c:pt>
              </c:strCache>
            </c:strRef>
          </c:tx>
          <c:spPr>
            <a:solidFill>
              <a:schemeClr val="accent4"/>
            </a:solidFill>
            <a:ln>
              <a:noFill/>
            </a:ln>
            <a:effectLst/>
          </c:spPr>
          <c:invertIfNegative val="0"/>
          <c:dLbls>
            <c:spPr>
              <a:noFill/>
              <a:ln>
                <a:noFill/>
              </a:ln>
              <a:effectLst/>
            </c:spPr>
            <c:txPr>
              <a:bodyPr rot="-5400000" spcFirstLastPara="1" vertOverflow="clip" horzOverflow="clip" wrap="square" lIns="38100" tIns="19050" rIns="38100" bIns="19050" anchor="ctr" anchorCtr="1">
                <a:spAutoFit/>
              </a:bodyPr>
              <a:lstStyle/>
              <a:p>
                <a:pPr algn="ctr" rtl="0">
                  <a:defRPr kumimoji="0" lang="ja-JP" altLang="en-US" sz="600" kern="1200">
                    <a:solidFill>
                      <a:schemeClr val="tx1">
                        <a:lumMod val="75000"/>
                        <a:lumOff val="25000"/>
                      </a:schemeClr>
                    </a:solidFill>
                    <a:latin typeface="+mn-lt"/>
                    <a:ea typeface="+mn-ea"/>
                    <a:cs typeface="+mn-cs"/>
                  </a:defRPr>
                </a:pPr>
                <a:endParaRPr lang="ja-JP" altLang="en-US"/>
              </a:p>
            </c:txPr>
            <c:dLblPos val="outEnd"/>
            <c:showLegendKey val="0"/>
            <c:showVal val="1"/>
            <c:showCatName val="0"/>
            <c:showSerName val="0"/>
            <c:showPercent val="0"/>
            <c:showBubbleSize val="0"/>
            <c:extLst>
              <c:ext xmlns:c15="http://schemas.microsoft.com/office/drawing/2012/chart" uri="{CE6537A1-D6FC-4f65-9D91-7224C49458BB}">
                <c15:showLeaderLines val="1"/>
                <c15:leaderLines>
                  <c:spPr>
                    <a:noFill/>
                    <a:ln w="9525">
                      <a:solidFill>
                        <a:schemeClr val="tx1">
                          <a:lumMod val="35000"/>
                          <a:lumOff val="65000"/>
                        </a:schemeClr>
                      </a:solidFill>
                    </a:ln>
                    <a:effectLst/>
                  </c:spPr>
                </c15:leaderLines>
              </c:ext>
            </c:extLst>
          </c:dLbls>
          <c:cat>
            <c:strRef>
              <c:f>Sheet3!$C$2:$O$2</c:f>
              <c:strCache>
                <c:ptCount val="13"/>
                <c:pt idx="0">
                  <c:v>～24歳</c:v>
                </c:pt>
                <c:pt idx="1">
                  <c:v>25歳～29歳</c:v>
                </c:pt>
                <c:pt idx="2">
                  <c:v>30歳～34歳</c:v>
                </c:pt>
                <c:pt idx="3">
                  <c:v>35歳～39歳</c:v>
                </c:pt>
                <c:pt idx="4">
                  <c:v>40歳～44歳</c:v>
                </c:pt>
                <c:pt idx="5">
                  <c:v>45歳～49歳</c:v>
                </c:pt>
                <c:pt idx="6">
                  <c:v>50歳～54歳</c:v>
                </c:pt>
                <c:pt idx="7">
                  <c:v>55歳～59歳</c:v>
                </c:pt>
                <c:pt idx="8">
                  <c:v>60歳～64歳</c:v>
                </c:pt>
                <c:pt idx="9">
                  <c:v>65歳～69歳</c:v>
                </c:pt>
                <c:pt idx="10">
                  <c:v>70歳～74歳</c:v>
                </c:pt>
                <c:pt idx="11">
                  <c:v>75歳～79歳</c:v>
                </c:pt>
                <c:pt idx="12">
                  <c:v>80歳以上</c:v>
                </c:pt>
              </c:strCache>
            </c:strRef>
          </c:cat>
          <c:val>
            <c:numRef>
              <c:f>[診療所年齢推移.xlsx]Sheet3!$C$5:$O$5</c:f>
              <c:numCache>
                <c:formatCode>General</c:formatCode>
                <c:ptCount val="13"/>
                <c:pt idx="0">
                  <c:v>0</c:v>
                </c:pt>
                <c:pt idx="1">
                  <c:v>1</c:v>
                </c:pt>
                <c:pt idx="2">
                  <c:v>13</c:v>
                </c:pt>
                <c:pt idx="3">
                  <c:v>37</c:v>
                </c:pt>
                <c:pt idx="4">
                  <c:v>50</c:v>
                </c:pt>
                <c:pt idx="5">
                  <c:v>87</c:v>
                </c:pt>
                <c:pt idx="6">
                  <c:v>83</c:v>
                </c:pt>
                <c:pt idx="7">
                  <c:v>79</c:v>
                </c:pt>
                <c:pt idx="8">
                  <c:v>52</c:v>
                </c:pt>
                <c:pt idx="9">
                  <c:v>47</c:v>
                </c:pt>
                <c:pt idx="10">
                  <c:v>36</c:v>
                </c:pt>
                <c:pt idx="11">
                  <c:v>37</c:v>
                </c:pt>
                <c:pt idx="12">
                  <c:v>38</c:v>
                </c:pt>
              </c:numCache>
            </c:numRef>
          </c:val>
        </c:ser>
        <c:ser>
          <c:idx val="3"/>
          <c:order val="3"/>
          <c:tx>
            <c:strRef>
              <c:f>Sheet3!$B$6</c:f>
              <c:strCache>
                <c:ptCount val="1"/>
                <c:pt idx="0">
                  <c:v>H20</c:v>
                </c:pt>
              </c:strCache>
            </c:strRef>
          </c:tx>
          <c:spPr>
            <a:solidFill>
              <a:schemeClr val="accent6">
                <a:lumMod val="60000"/>
              </a:schemeClr>
            </a:solidFill>
            <a:ln>
              <a:noFill/>
            </a:ln>
            <a:effectLst/>
          </c:spPr>
          <c:invertIfNegative val="0"/>
          <c:dLbls>
            <c:spPr>
              <a:noFill/>
              <a:ln>
                <a:noFill/>
              </a:ln>
              <a:effectLst/>
            </c:spPr>
            <c:txPr>
              <a:bodyPr rot="-5400000" spcFirstLastPara="1" vertOverflow="clip" horzOverflow="clip" wrap="square" lIns="38100" tIns="19050" rIns="38100" bIns="19050" anchor="ctr" anchorCtr="1">
                <a:spAutoFit/>
              </a:bodyPr>
              <a:lstStyle/>
              <a:p>
                <a:pPr algn="ctr" rtl="0">
                  <a:defRPr kumimoji="0" lang="ja-JP" altLang="en-US" sz="600" kern="1200">
                    <a:solidFill>
                      <a:schemeClr val="tx1">
                        <a:lumMod val="75000"/>
                        <a:lumOff val="25000"/>
                      </a:schemeClr>
                    </a:solidFill>
                    <a:latin typeface="+mn-lt"/>
                    <a:ea typeface="+mn-ea"/>
                    <a:cs typeface="+mn-cs"/>
                  </a:defRPr>
                </a:pPr>
                <a:endParaRPr lang="ja-JP" altLang="en-US"/>
              </a:p>
            </c:txPr>
            <c:dLblPos val="outEnd"/>
            <c:showLegendKey val="0"/>
            <c:showVal val="1"/>
            <c:showCatName val="0"/>
            <c:showSerName val="0"/>
            <c:showPercent val="0"/>
            <c:showBubbleSize val="0"/>
            <c:extLst>
              <c:ext xmlns:c15="http://schemas.microsoft.com/office/drawing/2012/chart" uri="{CE6537A1-D6FC-4f65-9D91-7224C49458BB}">
                <c15:showLeaderLines val="1"/>
                <c15:leaderLines>
                  <c:spPr>
                    <a:noFill/>
                    <a:ln w="9525">
                      <a:solidFill>
                        <a:schemeClr val="tx1">
                          <a:lumMod val="35000"/>
                          <a:lumOff val="65000"/>
                        </a:schemeClr>
                      </a:solidFill>
                    </a:ln>
                    <a:effectLst/>
                  </c:spPr>
                </c15:leaderLines>
              </c:ext>
            </c:extLst>
          </c:dLbls>
          <c:cat>
            <c:strRef>
              <c:f>Sheet3!$C$2:$O$2</c:f>
              <c:strCache>
                <c:ptCount val="13"/>
                <c:pt idx="0">
                  <c:v>～24歳</c:v>
                </c:pt>
                <c:pt idx="1">
                  <c:v>25歳～29歳</c:v>
                </c:pt>
                <c:pt idx="2">
                  <c:v>30歳～34歳</c:v>
                </c:pt>
                <c:pt idx="3">
                  <c:v>35歳～39歳</c:v>
                </c:pt>
                <c:pt idx="4">
                  <c:v>40歳～44歳</c:v>
                </c:pt>
                <c:pt idx="5">
                  <c:v>45歳～49歳</c:v>
                </c:pt>
                <c:pt idx="6">
                  <c:v>50歳～54歳</c:v>
                </c:pt>
                <c:pt idx="7">
                  <c:v>55歳～59歳</c:v>
                </c:pt>
                <c:pt idx="8">
                  <c:v>60歳～64歳</c:v>
                </c:pt>
                <c:pt idx="9">
                  <c:v>65歳～69歳</c:v>
                </c:pt>
                <c:pt idx="10">
                  <c:v>70歳～74歳</c:v>
                </c:pt>
                <c:pt idx="11">
                  <c:v>75歳～79歳</c:v>
                </c:pt>
                <c:pt idx="12">
                  <c:v>80歳以上</c:v>
                </c:pt>
              </c:strCache>
            </c:strRef>
          </c:cat>
          <c:val>
            <c:numRef>
              <c:f>[診療所年齢推移.xlsx]Sheet3!$C$6:$O$6</c:f>
              <c:numCache>
                <c:formatCode>General</c:formatCode>
                <c:ptCount val="13"/>
                <c:pt idx="0">
                  <c:v>0</c:v>
                </c:pt>
                <c:pt idx="1">
                  <c:v>3</c:v>
                </c:pt>
                <c:pt idx="2">
                  <c:v>6</c:v>
                </c:pt>
                <c:pt idx="3">
                  <c:v>39</c:v>
                </c:pt>
                <c:pt idx="4">
                  <c:v>45</c:v>
                </c:pt>
                <c:pt idx="5">
                  <c:v>70</c:v>
                </c:pt>
                <c:pt idx="6">
                  <c:v>102</c:v>
                </c:pt>
                <c:pt idx="7">
                  <c:v>83</c:v>
                </c:pt>
                <c:pt idx="8">
                  <c:v>59</c:v>
                </c:pt>
                <c:pt idx="9">
                  <c:v>52</c:v>
                </c:pt>
                <c:pt idx="10">
                  <c:v>36</c:v>
                </c:pt>
                <c:pt idx="11">
                  <c:v>25</c:v>
                </c:pt>
                <c:pt idx="12">
                  <c:v>40</c:v>
                </c:pt>
              </c:numCache>
            </c:numRef>
          </c:val>
        </c:ser>
        <c:ser>
          <c:idx val="4"/>
          <c:order val="4"/>
          <c:tx>
            <c:strRef>
              <c:f>Sheet3!$B$7</c:f>
              <c:strCache>
                <c:ptCount val="1"/>
                <c:pt idx="0">
                  <c:v>H22</c:v>
                </c:pt>
              </c:strCache>
            </c:strRef>
          </c:tx>
          <c:spPr>
            <a:solidFill>
              <a:schemeClr val="accent5">
                <a:lumMod val="60000"/>
              </a:schemeClr>
            </a:solidFill>
            <a:ln>
              <a:noFill/>
            </a:ln>
            <a:effectLst/>
          </c:spPr>
          <c:invertIfNegative val="0"/>
          <c:dLbls>
            <c:spPr>
              <a:noFill/>
              <a:ln>
                <a:noFill/>
              </a:ln>
              <a:effectLst/>
            </c:spPr>
            <c:txPr>
              <a:bodyPr rot="-5400000" spcFirstLastPara="1" vertOverflow="clip" horzOverflow="clip" wrap="square" lIns="38100" tIns="19050" rIns="38100" bIns="19050" anchor="ctr" anchorCtr="1">
                <a:spAutoFit/>
              </a:bodyPr>
              <a:lstStyle/>
              <a:p>
                <a:pPr algn="ctr" rtl="0">
                  <a:defRPr kumimoji="0" lang="ja-JP" altLang="en-US" sz="600" kern="1200">
                    <a:solidFill>
                      <a:schemeClr val="tx1">
                        <a:lumMod val="75000"/>
                        <a:lumOff val="25000"/>
                      </a:schemeClr>
                    </a:solidFill>
                    <a:latin typeface="+mn-lt"/>
                    <a:ea typeface="+mn-ea"/>
                    <a:cs typeface="+mn-cs"/>
                  </a:defRPr>
                </a:pPr>
                <a:endParaRPr lang="ja-JP" altLang="en-US"/>
              </a:p>
            </c:txPr>
            <c:dLblPos val="outEnd"/>
            <c:showLegendKey val="0"/>
            <c:showVal val="1"/>
            <c:showCatName val="0"/>
            <c:showSerName val="0"/>
            <c:showPercent val="0"/>
            <c:showBubbleSize val="0"/>
            <c:extLst>
              <c:ext xmlns:c15="http://schemas.microsoft.com/office/drawing/2012/chart" uri="{CE6537A1-D6FC-4f65-9D91-7224C49458BB}">
                <c15:showLeaderLines val="1"/>
                <c15:leaderLines>
                  <c:spPr>
                    <a:noFill/>
                    <a:ln w="9525">
                      <a:solidFill>
                        <a:schemeClr val="tx1">
                          <a:lumMod val="35000"/>
                          <a:lumOff val="65000"/>
                        </a:schemeClr>
                      </a:solidFill>
                    </a:ln>
                    <a:effectLst/>
                  </c:spPr>
                </c15:leaderLines>
              </c:ext>
            </c:extLst>
          </c:dLbls>
          <c:cat>
            <c:strRef>
              <c:f>Sheet3!$C$2:$O$2</c:f>
              <c:strCache>
                <c:ptCount val="13"/>
                <c:pt idx="0">
                  <c:v>～24歳</c:v>
                </c:pt>
                <c:pt idx="1">
                  <c:v>25歳～29歳</c:v>
                </c:pt>
                <c:pt idx="2">
                  <c:v>30歳～34歳</c:v>
                </c:pt>
                <c:pt idx="3">
                  <c:v>35歳～39歳</c:v>
                </c:pt>
                <c:pt idx="4">
                  <c:v>40歳～44歳</c:v>
                </c:pt>
                <c:pt idx="5">
                  <c:v>45歳～49歳</c:v>
                </c:pt>
                <c:pt idx="6">
                  <c:v>50歳～54歳</c:v>
                </c:pt>
                <c:pt idx="7">
                  <c:v>55歳～59歳</c:v>
                </c:pt>
                <c:pt idx="8">
                  <c:v>60歳～64歳</c:v>
                </c:pt>
                <c:pt idx="9">
                  <c:v>65歳～69歳</c:v>
                </c:pt>
                <c:pt idx="10">
                  <c:v>70歳～74歳</c:v>
                </c:pt>
                <c:pt idx="11">
                  <c:v>75歳～79歳</c:v>
                </c:pt>
                <c:pt idx="12">
                  <c:v>80歳以上</c:v>
                </c:pt>
              </c:strCache>
            </c:strRef>
          </c:cat>
          <c:val>
            <c:numRef>
              <c:f>[診療所年齢推移.xlsx]Sheet3!$C$7:$O$7</c:f>
              <c:numCache>
                <c:formatCode>General</c:formatCode>
                <c:ptCount val="13"/>
                <c:pt idx="0">
                  <c:v>0</c:v>
                </c:pt>
                <c:pt idx="1">
                  <c:v>1</c:v>
                </c:pt>
                <c:pt idx="2">
                  <c:v>13</c:v>
                </c:pt>
                <c:pt idx="3">
                  <c:v>24</c:v>
                </c:pt>
                <c:pt idx="4">
                  <c:v>46</c:v>
                </c:pt>
                <c:pt idx="5">
                  <c:v>61</c:v>
                </c:pt>
                <c:pt idx="6">
                  <c:v>99</c:v>
                </c:pt>
                <c:pt idx="7">
                  <c:v>85</c:v>
                </c:pt>
                <c:pt idx="8">
                  <c:v>82</c:v>
                </c:pt>
                <c:pt idx="9">
                  <c:v>46</c:v>
                </c:pt>
                <c:pt idx="10">
                  <c:v>41</c:v>
                </c:pt>
                <c:pt idx="11">
                  <c:v>26</c:v>
                </c:pt>
                <c:pt idx="12">
                  <c:v>39</c:v>
                </c:pt>
              </c:numCache>
            </c:numRef>
          </c:val>
        </c:ser>
        <c:ser>
          <c:idx val="5"/>
          <c:order val="5"/>
          <c:tx>
            <c:strRef>
              <c:f>Sheet3!$B$8</c:f>
              <c:strCache>
                <c:ptCount val="1"/>
                <c:pt idx="0">
                  <c:v>H24</c:v>
                </c:pt>
              </c:strCache>
            </c:strRef>
          </c:tx>
          <c:spPr>
            <a:solidFill>
              <a:schemeClr val="accent4">
                <a:lumMod val="60000"/>
              </a:schemeClr>
            </a:solidFill>
            <a:ln>
              <a:noFill/>
            </a:ln>
            <a:effectLst/>
          </c:spPr>
          <c:invertIfNegative val="0"/>
          <c:dPt>
            <c:idx val="10"/>
            <c:invertIfNegative val="0"/>
            <c:bubble3D val="0"/>
            <c:spPr>
              <a:solidFill>
                <a:schemeClr val="accent4">
                  <a:lumMod val="60000"/>
                </a:schemeClr>
              </a:solidFill>
              <a:ln>
                <a:noFill/>
              </a:ln>
              <a:effectLst/>
            </c:spPr>
          </c:dPt>
          <c:dPt>
            <c:idx val="11"/>
            <c:invertIfNegative val="0"/>
            <c:bubble3D val="0"/>
            <c:spPr>
              <a:solidFill>
                <a:schemeClr val="accent4">
                  <a:lumMod val="60000"/>
                </a:schemeClr>
              </a:solidFill>
              <a:ln>
                <a:noFill/>
              </a:ln>
              <a:effectLst/>
            </c:spPr>
          </c:dPt>
          <c:dLbls>
            <c:dLbl>
              <c:idx val="10"/>
              <c:layout/>
              <c:spPr>
                <a:noFill/>
                <a:ln>
                  <a:noFill/>
                </a:ln>
                <a:effectLst/>
              </c:spPr>
              <c:txPr>
                <a:bodyPr rot="-5400000" spcFirstLastPara="1" vertOverflow="clip" horzOverflow="clip" wrap="square" lIns="38100" tIns="19050" rIns="38100" bIns="19050" anchor="ctr" anchorCtr="1">
                  <a:spAutoFit/>
                </a:bodyPr>
                <a:lstStyle/>
                <a:p>
                  <a:pPr algn="ctr" rtl="0">
                    <a:defRPr kumimoji="0" lang="ja-JP" altLang="en-US" sz="600" kern="1200">
                      <a:solidFill>
                        <a:schemeClr val="tx1">
                          <a:lumMod val="75000"/>
                          <a:lumOff val="25000"/>
                        </a:schemeClr>
                      </a:solidFill>
                      <a:latin typeface="+mn-lt"/>
                      <a:ea typeface="+mn-ea"/>
                      <a:cs typeface="+mn-cs"/>
                    </a:defRPr>
                  </a:pPr>
                  <a:endParaRPr lang="ja-JP" altLang="en-US"/>
                </a:p>
              </c:txPr>
              <c:dLblPos val="outEnd"/>
              <c:showLegendKey val="0"/>
              <c:showVal val="1"/>
              <c:showCatName val="0"/>
              <c:showSerName val="0"/>
              <c:showPercent val="0"/>
              <c:showBubbleSize val="0"/>
            </c:dLbl>
            <c:dLbl>
              <c:idx val="11"/>
              <c:layout/>
              <c:spPr>
                <a:noFill/>
                <a:ln>
                  <a:noFill/>
                </a:ln>
                <a:effectLst/>
              </c:spPr>
              <c:txPr>
                <a:bodyPr rot="-5400000" spcFirstLastPara="1" vertOverflow="clip" horzOverflow="clip" wrap="square" lIns="38100" tIns="19050" rIns="38100" bIns="19050" anchor="ctr" anchorCtr="1">
                  <a:spAutoFit/>
                </a:bodyPr>
                <a:lstStyle/>
                <a:p>
                  <a:pPr algn="ctr" rtl="0">
                    <a:defRPr kumimoji="0" lang="ja-JP" altLang="en-US" sz="600" kern="1200">
                      <a:solidFill>
                        <a:schemeClr val="tx1">
                          <a:lumMod val="75000"/>
                          <a:lumOff val="25000"/>
                        </a:schemeClr>
                      </a:solidFill>
                      <a:latin typeface="+mn-lt"/>
                      <a:ea typeface="+mn-ea"/>
                      <a:cs typeface="+mn-cs"/>
                    </a:defRPr>
                  </a:pPr>
                  <a:endParaRPr lang="ja-JP" altLang="en-US"/>
                </a:p>
              </c:txPr>
              <c:dLblPos val="outEnd"/>
              <c:showLegendKey val="0"/>
              <c:showVal val="1"/>
              <c:showCatName val="0"/>
              <c:showSerName val="0"/>
              <c:showPercent val="0"/>
              <c:showBubbleSize val="0"/>
            </c:dLbl>
            <c:spPr>
              <a:noFill/>
              <a:ln>
                <a:noFill/>
              </a:ln>
              <a:effectLst/>
            </c:spPr>
            <c:txPr>
              <a:bodyPr rot="-5400000" spcFirstLastPara="1" vertOverflow="clip" horzOverflow="clip" wrap="square" lIns="38100" tIns="19050" rIns="38100" bIns="19050" anchor="ctr" anchorCtr="1">
                <a:spAutoFit/>
              </a:bodyPr>
              <a:lstStyle/>
              <a:p>
                <a:pPr algn="ctr" rtl="0">
                  <a:defRPr kumimoji="0" lang="ja-JP" altLang="en-US" sz="600" kern="1200">
                    <a:solidFill>
                      <a:schemeClr val="tx1">
                        <a:lumMod val="75000"/>
                        <a:lumOff val="25000"/>
                      </a:schemeClr>
                    </a:solidFill>
                    <a:latin typeface="+mn-lt"/>
                    <a:ea typeface="+mn-ea"/>
                    <a:cs typeface="+mn-cs"/>
                  </a:defRPr>
                </a:pPr>
                <a:endParaRPr lang="ja-JP" altLang="en-US"/>
              </a:p>
            </c:txPr>
            <c:dLblPos val="outEnd"/>
            <c:showLegendKey val="0"/>
            <c:showVal val="1"/>
            <c:showCatName val="0"/>
            <c:showSerName val="0"/>
            <c:showPercent val="0"/>
            <c:showBubbleSize val="0"/>
            <c:extLst>
              <c:ext xmlns:c15="http://schemas.microsoft.com/office/drawing/2012/chart" uri="{CE6537A1-D6FC-4f65-9D91-7224C49458BB}">
                <c15:showLeaderLines val="1"/>
                <c15:leaderLines>
                  <c:spPr>
                    <a:noFill/>
                    <a:ln w="9525">
                      <a:solidFill>
                        <a:schemeClr val="tx1">
                          <a:lumMod val="35000"/>
                          <a:lumOff val="65000"/>
                        </a:schemeClr>
                      </a:solidFill>
                    </a:ln>
                    <a:effectLst/>
                  </c:spPr>
                </c15:leaderLines>
              </c:ext>
            </c:extLst>
          </c:dLbls>
          <c:cat>
            <c:strRef>
              <c:f>Sheet3!$C$2:$O$2</c:f>
              <c:strCache>
                <c:ptCount val="13"/>
                <c:pt idx="0">
                  <c:v>～24歳</c:v>
                </c:pt>
                <c:pt idx="1">
                  <c:v>25歳～29歳</c:v>
                </c:pt>
                <c:pt idx="2">
                  <c:v>30歳～34歳</c:v>
                </c:pt>
                <c:pt idx="3">
                  <c:v>35歳～39歳</c:v>
                </c:pt>
                <c:pt idx="4">
                  <c:v>40歳～44歳</c:v>
                </c:pt>
                <c:pt idx="5">
                  <c:v>45歳～49歳</c:v>
                </c:pt>
                <c:pt idx="6">
                  <c:v>50歳～54歳</c:v>
                </c:pt>
                <c:pt idx="7">
                  <c:v>55歳～59歳</c:v>
                </c:pt>
                <c:pt idx="8">
                  <c:v>60歳～64歳</c:v>
                </c:pt>
                <c:pt idx="9">
                  <c:v>65歳～69歳</c:v>
                </c:pt>
                <c:pt idx="10">
                  <c:v>70歳～74歳</c:v>
                </c:pt>
                <c:pt idx="11">
                  <c:v>75歳～79歳</c:v>
                </c:pt>
                <c:pt idx="12">
                  <c:v>80歳以上</c:v>
                </c:pt>
              </c:strCache>
            </c:strRef>
          </c:cat>
          <c:val>
            <c:numRef>
              <c:f>[診療所年齢推移.xlsx]Sheet3!$C$8:$O$8</c:f>
              <c:numCache>
                <c:formatCode>General</c:formatCode>
                <c:ptCount val="13"/>
                <c:pt idx="0">
                  <c:v>0</c:v>
                </c:pt>
                <c:pt idx="1">
                  <c:v>1</c:v>
                </c:pt>
                <c:pt idx="2">
                  <c:v>13</c:v>
                </c:pt>
                <c:pt idx="3">
                  <c:v>13</c:v>
                </c:pt>
                <c:pt idx="4">
                  <c:v>55</c:v>
                </c:pt>
                <c:pt idx="5">
                  <c:v>59</c:v>
                </c:pt>
                <c:pt idx="6">
                  <c:v>86</c:v>
                </c:pt>
                <c:pt idx="7">
                  <c:v>91</c:v>
                </c:pt>
                <c:pt idx="8">
                  <c:v>99</c:v>
                </c:pt>
                <c:pt idx="9">
                  <c:v>50</c:v>
                </c:pt>
                <c:pt idx="10">
                  <c:v>44</c:v>
                </c:pt>
                <c:pt idx="11">
                  <c:v>32</c:v>
                </c:pt>
                <c:pt idx="12">
                  <c:v>30</c:v>
                </c:pt>
              </c:numCache>
            </c:numRef>
          </c:val>
        </c:ser>
        <c:ser>
          <c:idx val="6"/>
          <c:order val="6"/>
          <c:tx>
            <c:strRef>
              <c:f>Sheet3!$B$9</c:f>
              <c:strCache>
                <c:ptCount val="1"/>
                <c:pt idx="0">
                  <c:v>H26</c:v>
                </c:pt>
              </c:strCache>
            </c:strRef>
          </c:tx>
          <c:spPr>
            <a:solidFill>
              <a:schemeClr val="accent6">
                <a:lumMod val="80000"/>
                <a:lumOff val="20000"/>
              </a:schemeClr>
            </a:solidFill>
            <a:ln>
              <a:noFill/>
            </a:ln>
            <a:effectLst/>
          </c:spPr>
          <c:invertIfNegative val="0"/>
          <c:dLbls>
            <c:numFmt formatCode="General" sourceLinked="0"/>
            <c:spPr>
              <a:noFill/>
              <a:ln>
                <a:noFill/>
              </a:ln>
              <a:effectLst/>
            </c:spPr>
            <c:txPr>
              <a:bodyPr rot="-5400000" spcFirstLastPara="1" vertOverflow="clip" horzOverflow="clip" wrap="square" lIns="38100" tIns="19050" rIns="38100" bIns="19050" anchor="t" anchorCtr="1">
                <a:spAutoFit/>
              </a:bodyPr>
              <a:lstStyle/>
              <a:p>
                <a:pPr algn="l" rtl="0">
                  <a:defRPr kumimoji="0" lang="ja-JP" altLang="en-US" sz="600" kern="1200">
                    <a:solidFill>
                      <a:schemeClr val="tx1">
                        <a:lumMod val="75000"/>
                        <a:lumOff val="25000"/>
                      </a:schemeClr>
                    </a:solidFill>
                    <a:latin typeface="+mn-lt"/>
                    <a:ea typeface="+mn-ea"/>
                    <a:cs typeface="+mn-cs"/>
                  </a:defRPr>
                </a:pPr>
                <a:endParaRPr lang="ja-JP" altLang="en-US"/>
              </a:p>
            </c:txPr>
            <c:dLblPos val="outEnd"/>
            <c:showLegendKey val="0"/>
            <c:showVal val="1"/>
            <c:showCatName val="0"/>
            <c:showSerName val="0"/>
            <c:showPercent val="0"/>
            <c:showBubbleSize val="0"/>
            <c:extLst>
              <c:ext xmlns:c15="http://schemas.microsoft.com/office/drawing/2012/chart" uri="{CE6537A1-D6FC-4f65-9D91-7224C49458BB}">
                <c15:showLeaderLines val="1"/>
                <c15:leaderLines>
                  <c:spPr>
                    <a:noFill/>
                    <a:ln w="9525">
                      <a:solidFill>
                        <a:schemeClr val="tx1">
                          <a:lumMod val="35000"/>
                          <a:lumOff val="65000"/>
                        </a:schemeClr>
                      </a:solidFill>
                    </a:ln>
                    <a:effectLst/>
                  </c:spPr>
                </c15:leaderLines>
              </c:ext>
            </c:extLst>
          </c:dLbls>
          <c:cat>
            <c:strRef>
              <c:f>Sheet3!$C$2:$O$2</c:f>
              <c:strCache>
                <c:ptCount val="13"/>
                <c:pt idx="0">
                  <c:v>～24歳</c:v>
                </c:pt>
                <c:pt idx="1">
                  <c:v>25歳～29歳</c:v>
                </c:pt>
                <c:pt idx="2">
                  <c:v>30歳～34歳</c:v>
                </c:pt>
                <c:pt idx="3">
                  <c:v>35歳～39歳</c:v>
                </c:pt>
                <c:pt idx="4">
                  <c:v>40歳～44歳</c:v>
                </c:pt>
                <c:pt idx="5">
                  <c:v>45歳～49歳</c:v>
                </c:pt>
                <c:pt idx="6">
                  <c:v>50歳～54歳</c:v>
                </c:pt>
                <c:pt idx="7">
                  <c:v>55歳～59歳</c:v>
                </c:pt>
                <c:pt idx="8">
                  <c:v>60歳～64歳</c:v>
                </c:pt>
                <c:pt idx="9">
                  <c:v>65歳～69歳</c:v>
                </c:pt>
                <c:pt idx="10">
                  <c:v>70歳～74歳</c:v>
                </c:pt>
                <c:pt idx="11">
                  <c:v>75歳～79歳</c:v>
                </c:pt>
                <c:pt idx="12">
                  <c:v>80歳以上</c:v>
                </c:pt>
              </c:strCache>
            </c:strRef>
          </c:cat>
          <c:val>
            <c:numRef>
              <c:f>[診療所年齢推移.xlsx]Sheet3!$C$9:$O$9</c:f>
              <c:numCache>
                <c:formatCode>General</c:formatCode>
                <c:ptCount val="13"/>
                <c:pt idx="0">
                  <c:v>0</c:v>
                </c:pt>
                <c:pt idx="1">
                  <c:v>3</c:v>
                </c:pt>
                <c:pt idx="2">
                  <c:v>4</c:v>
                </c:pt>
                <c:pt idx="3">
                  <c:v>15</c:v>
                </c:pt>
                <c:pt idx="4">
                  <c:v>45</c:v>
                </c:pt>
                <c:pt idx="5">
                  <c:v>55</c:v>
                </c:pt>
                <c:pt idx="6">
                  <c:v>75</c:v>
                </c:pt>
                <c:pt idx="7">
                  <c:v>97</c:v>
                </c:pt>
                <c:pt idx="8">
                  <c:v>90</c:v>
                </c:pt>
                <c:pt idx="9">
                  <c:v>71</c:v>
                </c:pt>
                <c:pt idx="10">
                  <c:v>41</c:v>
                </c:pt>
                <c:pt idx="11">
                  <c:v>31</c:v>
                </c:pt>
                <c:pt idx="12">
                  <c:v>35</c:v>
                </c:pt>
              </c:numCache>
            </c:numRef>
          </c:val>
        </c:ser>
        <c:ser>
          <c:idx val="7"/>
          <c:order val="7"/>
          <c:tx>
            <c:strRef>
              <c:f>Sheet3!$B$10</c:f>
              <c:strCache>
                <c:ptCount val="1"/>
                <c:pt idx="0">
                  <c:v>H28</c:v>
                </c:pt>
              </c:strCache>
            </c:strRef>
          </c:tx>
          <c:spPr>
            <a:solidFill>
              <a:schemeClr val="accent5">
                <a:lumMod val="80000"/>
                <a:lumOff val="20000"/>
              </a:schemeClr>
            </a:solidFill>
            <a:ln>
              <a:noFill/>
            </a:ln>
            <a:effectLst/>
          </c:spPr>
          <c:invertIfNegative val="0"/>
          <c:dPt>
            <c:idx val="0"/>
            <c:invertIfNegative val="0"/>
            <c:bubble3D val="0"/>
            <c:spPr>
              <a:solidFill>
                <a:schemeClr val="accent5">
                  <a:lumMod val="80000"/>
                  <a:lumOff val="20000"/>
                </a:schemeClr>
              </a:solidFill>
              <a:ln>
                <a:noFill/>
              </a:ln>
              <a:effectLst/>
            </c:spPr>
          </c:dPt>
          <c:dLbls>
            <c:dLbl>
              <c:idx val="0"/>
              <c:layout/>
              <c:numFmt formatCode="0_ " sourceLinked="0"/>
              <c:spPr>
                <a:noFill/>
                <a:ln>
                  <a:noFill/>
                </a:ln>
                <a:effectLst/>
              </c:spPr>
              <c:txPr>
                <a:bodyPr rot="-5400000" spcFirstLastPara="1" vertOverflow="clip" horzOverflow="clip" wrap="square" lIns="38100" tIns="19050" rIns="38100" bIns="19050" anchor="ctr" anchorCtr="1">
                  <a:spAutoFit/>
                </a:bodyPr>
                <a:lstStyle/>
                <a:p>
                  <a:pPr algn="ctr" rtl="0">
                    <a:defRPr kumimoji="0" lang="ja-JP" altLang="en-US" sz="600" kern="1200">
                      <a:solidFill>
                        <a:schemeClr val="tx1">
                          <a:lumMod val="75000"/>
                          <a:lumOff val="25000"/>
                        </a:schemeClr>
                      </a:solidFill>
                      <a:latin typeface="+mn-lt"/>
                      <a:ea typeface="+mn-ea"/>
                      <a:cs typeface="+mn-cs"/>
                    </a:defRPr>
                  </a:pPr>
                  <a:endParaRPr lang="ja-JP" altLang="en-US"/>
                </a:p>
              </c:txPr>
              <c:dLblPos val="outEnd"/>
              <c:showLegendKey val="0"/>
              <c:showVal val="1"/>
              <c:showCatName val="0"/>
              <c:showSerName val="0"/>
              <c:showPercent val="0"/>
              <c:showBubbleSize val="0"/>
            </c:dLbl>
            <c:numFmt formatCode="0_ " sourceLinked="0"/>
            <c:spPr>
              <a:noFill/>
              <a:ln>
                <a:noFill/>
              </a:ln>
              <a:effectLst/>
            </c:spPr>
            <c:txPr>
              <a:bodyPr rot="-5400000" spcFirstLastPara="1" vertOverflow="clip" horzOverflow="clip" wrap="square" lIns="38100" tIns="19050" rIns="38100" bIns="19050" anchor="ctr" anchorCtr="1">
                <a:spAutoFit/>
              </a:bodyPr>
              <a:lstStyle/>
              <a:p>
                <a:pPr algn="ctr" rtl="0">
                  <a:defRPr kumimoji="0" lang="ja-JP" altLang="en-US" sz="600" kern="1200">
                    <a:solidFill>
                      <a:schemeClr val="tx1">
                        <a:lumMod val="75000"/>
                        <a:lumOff val="25000"/>
                      </a:schemeClr>
                    </a:solidFill>
                    <a:latin typeface="+mn-lt"/>
                    <a:ea typeface="+mn-ea"/>
                    <a:cs typeface="+mn-cs"/>
                  </a:defRPr>
                </a:pPr>
                <a:endParaRPr lang="ja-JP" altLang="en-US"/>
              </a:p>
            </c:txPr>
            <c:dLblPos val="outEnd"/>
            <c:showLegendKey val="0"/>
            <c:showVal val="1"/>
            <c:showCatName val="0"/>
            <c:showSerName val="0"/>
            <c:showPercent val="0"/>
            <c:showBubbleSize val="0"/>
            <c:extLst>
              <c:ext xmlns:c15="http://schemas.microsoft.com/office/drawing/2012/chart" uri="{CE6537A1-D6FC-4f65-9D91-7224C49458BB}">
                <c15:showLeaderLines val="1"/>
                <c15:leaderLines>
                  <c:spPr>
                    <a:noFill/>
                    <a:ln w="9525">
                      <a:solidFill>
                        <a:schemeClr val="tx1">
                          <a:lumMod val="35000"/>
                          <a:lumOff val="65000"/>
                        </a:schemeClr>
                      </a:solidFill>
                    </a:ln>
                    <a:effectLst/>
                  </c:spPr>
                </c15:leaderLines>
              </c:ext>
            </c:extLst>
          </c:dLbls>
          <c:cat>
            <c:strRef>
              <c:f>Sheet3!$C$2:$O$2</c:f>
              <c:strCache>
                <c:ptCount val="13"/>
                <c:pt idx="0">
                  <c:v>～24歳</c:v>
                </c:pt>
                <c:pt idx="1">
                  <c:v>25歳～29歳</c:v>
                </c:pt>
                <c:pt idx="2">
                  <c:v>30歳～34歳</c:v>
                </c:pt>
                <c:pt idx="3">
                  <c:v>35歳～39歳</c:v>
                </c:pt>
                <c:pt idx="4">
                  <c:v>40歳～44歳</c:v>
                </c:pt>
                <c:pt idx="5">
                  <c:v>45歳～49歳</c:v>
                </c:pt>
                <c:pt idx="6">
                  <c:v>50歳～54歳</c:v>
                </c:pt>
                <c:pt idx="7">
                  <c:v>55歳～59歳</c:v>
                </c:pt>
                <c:pt idx="8">
                  <c:v>60歳～64歳</c:v>
                </c:pt>
                <c:pt idx="9">
                  <c:v>65歳～69歳</c:v>
                </c:pt>
                <c:pt idx="10">
                  <c:v>70歳～74歳</c:v>
                </c:pt>
                <c:pt idx="11">
                  <c:v>75歳～79歳</c:v>
                </c:pt>
                <c:pt idx="12">
                  <c:v>80歳以上</c:v>
                </c:pt>
              </c:strCache>
            </c:strRef>
          </c:cat>
          <c:val>
            <c:numRef>
              <c:f>[診療所年齢推移.xlsx]Sheet3!$C$10:$O$10</c:f>
              <c:numCache>
                <c:formatCode>General</c:formatCode>
                <c:ptCount val="13"/>
                <c:pt idx="0">
                  <c:v>0</c:v>
                </c:pt>
                <c:pt idx="1">
                  <c:v>0</c:v>
                </c:pt>
                <c:pt idx="2">
                  <c:v>5</c:v>
                </c:pt>
                <c:pt idx="3">
                  <c:v>11</c:v>
                </c:pt>
                <c:pt idx="4">
                  <c:v>26</c:v>
                </c:pt>
                <c:pt idx="5">
                  <c:v>57</c:v>
                </c:pt>
                <c:pt idx="6">
                  <c:v>63</c:v>
                </c:pt>
                <c:pt idx="7">
                  <c:v>88</c:v>
                </c:pt>
                <c:pt idx="8">
                  <c:v>92</c:v>
                </c:pt>
                <c:pt idx="9">
                  <c:v>84</c:v>
                </c:pt>
                <c:pt idx="10">
                  <c:v>43</c:v>
                </c:pt>
                <c:pt idx="11">
                  <c:v>30</c:v>
                </c:pt>
                <c:pt idx="12">
                  <c:v>37</c:v>
                </c:pt>
              </c:numCache>
            </c:numRef>
          </c:val>
        </c:ser>
        <c:ser>
          <c:idx val="8"/>
          <c:order val="8"/>
          <c:tx>
            <c:strRef>
              <c:f>Sheet3!$B$11</c:f>
              <c:strCache>
                <c:ptCount val="1"/>
                <c:pt idx="0">
                  <c:v>H30</c:v>
                </c:pt>
              </c:strCache>
            </c:strRef>
          </c:tx>
          <c:spPr>
            <a:solidFill>
              <a:schemeClr val="accent4">
                <a:lumMod val="80000"/>
                <a:lumOff val="20000"/>
              </a:schemeClr>
            </a:solidFill>
            <a:ln>
              <a:noFill/>
            </a:ln>
            <a:effectLst/>
          </c:spPr>
          <c:invertIfNegative val="0"/>
          <c:dPt>
            <c:idx val="0"/>
            <c:invertIfNegative val="0"/>
            <c:bubble3D val="0"/>
            <c:spPr>
              <a:solidFill>
                <a:schemeClr val="accent4">
                  <a:lumMod val="80000"/>
                  <a:lumOff val="20000"/>
                </a:schemeClr>
              </a:solidFill>
              <a:ln>
                <a:noFill/>
              </a:ln>
              <a:effectLst/>
            </c:spPr>
          </c:dPt>
          <c:dLbls>
            <c:dLbl>
              <c:idx val="0"/>
              <c:layout/>
              <c:spPr>
                <a:noFill/>
                <a:ln>
                  <a:noFill/>
                </a:ln>
                <a:effectLst/>
              </c:spPr>
              <c:txPr>
                <a:bodyPr rot="-5400000" spcFirstLastPara="1" vertOverflow="clip" horzOverflow="clip" wrap="square" lIns="38100" tIns="19050" rIns="38100" bIns="19050" anchor="ctr" anchorCtr="1">
                  <a:spAutoFit/>
                </a:bodyPr>
                <a:lstStyle/>
                <a:p>
                  <a:pPr algn="l" rtl="0">
                    <a:defRPr kumimoji="0" lang="ja-JP" altLang="en-US" sz="600" kern="1200">
                      <a:solidFill>
                        <a:schemeClr val="tx1">
                          <a:lumMod val="75000"/>
                          <a:lumOff val="25000"/>
                        </a:schemeClr>
                      </a:solidFill>
                      <a:latin typeface="+mn-lt"/>
                      <a:ea typeface="+mn-ea"/>
                      <a:cs typeface="+mn-cs"/>
                    </a:defRPr>
                  </a:pPr>
                  <a:endParaRPr lang="ja-JP" altLang="en-US"/>
                </a:p>
              </c:txPr>
              <c:dLblPos val="outEnd"/>
              <c:showLegendKey val="0"/>
              <c:showVal val="1"/>
              <c:showCatName val="0"/>
              <c:showSerName val="0"/>
              <c:showPercent val="0"/>
              <c:showBubbleSize val="0"/>
            </c:dLbl>
            <c:spPr>
              <a:noFill/>
              <a:ln>
                <a:noFill/>
              </a:ln>
              <a:effectLst/>
            </c:spPr>
            <c:txPr>
              <a:bodyPr rot="-5400000" spcFirstLastPara="1" vertOverflow="clip" horzOverflow="clip" wrap="square" lIns="38100" tIns="19050" rIns="38100" bIns="19050" anchor="ctr" anchorCtr="1">
                <a:spAutoFit/>
              </a:bodyPr>
              <a:lstStyle/>
              <a:p>
                <a:pPr algn="l" rtl="0">
                  <a:defRPr kumimoji="0" lang="ja-JP" altLang="en-US" sz="600" kern="1200">
                    <a:solidFill>
                      <a:schemeClr val="tx1">
                        <a:lumMod val="75000"/>
                        <a:lumOff val="25000"/>
                      </a:schemeClr>
                    </a:solidFill>
                    <a:latin typeface="+mn-lt"/>
                    <a:ea typeface="+mn-ea"/>
                    <a:cs typeface="+mn-cs"/>
                  </a:defRPr>
                </a:pPr>
                <a:endParaRPr lang="ja-JP" altLang="en-US"/>
              </a:p>
            </c:txPr>
            <c:dLblPos val="outEnd"/>
            <c:showLegendKey val="0"/>
            <c:showVal val="1"/>
            <c:showCatName val="0"/>
            <c:showSerName val="0"/>
            <c:showPercent val="0"/>
            <c:showBubbleSize val="0"/>
            <c:extLst>
              <c:ext xmlns:c15="http://schemas.microsoft.com/office/drawing/2012/chart" uri="{CE6537A1-D6FC-4f65-9D91-7224C49458BB}">
                <c15:showLeaderLines val="1"/>
                <c15:leaderLines>
                  <c:spPr>
                    <a:noFill/>
                    <a:ln w="9525">
                      <a:solidFill>
                        <a:schemeClr val="tx1">
                          <a:lumMod val="35000"/>
                          <a:lumOff val="65000"/>
                        </a:schemeClr>
                      </a:solidFill>
                    </a:ln>
                    <a:effectLst/>
                  </c:spPr>
                </c15:leaderLines>
              </c:ext>
            </c:extLst>
          </c:dLbls>
          <c:cat>
            <c:strRef>
              <c:f>Sheet3!$C$2:$O$2</c:f>
              <c:strCache>
                <c:ptCount val="13"/>
                <c:pt idx="0">
                  <c:v>～24歳</c:v>
                </c:pt>
                <c:pt idx="1">
                  <c:v>25歳～29歳</c:v>
                </c:pt>
                <c:pt idx="2">
                  <c:v>30歳～34歳</c:v>
                </c:pt>
                <c:pt idx="3">
                  <c:v>35歳～39歳</c:v>
                </c:pt>
                <c:pt idx="4">
                  <c:v>40歳～44歳</c:v>
                </c:pt>
                <c:pt idx="5">
                  <c:v>45歳～49歳</c:v>
                </c:pt>
                <c:pt idx="6">
                  <c:v>50歳～54歳</c:v>
                </c:pt>
                <c:pt idx="7">
                  <c:v>55歳～59歳</c:v>
                </c:pt>
                <c:pt idx="8">
                  <c:v>60歳～64歳</c:v>
                </c:pt>
                <c:pt idx="9">
                  <c:v>65歳～69歳</c:v>
                </c:pt>
                <c:pt idx="10">
                  <c:v>70歳～74歳</c:v>
                </c:pt>
                <c:pt idx="11">
                  <c:v>75歳～79歳</c:v>
                </c:pt>
                <c:pt idx="12">
                  <c:v>80歳以上</c:v>
                </c:pt>
              </c:strCache>
            </c:strRef>
          </c:cat>
          <c:val>
            <c:numRef>
              <c:f>[診療所年齢推移.xlsx]Sheet3!$C$11:$O$11</c:f>
              <c:numCache>
                <c:formatCode>General</c:formatCode>
                <c:ptCount val="13"/>
                <c:pt idx="0">
                  <c:v>0</c:v>
                </c:pt>
                <c:pt idx="1">
                  <c:v>0</c:v>
                </c:pt>
                <c:pt idx="2">
                  <c:v>5</c:v>
                </c:pt>
                <c:pt idx="3">
                  <c:v>13</c:v>
                </c:pt>
                <c:pt idx="4">
                  <c:v>17</c:v>
                </c:pt>
                <c:pt idx="5">
                  <c:v>58</c:v>
                </c:pt>
                <c:pt idx="6">
                  <c:v>57</c:v>
                </c:pt>
                <c:pt idx="7">
                  <c:v>76</c:v>
                </c:pt>
                <c:pt idx="8">
                  <c:v>92</c:v>
                </c:pt>
                <c:pt idx="9">
                  <c:v>84</c:v>
                </c:pt>
                <c:pt idx="10">
                  <c:v>52</c:v>
                </c:pt>
                <c:pt idx="11">
                  <c:v>34</c:v>
                </c:pt>
                <c:pt idx="12">
                  <c:v>34</c:v>
                </c:pt>
              </c:numCache>
            </c:numRef>
          </c:val>
        </c:ser>
        <c:dLbls>
          <c:spPr>
            <a:noFill/>
            <a:ln>
              <a:noFill/>
            </a:ln>
            <a:effectLst/>
          </c:spPr>
          <c:txPr>
            <a:bodyPr rot="-5400000" spcFirstLastPara="1" vertOverflow="clip" horzOverflow="clip" wrap="square" lIns="38100" tIns="19050" rIns="38100" bIns="19050"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sz="900" kern="1200">
                <a:solidFill>
                  <a:schemeClr val="tx1">
                    <a:lumMod val="75000"/>
                    <a:lumOff val="25000"/>
                  </a:schemeClr>
                </a:solidFill>
                <a:latin typeface="+mn-lt"/>
                <a:ea typeface="+mn-ea"/>
                <a:cs typeface="+mn-cs"/>
              </a:endParaRPr>
            </a:p>
          </c:txPr>
          <c:showLegendKey val="0"/>
          <c:showVal val="0"/>
          <c:showCatName val="0"/>
          <c:showSerName val="0"/>
          <c:showPercent val="0"/>
          <c:showBubbleSize val="0"/>
        </c:dLbls>
        <c:gapWidth val="150"/>
        <c:overlap val="0"/>
        <c:axId val="1"/>
        <c:axId val="2"/>
      </c:barChart>
      <c:catAx>
        <c:axId val="1"/>
        <c:scaling>
          <c:orientation val="minMax"/>
        </c:scaling>
        <c:delete val="0"/>
        <c:axPos val="b"/>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lang="ja-JP" altLang="en-US" sz="900" b="0" kern="1200" cap="none" spc="0" normalizeH="0" baseline="0">
                <a:solidFill>
                  <a:schemeClr val="tx1">
                    <a:lumMod val="65000"/>
                    <a:lumOff val="35000"/>
                  </a:schemeClr>
                </a:solidFill>
                <a:latin typeface="+mn-lt"/>
                <a:ea typeface="+mn-ea"/>
                <a:cs typeface="+mn-cs"/>
              </a:defRPr>
            </a:pPr>
            <a:endParaRPr lang="ja-JP" altLang="en-US" sz="900" b="0" kern="1200" cap="none" spc="0" normalizeH="0" baseline="0">
              <a:solidFill>
                <a:schemeClr val="tx1">
                  <a:lumMod val="65000"/>
                  <a:lumOff val="35000"/>
                </a:schemeClr>
              </a:solidFill>
              <a:latin typeface="+mn-lt"/>
              <a:ea typeface="+mn-ea"/>
              <a:cs typeface="+mn-cs"/>
            </a:endParaRPr>
          </a:p>
        </c:txPr>
        <c:crossAx val="2"/>
        <c:crosses val="autoZero"/>
        <c:auto val="1"/>
        <c:lblAlgn val="ctr"/>
        <c:lblOffset val="100"/>
        <c:noMultiLvlLbl val="0"/>
      </c:catAx>
      <c:valAx>
        <c:axId val="2"/>
        <c:scaling>
          <c:orientation val="minMax"/>
        </c:scaling>
        <c:delete val="0"/>
        <c:axPos val="l"/>
        <c:majorGridlines>
          <c:spPr>
            <a:noFill/>
            <a:ln w="9525" cap="flat" cmpd="sng" algn="ctr">
              <a:solidFill>
                <a:schemeClr val="tx1">
                  <a:lumMod val="15000"/>
                  <a:lumOff val="85000"/>
                </a:schemeClr>
              </a:solidFill>
              <a:round/>
            </a:ln>
            <a:effectLst/>
          </c:spPr>
        </c:majorGridlines>
        <c:numFmt formatCode="General" sourceLinked="1"/>
        <c:majorTickMark val="in"/>
        <c:minorTickMark val="none"/>
        <c:tickLblPos val="nextTo"/>
        <c:spPr>
          <a:noFill/>
          <a:ln>
            <a:noFill/>
          </a:ln>
          <a:effectLst/>
        </c:spPr>
        <c:txPr>
          <a:bodyPr rot="-60000000" spcFirstLastPara="1" vertOverflow="ellipsis" horzOverflow="overflow" wrap="square" anchor="ctr" anchorCtr="1"/>
          <a:lstStyle/>
          <a:p>
            <a:pPr algn="ctr" rtl="0">
              <a:defRPr lang="ja-JP" altLang="en-US" sz="900" kern="1200">
                <a:solidFill>
                  <a:schemeClr val="tx1">
                    <a:lumMod val="65000"/>
                    <a:lumOff val="35000"/>
                  </a:schemeClr>
                </a:solidFill>
                <a:latin typeface="+mn-lt"/>
                <a:ea typeface="+mn-ea"/>
                <a:cs typeface="+mn-cs"/>
              </a:defRPr>
            </a:pPr>
            <a:endParaRPr lang="ja-JP" altLang="en-US" sz="900" kern="1200">
              <a:solidFill>
                <a:schemeClr val="tx1">
                  <a:lumMod val="65000"/>
                  <a:lumOff val="35000"/>
                </a:schemeClr>
              </a:solidFill>
              <a:latin typeface="+mn-lt"/>
              <a:ea typeface="+mn-ea"/>
              <a:cs typeface="+mn-cs"/>
            </a:endParaRPr>
          </a:p>
        </c:txPr>
        <c:crossAx val="1"/>
        <c:crosses val="autoZero"/>
        <c:crossBetween val="between"/>
      </c:valAx>
      <c:spPr>
        <a:noFill/>
        <a:ln>
          <a:noFill/>
        </a:ln>
        <a:effectLst/>
      </c:spPr>
    </c:plotArea>
    <c:legend>
      <c:legendPos val="r"/>
      <c:layout/>
      <c:overlay val="0"/>
      <c:spPr>
        <a:noFill/>
        <a:ln>
          <a:noFill/>
        </a:ln>
        <a:effectLst/>
      </c:spPr>
      <c:txPr>
        <a:bodyPr rot="0" spcFirstLastPara="1" vertOverflow="ellipsis" horzOverflow="overflow" wrap="square" anchor="ctr" anchorCtr="1"/>
        <a:lstStyle/>
        <a:p>
          <a:pPr algn="l" rtl="0">
            <a:defRPr lang="ja-JP" altLang="en-US" sz="900" kern="1200">
              <a:solidFill>
                <a:schemeClr val="tx1">
                  <a:lumMod val="65000"/>
                  <a:lumOff val="35000"/>
                </a:schemeClr>
              </a:solidFill>
              <a:latin typeface="+mn-lt"/>
              <a:ea typeface="+mn-ea"/>
              <a:cs typeface="+mn-cs"/>
            </a:defRPr>
          </a:pPr>
          <a:endParaRPr lang="ja-JP" altLang="en-US" sz="900" kern="1200">
            <a:solidFill>
              <a:schemeClr val="tx1">
                <a:lumMod val="65000"/>
                <a:lumOff val="35000"/>
              </a:schemeClr>
            </a:solidFill>
            <a:latin typeface="+mn-lt"/>
            <a:ea typeface="+mn-ea"/>
            <a:cs typeface="+mn-cs"/>
          </a:endParaR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vertOverflow="overflow" horzOverflow="overflow" anchor="ctr" anchorCtr="1"/>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8.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horzOverflow="overflow" wrap="square" anchor="t" anchorCtr="1"/>
          <a:lstStyle/>
          <a:p>
            <a:pPr algn="ctr" rtl="0">
              <a:defRPr kumimoji="0" lang="ja-JP" altLang="en-US" sz="1200" b="0" i="0" u="none" strike="noStrike" kern="1200" spc="0" baseline="0">
                <a:solidFill>
                  <a:schemeClr val="tx1">
                    <a:lumMod val="65000"/>
                    <a:lumOff val="35000"/>
                  </a:schemeClr>
                </a:solidFill>
                <a:latin typeface="+mn-lt"/>
                <a:ea typeface="+mn-ea"/>
                <a:cs typeface="+mn-cs"/>
              </a:defRPr>
            </a:pPr>
            <a:r>
              <a:rPr kumimoji="0" lang="ja-JP" altLang="en-US" sz="1200" b="0" i="0" u="none" strike="noStrike" kern="1200" spc="0" baseline="0">
                <a:solidFill>
                  <a:sysClr val="windowText" lastClr="000000"/>
                </a:solidFill>
                <a:latin typeface="+mn-lt"/>
                <a:ea typeface="+mn-ea"/>
                <a:cs typeface="+mn-cs"/>
              </a:rPr>
              <a:t>外来患者の診療所での対応割合</a:t>
            </a:r>
            <a:endParaRPr kumimoji="0" lang="ja-JP" altLang="en-US" sz="1200" b="0" i="0" u="none" strike="noStrike" kern="1200" spc="0" baseline="0">
              <a:solidFill>
                <a:sysClr val="windowText" lastClr="000000"/>
              </a:solidFill>
              <a:latin typeface="+mn-lt"/>
              <a:ea typeface="+mn-ea"/>
              <a:cs typeface="+mn-cs"/>
            </a:endParaRPr>
          </a:p>
        </c:rich>
      </c:tx>
      <c:layout/>
      <c:overlay val="0"/>
      <c:spPr>
        <a:noFill/>
        <a:ln>
          <a:noFill/>
        </a:ln>
        <a:effectLst/>
      </c:spPr>
    </c:title>
    <c:autoTitleDeleted val="0"/>
    <c:plotArea>
      <c:layout/>
      <c:barChart>
        <c:barDir val="col"/>
        <c:grouping val="clustered"/>
        <c:varyColors val="0"/>
        <c:ser>
          <c:idx val="0"/>
          <c:order val="0"/>
          <c:tx>
            <c:strRef>
              <c:f>Sheet1!$D$3</c:f>
              <c:strCache>
                <c:ptCount val="1"/>
                <c:pt idx="0">
                  <c:v>診療所の外来患者対応割合</c:v>
                </c:pt>
              </c:strCache>
            </c:strRef>
          </c:tx>
          <c:spPr>
            <a:solidFill>
              <a:schemeClr val="accent1"/>
            </a:solidFill>
            <a:ln>
              <a:noFill/>
            </a:ln>
            <a:effectLst/>
          </c:spPr>
          <c:invertIfNegative val="0"/>
          <c:dPt>
            <c:idx val="38"/>
            <c:invertIfNegative val="0"/>
            <c:bubble3D val="0"/>
            <c:spPr>
              <a:solidFill>
                <a:schemeClr val="accent1"/>
              </a:solidFill>
              <a:ln>
                <a:noFill/>
              </a:ln>
              <a:effectLst/>
            </c:spPr>
          </c:dPt>
          <c:dLbls>
            <c:dLbl>
              <c:idx val="38"/>
              <c:layout/>
              <c:spPr>
                <a:noFill/>
                <a:ln>
                  <a:noFill/>
                </a:ln>
                <a:effectLst/>
              </c:spPr>
              <c:txPr>
                <a:bodyPr rot="0" spcFirstLastPara="1" vertOverflow="ellipsis" horzOverflow="overflow" wrap="square" anchor="ctr" anchorCtr="1">
                  <a:spAutoFit/>
                </a:bodyPr>
                <a:lstStyle/>
                <a:p>
                  <a:pPr algn="ctr" rtl="0">
                    <a:defRPr kumimoji="0" lang="ja-JP" altLang="en-US" sz="900" b="1" i="1" kern="1200">
                      <a:solidFill>
                        <a:schemeClr val="tx1">
                          <a:lumMod val="75000"/>
                          <a:lumOff val="25000"/>
                        </a:schemeClr>
                      </a:solidFill>
                      <a:latin typeface="+mn-lt"/>
                      <a:ea typeface="+mn-ea"/>
                      <a:cs typeface="+mn-cs"/>
                    </a:defRPr>
                  </a:pPr>
                  <a:endParaRPr lang="ja-JP" altLang="en-US" b="1" i="1"/>
                </a:p>
              </c:txPr>
              <c:dLblPos val="outEnd"/>
              <c:showLegendKey val="0"/>
              <c:showVal val="1"/>
              <c:showCatName val="0"/>
              <c:showSerName val="0"/>
              <c:showPercent val="0"/>
              <c:showBubbleSize val="0"/>
            </c:dLbl>
            <c:txPr>
              <a:bodyPr rot="0" spcFirstLastPara="1" vertOverflow="ellipsis" horzOverflow="overflow" wrap="square" lIns="36576" tIns="18288" rIns="36576" bIns="18288" anchor="ctr" anchorCtr="1">
                <a:spAutoFit/>
              </a:bodyPr>
              <a:lstStyle/>
              <a:p>
                <a:pPr algn="ctr" rtl="0">
                  <a:defRPr kumimoji="0" lang="ja-JP" altLang="en-US" sz="900" b="1" i="1" kern="1200">
                    <a:solidFill>
                      <a:schemeClr val="tx1">
                        <a:lumMod val="75000"/>
                        <a:lumOff val="25000"/>
                      </a:schemeClr>
                    </a:solidFill>
                    <a:latin typeface="+mn-lt"/>
                    <a:ea typeface="+mn-ea"/>
                    <a:cs typeface="+mn-cs"/>
                  </a:defRPr>
                </a:pPr>
                <a:endParaRPr lang="ja-JP" altLang="en-US"/>
              </a:p>
            </c:txPr>
            <c:showLegendKey val="0"/>
            <c:showVal val="0"/>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Sheet1!$C$5:$C$51</c:f>
              <c:strCache>
                <c:ptCount val="47"/>
                <c:pt idx="0">
                  <c:v>01    北海道</c:v>
                </c:pt>
                <c:pt idx="1">
                  <c:v>02    青森県</c:v>
                </c:pt>
                <c:pt idx="2">
                  <c:v>03    岩手県</c:v>
                </c:pt>
                <c:pt idx="3">
                  <c:v>04    宮城県</c:v>
                </c:pt>
                <c:pt idx="4">
                  <c:v>05    秋田県</c:v>
                </c:pt>
                <c:pt idx="5">
                  <c:v>06    山形県</c:v>
                </c:pt>
                <c:pt idx="6">
                  <c:v>07    福島県</c:v>
                </c:pt>
                <c:pt idx="7">
                  <c:v>08    茨城県</c:v>
                </c:pt>
                <c:pt idx="8">
                  <c:v>09    栃木県</c:v>
                </c:pt>
                <c:pt idx="9">
                  <c:v>10    群馬県</c:v>
                </c:pt>
                <c:pt idx="10">
                  <c:v>11    埼玉県</c:v>
                </c:pt>
                <c:pt idx="11">
                  <c:v>12    千葉県</c:v>
                </c:pt>
                <c:pt idx="12">
                  <c:v>13    東京都</c:v>
                </c:pt>
                <c:pt idx="13">
                  <c:v>14    神奈川県</c:v>
                </c:pt>
                <c:pt idx="14">
                  <c:v>15    新潟県</c:v>
                </c:pt>
                <c:pt idx="15">
                  <c:v>16    富山県</c:v>
                </c:pt>
                <c:pt idx="16">
                  <c:v>17    石川県</c:v>
                </c:pt>
                <c:pt idx="17">
                  <c:v>18    福井県</c:v>
                </c:pt>
                <c:pt idx="18">
                  <c:v>19    山梨県</c:v>
                </c:pt>
                <c:pt idx="19">
                  <c:v>20    長野県</c:v>
                </c:pt>
                <c:pt idx="20">
                  <c:v>21    岐阜県</c:v>
                </c:pt>
                <c:pt idx="21">
                  <c:v>22    静岡県</c:v>
                </c:pt>
                <c:pt idx="22">
                  <c:v>23    愛知県</c:v>
                </c:pt>
                <c:pt idx="23">
                  <c:v>24    三重県</c:v>
                </c:pt>
                <c:pt idx="24">
                  <c:v>25    滋賀県</c:v>
                </c:pt>
                <c:pt idx="25">
                  <c:v>26    京都府</c:v>
                </c:pt>
                <c:pt idx="26">
                  <c:v>27    大阪府</c:v>
                </c:pt>
                <c:pt idx="27">
                  <c:v>28    兵庫県</c:v>
                </c:pt>
                <c:pt idx="28">
                  <c:v>29    奈良県</c:v>
                </c:pt>
                <c:pt idx="29">
                  <c:v>30    和歌山県</c:v>
                </c:pt>
                <c:pt idx="30">
                  <c:v>31    鳥取県</c:v>
                </c:pt>
                <c:pt idx="31">
                  <c:v>32    島根県</c:v>
                </c:pt>
                <c:pt idx="32">
                  <c:v>33    岡山県</c:v>
                </c:pt>
                <c:pt idx="33">
                  <c:v>34    広島県</c:v>
                </c:pt>
                <c:pt idx="34">
                  <c:v>35    山口県</c:v>
                </c:pt>
                <c:pt idx="35">
                  <c:v>36    徳島県</c:v>
                </c:pt>
                <c:pt idx="36">
                  <c:v>37    香川県</c:v>
                </c:pt>
                <c:pt idx="37">
                  <c:v>38    愛媛県</c:v>
                </c:pt>
                <c:pt idx="38">
                  <c:v>39    高知県</c:v>
                </c:pt>
                <c:pt idx="39">
                  <c:v>40    福岡県</c:v>
                </c:pt>
                <c:pt idx="40">
                  <c:v>41    佐賀県</c:v>
                </c:pt>
                <c:pt idx="41">
                  <c:v>42    長崎県</c:v>
                </c:pt>
                <c:pt idx="42">
                  <c:v>43    熊本県</c:v>
                </c:pt>
                <c:pt idx="43">
                  <c:v>44    大分県</c:v>
                </c:pt>
                <c:pt idx="44">
                  <c:v>45    宮崎県</c:v>
                </c:pt>
                <c:pt idx="45">
                  <c:v>46    鹿児島県</c:v>
                </c:pt>
                <c:pt idx="46">
                  <c:v>47    沖縄県</c:v>
                </c:pt>
              </c:strCache>
            </c:strRef>
          </c:cat>
          <c:val>
            <c:numRef>
              <c:f>[診療所対応割合.xlsx]Sheet1!$D$5:$D$51</c:f>
              <c:numCache>
                <c:formatCode>0.0%</c:formatCode>
                <c:ptCount val="47"/>
                <c:pt idx="0">
                  <c:v>0.63803063145947592</c:v>
                </c:pt>
                <c:pt idx="1">
                  <c:v>0.76206561264681894</c:v>
                </c:pt>
                <c:pt idx="2">
                  <c:v>0.74404978267134847</c:v>
                </c:pt>
                <c:pt idx="3">
                  <c:v>0.77981799960858433</c:v>
                </c:pt>
                <c:pt idx="4">
                  <c:v>0.72153613598076016</c:v>
                </c:pt>
                <c:pt idx="5">
                  <c:v>0.7572507254117733</c:v>
                </c:pt>
                <c:pt idx="6">
                  <c:v>0.74682880924671713</c:v>
                </c:pt>
                <c:pt idx="7">
                  <c:v>0.70648593867534237</c:v>
                </c:pt>
                <c:pt idx="8">
                  <c:v>0.7575428359874874</c:v>
                </c:pt>
                <c:pt idx="9">
                  <c:v>0.76149973811519345</c:v>
                </c:pt>
                <c:pt idx="10">
                  <c:v>0.7579609980008275</c:v>
                </c:pt>
                <c:pt idx="11">
                  <c:v>0.73286691957452466</c:v>
                </c:pt>
                <c:pt idx="12">
                  <c:v>0.77809682970566563</c:v>
                </c:pt>
                <c:pt idx="13">
                  <c:v>0.81210058574658384</c:v>
                </c:pt>
                <c:pt idx="14">
                  <c:v>0.73398167090781474</c:v>
                </c:pt>
                <c:pt idx="15">
                  <c:v>0.66902420448185895</c:v>
                </c:pt>
                <c:pt idx="16">
                  <c:v>0.65791232422279733</c:v>
                </c:pt>
                <c:pt idx="17">
                  <c:v>0.65783758096176526</c:v>
                </c:pt>
                <c:pt idx="18">
                  <c:v>0.71713442003452998</c:v>
                </c:pt>
                <c:pt idx="19">
                  <c:v>0.67748345789190045</c:v>
                </c:pt>
                <c:pt idx="20">
                  <c:v>0.7722579269673534</c:v>
                </c:pt>
                <c:pt idx="21">
                  <c:v>0.8044186632944067</c:v>
                </c:pt>
                <c:pt idx="22">
                  <c:v>0.79692252918372275</c:v>
                </c:pt>
                <c:pt idx="23">
                  <c:v>0.79672551483394416</c:v>
                </c:pt>
                <c:pt idx="24">
                  <c:v>0.74447207744977717</c:v>
                </c:pt>
                <c:pt idx="25">
                  <c:v>0.71225243346017997</c:v>
                </c:pt>
                <c:pt idx="26">
                  <c:v>0.77965880758370032</c:v>
                </c:pt>
                <c:pt idx="27">
                  <c:v>0.78158212833760221</c:v>
                </c:pt>
                <c:pt idx="28">
                  <c:v>0.72126792120255934</c:v>
                </c:pt>
                <c:pt idx="29">
                  <c:v>0.7439460965922291</c:v>
                </c:pt>
                <c:pt idx="30">
                  <c:v>0.72778696897933348</c:v>
                </c:pt>
                <c:pt idx="31">
                  <c:v>0.75947607476022061</c:v>
                </c:pt>
                <c:pt idx="32">
                  <c:v>0.70867017191002757</c:v>
                </c:pt>
                <c:pt idx="33">
                  <c:v>0.78354452614184689</c:v>
                </c:pt>
                <c:pt idx="34">
                  <c:v>0.7719743066124739</c:v>
                </c:pt>
                <c:pt idx="35">
                  <c:v>0.69849193683284616</c:v>
                </c:pt>
                <c:pt idx="36">
                  <c:v>0.69348706337561605</c:v>
                </c:pt>
                <c:pt idx="37">
                  <c:v>0.70610854275350177</c:v>
                </c:pt>
                <c:pt idx="38">
                  <c:v>0.58957615933806373</c:v>
                </c:pt>
                <c:pt idx="39">
                  <c:v>0.77199992142470253</c:v>
                </c:pt>
                <c:pt idx="40">
                  <c:v>0.74066770281027861</c:v>
                </c:pt>
                <c:pt idx="41">
                  <c:v>0.75332628128879908</c:v>
                </c:pt>
                <c:pt idx="42">
                  <c:v>0.7481004108637378</c:v>
                </c:pt>
                <c:pt idx="43">
                  <c:v>0.68460321629754206</c:v>
                </c:pt>
                <c:pt idx="44">
                  <c:v>0.73482313040585312</c:v>
                </c:pt>
                <c:pt idx="45">
                  <c:v>0.72382921120999999</c:v>
                </c:pt>
                <c:pt idx="46">
                  <c:v>0.72055939521308787</c:v>
                </c:pt>
              </c:numCache>
            </c:numRef>
          </c:val>
        </c:s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sz="900" kern="1200">
                <a:solidFill>
                  <a:schemeClr val="tx1">
                    <a:lumMod val="75000"/>
                    <a:lumOff val="25000"/>
                  </a:schemeClr>
                </a:solidFill>
                <a:latin typeface="+mn-lt"/>
                <a:ea typeface="+mn-ea"/>
                <a:cs typeface="+mn-cs"/>
              </a:endParaRPr>
            </a:p>
          </c:txPr>
          <c:showLegendKey val="0"/>
          <c:showVal val="0"/>
          <c:showCatName val="0"/>
          <c:showSerName val="0"/>
          <c:showPercent val="0"/>
          <c:showBubbleSize val="0"/>
        </c:dLbls>
        <c:gapWidth val="150"/>
        <c:overlap val="0"/>
        <c:axId val="1"/>
        <c:axId val="2"/>
      </c:barChart>
      <c:catAx>
        <c:axId val="1"/>
        <c:scaling>
          <c:orientation val="minMax"/>
        </c:scaling>
        <c:delete val="0"/>
        <c:axPos val="b"/>
        <c:numFmt formatCode="0.0%"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kumimoji="0" lang="ja-JP" altLang="en-US" sz="500" kern="1200">
                <a:solidFill>
                  <a:sysClr val="windowText" lastClr="000000"/>
                </a:solidFill>
                <a:latin typeface="+mn-lt"/>
                <a:ea typeface="+mn-ea"/>
                <a:cs typeface="+mn-cs"/>
              </a:defRPr>
            </a:pPr>
            <a:endParaRPr lang="ja-JP" altLang="en-US"/>
          </a:p>
        </c:txPr>
        <c:crossAx val="2"/>
        <c:crosses val="autoZero"/>
        <c:auto val="1"/>
        <c:lblAlgn val="ctr"/>
        <c:lblOffset val="100"/>
        <c:noMultiLvlLbl val="0"/>
      </c:catAx>
      <c:valAx>
        <c:axId val="2"/>
        <c:scaling>
          <c:orientation val="minMax"/>
          <c:max val="0.9"/>
          <c:min val="0.4"/>
        </c:scaling>
        <c:delete val="0"/>
        <c:axPos val="l"/>
        <c:majorGridlines>
          <c:spPr>
            <a:noFill/>
            <a:ln w="9525" cap="flat" cmpd="sng" algn="ctr">
              <a:solidFill>
                <a:schemeClr val="tx1">
                  <a:lumMod val="15000"/>
                  <a:lumOff val="85000"/>
                </a:schemeClr>
              </a:solidFill>
              <a:round/>
            </a:ln>
            <a:effectLst/>
          </c:spPr>
        </c:majorGridlines>
        <c:numFmt formatCode="0.0%" sourceLinked="1"/>
        <c:majorTickMark val="in"/>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800" kern="1200">
                <a:solidFill>
                  <a:sysClr val="windowText" lastClr="000000"/>
                </a:solidFill>
                <a:latin typeface="+mn-lt"/>
                <a:ea typeface="+mn-ea"/>
                <a:cs typeface="+mn-cs"/>
              </a:defRPr>
            </a:pPr>
            <a:endParaRPr lang="ja-JP" altLang="en-US"/>
          </a:p>
        </c:txPr>
        <c:crossAx val="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vertOverflow="overflow" horzOverflow="overflow" anchor="ctr" anchorCtr="1"/>
    <a:lstStyle/>
    <a:p>
      <a:pPr algn="ctr" rtl="0">
        <a:defRPr lang="ja-JP" altLang="en-US"/>
      </a:pPr>
      <a:endParaRPr lang="ja-JP" altLang="en-US"/>
    </a:p>
  </c:txPr>
  <c:externalData r:id="rId1">
    <c:autoUpdate val="0"/>
  </c:externalData>
  <c:userShapes xmlns:c="http://schemas.openxmlformats.org/drawingml/2006/chart" xmlns:r="http://schemas.openxmlformats.org/officeDocument/2006/relationships" r:id="rId2"/>
  <c:extLst>
    <c:ext xmlns:c14="http://schemas.microsoft.com/office/drawing/2007/8/2/chart" uri="{781A3756-C4B2-4CAC-9D66-4F8BD8637D16}"/>
  </c:extLst>
</c:chartSpace>
</file>

<file path=word/charts/colors1.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a="http://schemas.openxmlformats.org/drawingml/2006/main" xmlns:cs="http://schemas.microsoft.com/office/drawing/2012/chartStyle"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a="http://schemas.openxmlformats.org/drawingml/2006/main" xmlns:cs="http://schemas.microsoft.com/office/drawing/2012/chartStyle"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a="http://schemas.openxmlformats.org/drawingml/2006/main" xmlns:cs="http://schemas.microsoft.com/office/drawing/2012/chartStyle"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a="http://schemas.openxmlformats.org/drawingml/2006/main" xmlns:cs="http://schemas.microsoft.com/office/drawing/2012/chartStyle"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a="http://schemas.openxmlformats.org/drawingml/2006/main" xmlns:cs="http://schemas.microsoft.com/office/drawing/2012/chartStyle"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a="http://schemas.openxmlformats.org/drawingml/2006/main" xmlns:cs="http://schemas.microsoft.com/office/drawing/2012/chartStyle"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vertOverflow="clip" horzOverflow="clip"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a="http://schemas.openxmlformats.org/drawingml/2006/main" xmlns:cs="http://schemas.microsoft.com/office/drawing/2012/chartStyle"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a="http://schemas.openxmlformats.org/drawingml/2006/main" xmlns:cs="http://schemas.microsoft.com/office/drawing/2012/chartStyle"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a="http://schemas.openxmlformats.org/drawingml/2006/main" xmlns:cs="http://schemas.microsoft.com/office/drawing/2012/chartStyle"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vertOverflow="clip" horzOverflow="clip"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a="http://schemas.openxmlformats.org/drawingml/2006/main" xmlns:cs="http://schemas.microsoft.com/office/drawing/2012/chartStyle"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2.xml><?xml version="1.0" encoding="utf-8"?>
<c:userShapes xmlns:c="http://schemas.openxmlformats.org/drawingml/2006/chart">
  <cdr:relSizeAnchor xmlns:cdr="http://schemas.openxmlformats.org/drawingml/2006/chartDrawing">
    <cdr:from>
      <cdr:x>5.8999999999999997e-002</cdr:x>
      <cdr:y>0.38674999999999998</cdr:y>
    </cdr:from>
    <cdr:to>
      <cdr:x>0.97575000000000001</cdr:x>
      <cdr:y>0.38674999999999998</cdr:y>
    </cdr:to>
    <cdr:sp macro="" textlink="">
      <cdr:nvSpPr>
        <cdr:cNvPr id="2049" name="直線 1"/>
        <cdr:cNvSpPr/>
      </cdr:nvSpPr>
      <cdr:spPr>
        <a:xfrm xmlns:a="http://schemas.openxmlformats.org/drawingml/2006/main">
          <a:off x="373151" y="740688"/>
          <a:ext cx="5798077" cy="0"/>
        </a:xfrm>
        <a:prstGeom xmlns:a="http://schemas.openxmlformats.org/drawingml/2006/main" prst="line">
          <a:avLst/>
        </a:prstGeom>
        <a:noFill xmlns:a="http://schemas.openxmlformats.org/drawingml/2006/main"/>
        <a:ln xmlns:a="http://schemas.openxmlformats.org/drawingml/2006/main">
          <a:headEnd type="none"/>
          <a:tailEnd type="non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0.67300000000000004</cdr:x>
      <cdr:y>0.1275</cdr:y>
    </cdr:from>
    <cdr:to>
      <cdr:x>0.99824999999999997</cdr:x>
      <cdr:y>0.26674999999999999</cdr:y>
    </cdr:to>
    <cdr:sp macro="" textlink="">
      <cdr:nvSpPr>
        <cdr:cNvPr id="2050" name="オブジェクト 2"/>
        <cdr:cNvSpPr txBox="1"/>
      </cdr:nvSpPr>
      <cdr:spPr>
        <a:xfrm xmlns:a="http://schemas.openxmlformats.org/drawingml/2006/main">
          <a:off x="4256455" y="244182"/>
          <a:ext cx="2057076" cy="266686"/>
        </a:xfrm>
        <a:prstGeom xmlns:a="http://schemas.openxmlformats.org/drawingml/2006/main" prst="rect">
          <a:avLst/>
        </a:prstGeom>
        <a:solidFill xmlns:a="http://schemas.openxmlformats.org/drawingml/2006/main">
          <a:srgbClr val="FFFFFF">
            <a:alpha val="0"/>
          </a:srgbClr>
        </a:solidFill>
        <a:ln xmlns:a="http://schemas.openxmlformats.org/drawingml/2006/main" w="6350" cmpd="sng">
          <a:noFill/>
        </a:ln>
      </cdr:spPr>
      <cdr:style>
        <a:lnRef xmlns:a="http://schemas.openxmlformats.org/drawingml/2006/main" idx="0">
          <a:srgbClr val="000000"/>
        </a:lnRef>
        <a:fillRef xmlns:a="http://schemas.openxmlformats.org/drawingml/2006/main" idx="0">
          <a:srgbClr val="000000"/>
        </a:fillRef>
        <a:effectRef xmlns:a="http://schemas.openxmlformats.org/drawingml/2006/main" idx="0">
          <a:srgbClr val="000000"/>
        </a:effectRef>
        <a:fontRef xmlns:a="http://schemas.openxmlformats.org/drawingml/2006/main" idx="minor">
          <a:schemeClr val="dk1"/>
        </a:fontRef>
      </cdr:style>
      <cdr:txBody>
        <a:bodyPr xmlns:a="http://schemas.openxmlformats.org/drawingml/2006/main" vertOverflow="overflow" horzOverflow="overflow" wrap="square" lIns="74295" tIns="8890" rIns="74295" bIns="8890"/>
        <a:lstStyle xmlns:a="http://schemas.openxmlformats.org/drawingml/2006/main"/>
        <a:p xmlns:a="http://schemas.openxmlformats.org/drawingml/2006/main">
          <a:r>
            <a:rPr sz="1000"/>
            <a:t>出典：H29NDB（厚生労働省）</a:t>
          </a:r>
        </a:p>
      </cdr:txBody>
    </cdr:sp>
  </cdr:relSizeAnchor>
</c:userShape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3574</TotalTime>
  <Pages>32</Pages>
  <Words>162</Words>
  <Characters>9786</Characters>
  <Application>Microsoft Office Word</Application>
  <Lines>13970</Lines>
  <Paragraphs>232</Paragraphs>
  <CharactersWithSpaces>10027</CharactersWithSpaces>
  <AppVersion>1.20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itle>第１章　　医療計画に関する基本的事項</dc:title>
  <dc:creator>442594</dc:creator>
  <cp:lastModifiedBy>442626</cp:lastModifiedBy>
  <cp:lastPrinted>2020-04-14T06:10:38Z</cp:lastPrinted>
  <dcterms:created xsi:type="dcterms:W3CDTF">2019-11-14T11:00:00Z</dcterms:created>
  <dcterms:modified xsi:type="dcterms:W3CDTF">2020-04-14T06:31:38Z</dcterms:modified>
  <cp:revision>33</cp:revision>
</cp:coreProperties>
</file>