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spacing w:line="340" w:lineRule="exact"/>
        <w:ind w:firstLine="852" w:firstLineChars="300"/>
        <w:jc w:val="center"/>
        <w:rPr>
          <w:rFonts w:hint="default"/>
          <w:sz w:val="28"/>
        </w:rPr>
      </w:pPr>
      <w:r>
        <w:rPr>
          <w:rFonts w:hint="eastAsia"/>
          <w:b w:val="1"/>
          <w:sz w:val="24"/>
        </w:rPr>
        <w:t>令和元年度第３回障害のある人もない人も安心して暮らせる</w:t>
      </w:r>
    </w:p>
    <w:p>
      <w:pPr>
        <w:pStyle w:val="0"/>
        <w:spacing w:line="340" w:lineRule="exact"/>
        <w:ind w:leftChars="0" w:firstLine="1926" w:firstLineChars="789"/>
        <w:rPr>
          <w:rFonts w:hint="default"/>
          <w:sz w:val="28"/>
        </w:rPr>
      </w:pPr>
      <w:r>
        <w:rPr>
          <w:rFonts w:hint="eastAsia"/>
          <w:b w:val="1"/>
          <w:sz w:val="24"/>
        </w:rPr>
        <w:t>高知県づくり条例（仮称）検討委員会の概要</w:t>
      </w:r>
    </w:p>
    <w:p>
      <w:pPr>
        <w:pStyle w:val="0"/>
        <w:spacing w:line="340" w:lineRule="exact"/>
        <w:ind w:firstLine="852" w:firstLineChars="300"/>
        <w:jc w:val="left"/>
        <w:rPr>
          <w:rFonts w:hint="default"/>
          <w:sz w:val="28"/>
        </w:rPr>
      </w:pPr>
    </w:p>
    <w:p>
      <w:pPr>
        <w:pStyle w:val="0"/>
        <w:spacing w:line="300" w:lineRule="exact"/>
        <w:rPr>
          <w:rFonts w:hint="default"/>
          <w:sz w:val="21"/>
        </w:rPr>
      </w:pPr>
      <w:r>
        <w:rPr>
          <w:rFonts w:hint="eastAsia"/>
          <w:b w:val="1"/>
          <w:sz w:val="21"/>
        </w:rPr>
        <w:t>１</w:t>
      </w:r>
      <w:r>
        <w:rPr>
          <w:rFonts w:hint="eastAsia"/>
          <w:b w:val="1"/>
          <w:sz w:val="21"/>
        </w:rPr>
        <w:t xml:space="preserve"> </w:t>
      </w:r>
      <w:r>
        <w:rPr>
          <w:rFonts w:hint="eastAsia"/>
          <w:b w:val="1"/>
          <w:sz w:val="21"/>
        </w:rPr>
        <w:t>日</w:t>
      </w:r>
      <w:r>
        <w:rPr>
          <w:rFonts w:hint="eastAsia"/>
          <w:b w:val="1"/>
          <w:sz w:val="21"/>
        </w:rPr>
        <w:t xml:space="preserve"> </w:t>
      </w:r>
      <w:r>
        <w:rPr>
          <w:rFonts w:hint="eastAsia"/>
          <w:b w:val="1"/>
          <w:sz w:val="21"/>
        </w:rPr>
        <w:t>時</w:t>
      </w:r>
      <w:r>
        <w:rPr>
          <w:rFonts w:hint="eastAsia"/>
          <w:sz w:val="21"/>
        </w:rPr>
        <w:t xml:space="preserve"> </w:t>
      </w:r>
      <w:r>
        <w:rPr>
          <w:rFonts w:hint="eastAsia"/>
          <w:sz w:val="21"/>
        </w:rPr>
        <w:t>令和元年１０月２１日（月）１４時００分から１６時００分</w:t>
      </w:r>
    </w:p>
    <w:p>
      <w:pPr>
        <w:pStyle w:val="0"/>
        <w:spacing w:line="300" w:lineRule="exact"/>
        <w:rPr>
          <w:rFonts w:hint="default"/>
          <w:sz w:val="21"/>
        </w:rPr>
      </w:pPr>
      <w:r>
        <w:rPr>
          <w:rFonts w:hint="eastAsia"/>
          <w:b w:val="1"/>
          <w:sz w:val="21"/>
        </w:rPr>
        <w:t>２</w:t>
      </w:r>
      <w:r>
        <w:rPr>
          <w:rFonts w:hint="eastAsia"/>
          <w:b w:val="1"/>
          <w:sz w:val="21"/>
        </w:rPr>
        <w:t xml:space="preserve"> </w:t>
      </w:r>
      <w:r>
        <w:rPr>
          <w:rFonts w:hint="eastAsia"/>
          <w:b w:val="1"/>
          <w:sz w:val="21"/>
        </w:rPr>
        <w:t>場</w:t>
      </w:r>
      <w:r>
        <w:rPr>
          <w:rFonts w:hint="eastAsia"/>
          <w:b w:val="1"/>
          <w:sz w:val="21"/>
        </w:rPr>
        <w:t xml:space="preserve"> </w:t>
      </w:r>
      <w:r>
        <w:rPr>
          <w:rFonts w:hint="eastAsia"/>
          <w:b w:val="1"/>
          <w:sz w:val="21"/>
        </w:rPr>
        <w:t>所</w:t>
      </w:r>
      <w:r>
        <w:rPr>
          <w:rFonts w:hint="eastAsia"/>
          <w:sz w:val="21"/>
        </w:rPr>
        <w:t xml:space="preserve"> </w:t>
      </w:r>
      <w:r>
        <w:rPr>
          <w:rFonts w:hint="eastAsia"/>
          <w:sz w:val="21"/>
        </w:rPr>
        <w:t>高知城ホール　２階　小会議室</w:t>
      </w:r>
    </w:p>
    <w:p>
      <w:pPr>
        <w:pStyle w:val="0"/>
        <w:widowControl w:val="1"/>
        <w:spacing w:line="300" w:lineRule="exact"/>
        <w:jc w:val="left"/>
        <w:rPr>
          <w:rFonts w:hint="default"/>
          <w:sz w:val="21"/>
        </w:rPr>
      </w:pPr>
      <w:r>
        <w:rPr>
          <w:rFonts w:hint="eastAsia"/>
          <w:b w:val="1"/>
          <w:sz w:val="21"/>
        </w:rPr>
        <w:t>３</w:t>
      </w:r>
      <w:r>
        <w:rPr>
          <w:rFonts w:hint="eastAsia"/>
          <w:b w:val="1"/>
          <w:sz w:val="21"/>
        </w:rPr>
        <w:t xml:space="preserve"> </w:t>
      </w:r>
      <w:r>
        <w:rPr>
          <w:rFonts w:hint="eastAsia"/>
          <w:b w:val="1"/>
          <w:sz w:val="21"/>
        </w:rPr>
        <w:t>検討内容</w:t>
      </w:r>
    </w:p>
    <w:p>
      <w:pPr>
        <w:pStyle w:val="0"/>
        <w:spacing w:line="300" w:lineRule="exact"/>
        <w:rPr>
          <w:rFonts w:hint="default"/>
          <w:sz w:val="21"/>
        </w:rPr>
      </w:pPr>
      <w:r>
        <w:rPr>
          <w:rFonts w:hint="eastAsia"/>
          <w:b w:val="1"/>
          <w:sz w:val="21"/>
        </w:rPr>
        <w:t>（１）</w:t>
      </w:r>
      <w:r>
        <w:rPr>
          <w:rFonts w:hint="eastAsia" w:ascii="ＭＳ 明朝" w:hAnsi="ＭＳ 明朝" w:eastAsia="ＭＳ 明朝"/>
          <w:b w:val="1"/>
          <w:sz w:val="21"/>
        </w:rPr>
        <w:t>事業者の合理的配慮の提供の義務化について</w:t>
      </w:r>
    </w:p>
    <w:p>
      <w:pPr>
        <w:pStyle w:val="0"/>
        <w:spacing w:line="300" w:lineRule="exact"/>
        <w:ind w:firstLine="214" w:firstLineChars="100"/>
        <w:rPr>
          <w:rFonts w:hint="default"/>
          <w:sz w:val="21"/>
        </w:rPr>
      </w:pPr>
      <w:r>
        <w:rPr>
          <w:rFonts w:hint="eastAsia"/>
          <w:sz w:val="21"/>
          <w:bdr w:val="single" w:color="auto" w:sz="4" w:space="0"/>
        </w:rPr>
        <w:t>主な意見</w:t>
      </w:r>
    </w:p>
    <w:p>
      <w:pPr>
        <w:pStyle w:val="0"/>
        <w:numPr>
          <w:ilvl w:val="0"/>
          <w:numId w:val="1"/>
        </w:numPr>
        <w:spacing w:line="300" w:lineRule="exact"/>
        <w:ind w:leftChars="0" w:firstLineChars="0"/>
        <w:rPr>
          <w:rFonts w:hint="default"/>
          <w:sz w:val="21"/>
        </w:rPr>
      </w:pPr>
      <w:r>
        <w:rPr>
          <w:rFonts w:hint="eastAsia"/>
          <w:sz w:val="21"/>
        </w:rPr>
        <w:t>合理的配慮の提供の前提となる意思疎通が困難な障害者に対する意思疎通支援についてはどうするのか等、個別支援の課題もある。</w:t>
      </w:r>
    </w:p>
    <w:p>
      <w:pPr>
        <w:pStyle w:val="0"/>
        <w:numPr>
          <w:ilvl w:val="0"/>
          <w:numId w:val="1"/>
        </w:numPr>
        <w:spacing w:line="300" w:lineRule="exact"/>
        <w:ind w:leftChars="0" w:firstLineChars="0"/>
        <w:rPr>
          <w:rFonts w:hint="default"/>
          <w:sz w:val="21"/>
        </w:rPr>
      </w:pPr>
      <w:r>
        <w:rPr>
          <w:rFonts w:hint="eastAsia"/>
          <w:sz w:val="21"/>
        </w:rPr>
        <w:t>各委員から報告された課題について、不当な差別的取扱いなのか、合理的配慮の不提供に関するものか、分類に混乱が見られる。</w:t>
      </w:r>
    </w:p>
    <w:p>
      <w:pPr>
        <w:pStyle w:val="0"/>
        <w:numPr>
          <w:ilvl w:val="0"/>
          <w:numId w:val="1"/>
        </w:numPr>
        <w:spacing w:line="300" w:lineRule="exact"/>
        <w:ind w:leftChars="0" w:firstLineChars="0"/>
        <w:rPr>
          <w:rFonts w:hint="default"/>
          <w:sz w:val="21"/>
        </w:rPr>
      </w:pPr>
      <w:r>
        <w:rPr>
          <w:rFonts w:hint="eastAsia"/>
          <w:sz w:val="21"/>
          <w:u w:val="none" w:color="auto"/>
        </w:rPr>
        <w:t>事業者側にヒアリングを行えば、様々な疑問や懸念が出てくることが予想されるが、その生の声を収集し、合理的配慮の提供とはどのようなものか説明することや、対応策を示すことなどによって義務化への論点整理が出来るのではないか。</w:t>
      </w:r>
    </w:p>
    <w:p>
      <w:pPr>
        <w:pStyle w:val="0"/>
        <w:spacing w:line="300" w:lineRule="exact"/>
        <w:ind w:left="425" w:leftChars="114" w:hanging="181" w:hangingChars="74"/>
        <w:rPr>
          <w:rFonts w:hint="default"/>
          <w:sz w:val="21"/>
        </w:rPr>
      </w:pPr>
      <w:r>
        <w:rPr>
          <w:rFonts w:hint="eastAsia"/>
          <w:sz w:val="21"/>
          <w:bdr w:val="single" w:color="auto" w:sz="4" w:space="0"/>
        </w:rPr>
        <w:t>今後の方向性</w:t>
      </w:r>
    </w:p>
    <w:p>
      <w:pPr>
        <w:pStyle w:val="0"/>
        <w:numPr>
          <w:ilvl w:val="0"/>
          <w:numId w:val="2"/>
        </w:numPr>
        <w:spacing w:line="300" w:lineRule="exact"/>
        <w:ind w:leftChars="0" w:firstLineChars="0"/>
        <w:rPr>
          <w:rFonts w:hint="default"/>
          <w:sz w:val="21"/>
        </w:rPr>
      </w:pPr>
      <w:r>
        <w:rPr>
          <w:rFonts w:hint="eastAsia"/>
          <w:sz w:val="21"/>
        </w:rPr>
        <w:t>事務局が、商工・経済関係団体など、事業者側の懸念される課題を広く丁寧にヒアリングし、検討委員会で再度議論を進めていく。</w:t>
      </w:r>
    </w:p>
    <w:p>
      <w:pPr>
        <w:pStyle w:val="0"/>
        <w:spacing w:line="300" w:lineRule="exact"/>
        <w:ind w:left="425" w:leftChars="114" w:hanging="181" w:hangingChars="74"/>
        <w:rPr>
          <w:rFonts w:hint="default"/>
          <w:sz w:val="21"/>
        </w:rPr>
      </w:pPr>
    </w:p>
    <w:p>
      <w:pPr>
        <w:pStyle w:val="0"/>
        <w:spacing w:line="300" w:lineRule="exact"/>
        <w:ind w:leftChars="0" w:firstLineChars="0"/>
        <w:rPr>
          <w:rFonts w:hint="default"/>
          <w:sz w:val="21"/>
        </w:rPr>
      </w:pPr>
      <w:r>
        <w:rPr>
          <w:rFonts w:hint="eastAsia"/>
          <w:b w:val="1"/>
          <w:sz w:val="21"/>
        </w:rPr>
        <w:t>（２）</w:t>
      </w:r>
      <w:r>
        <w:rPr>
          <w:rFonts w:hint="eastAsia" w:ascii="ＭＳ 明朝" w:hAnsi="ＭＳ 明朝" w:eastAsia="ＭＳ 明朝"/>
          <w:b w:val="1"/>
          <w:sz w:val="21"/>
        </w:rPr>
        <w:t>紛争解決の仕組みについて</w:t>
      </w:r>
    </w:p>
    <w:p>
      <w:pPr>
        <w:pStyle w:val="0"/>
        <w:spacing w:line="300" w:lineRule="exact"/>
        <w:ind w:left="425" w:leftChars="114" w:hanging="181" w:hangingChars="74"/>
        <w:rPr>
          <w:rFonts w:hint="default"/>
          <w:sz w:val="21"/>
          <w:bdr w:val="none" w:color="auto" w:sz="0" w:space="0"/>
        </w:rPr>
      </w:pPr>
      <w:r>
        <w:rPr>
          <w:rFonts w:hint="eastAsia"/>
          <w:sz w:val="21"/>
          <w:bdr w:val="single" w:color="auto" w:sz="4" w:space="0"/>
        </w:rPr>
        <w:t>主な意見</w:t>
      </w:r>
    </w:p>
    <w:p>
      <w:pPr>
        <w:pStyle w:val="22"/>
        <w:numPr>
          <w:ilvl w:val="0"/>
          <w:numId w:val="3"/>
        </w:numPr>
        <w:spacing w:line="300" w:lineRule="exact"/>
        <w:ind w:left="640" w:leftChars="0" w:hanging="430" w:firstLineChars="0"/>
        <w:rPr>
          <w:rFonts w:hint="default"/>
          <w:sz w:val="21"/>
          <w:bdr w:val="none" w:color="auto" w:sz="0" w:space="0"/>
        </w:rPr>
      </w:pPr>
      <w:r>
        <w:rPr>
          <w:rFonts w:hint="eastAsia"/>
          <w:sz w:val="21"/>
          <w:bdr w:val="none" w:color="auto" w:sz="0" w:space="0"/>
        </w:rPr>
        <w:t>勧告、公表の規定については行政処分ではないが、特に公表については事業者側に大きな影響を与えることとなるため、県がこの権限を持つ根拠などについて、合理的配慮の提供の義務化と合わせて議論をすべきである。</w:t>
      </w:r>
    </w:p>
    <w:p>
      <w:pPr>
        <w:pStyle w:val="22"/>
        <w:numPr>
          <w:ilvl w:val="0"/>
          <w:numId w:val="3"/>
        </w:numPr>
        <w:spacing w:line="300" w:lineRule="exact"/>
        <w:ind w:left="640" w:leftChars="0" w:hanging="430" w:firstLineChars="0"/>
        <w:rPr>
          <w:rFonts w:hint="default"/>
          <w:sz w:val="21"/>
        </w:rPr>
      </w:pPr>
      <w:r>
        <w:rPr>
          <w:rFonts w:hint="eastAsia"/>
          <w:sz w:val="21"/>
        </w:rPr>
        <w:t>助言、あっせんなどの対象事案を不当な差別的取扱いのみに限定している都道府県や</w:t>
      </w:r>
      <w:bookmarkStart w:id="0" w:name="_GoBack"/>
      <w:bookmarkEnd w:id="0"/>
      <w:r>
        <w:rPr>
          <w:rFonts w:hint="eastAsia"/>
          <w:sz w:val="21"/>
        </w:rPr>
        <w:t>、合理的配慮の提供について事業者は努力義務であっても助言、あっせん、勧告、公表まで規定している都道府県もあるなど、整理の仕方は様々である。</w:t>
      </w:r>
    </w:p>
    <w:p>
      <w:pPr>
        <w:pStyle w:val="0"/>
        <w:numPr>
          <w:ilvl w:val="0"/>
          <w:numId w:val="3"/>
        </w:numPr>
        <w:spacing w:line="300" w:lineRule="exact"/>
        <w:ind w:left="640" w:leftChars="0" w:hanging="430" w:firstLineChars="0"/>
        <w:rPr>
          <w:rFonts w:hint="default"/>
          <w:sz w:val="21"/>
        </w:rPr>
      </w:pPr>
      <w:r>
        <w:rPr>
          <w:rFonts w:hint="eastAsia"/>
          <w:sz w:val="21"/>
        </w:rPr>
        <w:t>本来の目的は建設的対話を促し、共生社会を目指すものであるため、勧告・公表を行うことが前提ではなく、方法論として勧告・公表などは設けておいていいのではないか。</w:t>
      </w:r>
    </w:p>
    <w:p>
      <w:pPr>
        <w:pStyle w:val="0"/>
        <w:numPr>
          <w:ilvl w:val="0"/>
          <w:numId w:val="3"/>
        </w:numPr>
        <w:spacing w:line="300" w:lineRule="exact"/>
        <w:ind w:left="640" w:leftChars="0" w:hanging="430" w:firstLineChars="0"/>
        <w:rPr>
          <w:rFonts w:hint="default"/>
          <w:sz w:val="21"/>
        </w:rPr>
      </w:pPr>
      <w:r>
        <w:rPr>
          <w:rFonts w:hint="eastAsia"/>
          <w:sz w:val="21"/>
        </w:rPr>
        <w:t>合理的配慮の提供の義務化とセットで議論する必要があると思われるので、次回事業者側からの情報がそろってから再度議論したい。</w:t>
      </w:r>
    </w:p>
    <w:p>
      <w:pPr>
        <w:pStyle w:val="0"/>
        <w:numPr>
          <w:ilvl w:val="0"/>
          <w:numId w:val="3"/>
        </w:numPr>
        <w:spacing w:line="300" w:lineRule="exact"/>
        <w:ind w:left="640" w:leftChars="0" w:hanging="430" w:firstLineChars="0"/>
        <w:rPr>
          <w:rFonts w:hint="default"/>
          <w:sz w:val="21"/>
        </w:rPr>
      </w:pPr>
      <w:r>
        <w:rPr>
          <w:rFonts w:hint="eastAsia"/>
          <w:sz w:val="21"/>
        </w:rPr>
        <w:t>少し先の議論になると思うが、専門の相談員を新たに配置するのであれば、相談員にはかなりの力量が問われるであろう。</w:t>
      </w:r>
    </w:p>
    <w:p>
      <w:pPr>
        <w:pStyle w:val="0"/>
        <w:numPr>
          <w:ilvl w:val="0"/>
          <w:numId w:val="3"/>
        </w:numPr>
        <w:spacing w:line="300" w:lineRule="exact"/>
        <w:ind w:left="640" w:leftChars="0" w:hanging="430" w:firstLineChars="0"/>
        <w:rPr>
          <w:rFonts w:hint="default"/>
          <w:sz w:val="21"/>
        </w:rPr>
      </w:pPr>
      <w:r>
        <w:rPr>
          <w:rFonts w:hint="eastAsia"/>
          <w:sz w:val="21"/>
        </w:rPr>
        <w:t>紛争解決の仕組みが条例の肝になるので、その窓口である相談員は重要な立場。相談員を指導する役割も必要ではないか。虐待対応専門チームのように専門の者が相談対応に入る仕組みを考えるべきではないか。</w:t>
      </w:r>
    </w:p>
    <w:p>
      <w:pPr>
        <w:pStyle w:val="0"/>
        <w:numPr>
          <w:ilvl w:val="0"/>
          <w:numId w:val="3"/>
        </w:numPr>
        <w:spacing w:line="300" w:lineRule="exact"/>
        <w:ind w:left="640" w:leftChars="0" w:hanging="430" w:firstLineChars="0"/>
        <w:rPr>
          <w:rFonts w:hint="default"/>
          <w:sz w:val="21"/>
        </w:rPr>
      </w:pPr>
      <w:r>
        <w:rPr>
          <w:rFonts w:hint="eastAsia"/>
          <w:sz w:val="21"/>
        </w:rPr>
        <w:t>他県がどのような人材をどう配置しているかなど、相談体制のシステムについても更に情報収集が必要。</w:t>
      </w:r>
    </w:p>
    <w:p>
      <w:pPr>
        <w:pStyle w:val="0"/>
        <w:numPr>
          <w:numId w:val="0"/>
        </w:numPr>
        <w:spacing w:line="300" w:lineRule="exact"/>
        <w:ind w:leftChars="0" w:firstLineChars="0"/>
        <w:rPr>
          <w:rFonts w:hint="default"/>
          <w:sz w:val="21"/>
        </w:rPr>
      </w:pPr>
    </w:p>
    <w:sectPr>
      <w:footerReference r:id="rId6" w:type="default"/>
      <w:pgSz w:w="11906" w:h="16838"/>
      <w:pgMar w:top="1440" w:right="1080" w:bottom="1440" w:left="1080" w:header="851" w:footer="992" w:gutter="0"/>
      <w:cols w:space="720"/>
      <w:textDirection w:val="lrTb"/>
      <w:docGrid w:type="linesAndChars" w:linePitch="346" w:charSpace="85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7"/>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hybridMultilevel"/>
    <w:tmpl w:val="01DB48A4"/>
    <w:lvl w:ilvl="0" w:tplc="3BEEA760">
      <w:numFmt w:val="bullet"/>
      <w:lvlText w:val=""/>
      <w:lvlJc w:val="left"/>
      <w:pPr>
        <w:ind w:left="634" w:hanging="420"/>
      </w:pPr>
      <w:rPr>
        <w:rFonts w:hint="default" w:ascii="Wingdings" w:hAnsi="Wingdings"/>
      </w:rPr>
    </w:lvl>
    <w:lvl w:ilvl="1" w:tplc="0409000B">
      <w:numFmt w:val="bullet"/>
      <w:lvlText w:val=""/>
      <w:lvlJc w:val="left"/>
      <w:pPr>
        <w:ind w:left="1054" w:hanging="420"/>
      </w:pPr>
      <w:rPr>
        <w:rFonts w:hint="default" w:ascii="Wingdings" w:hAnsi="Wingdings"/>
      </w:rPr>
    </w:lvl>
    <w:lvl w:ilvl="2" w:tplc="0409000D">
      <w:numFmt w:val="bullet"/>
      <w:lvlText w:val=""/>
      <w:lvlJc w:val="left"/>
      <w:pPr>
        <w:ind w:left="1474" w:hanging="420"/>
      </w:pPr>
      <w:rPr>
        <w:rFonts w:hint="default" w:ascii="Wingdings" w:hAnsi="Wingdings"/>
      </w:rPr>
    </w:lvl>
    <w:lvl w:ilvl="3" w:tplc="04090001">
      <w:numFmt w:val="bullet"/>
      <w:lvlText w:val=""/>
      <w:lvlJc w:val="left"/>
      <w:pPr>
        <w:ind w:left="1894" w:hanging="420"/>
      </w:pPr>
      <w:rPr>
        <w:rFonts w:hint="default" w:ascii="Wingdings" w:hAnsi="Wingdings"/>
      </w:rPr>
    </w:lvl>
    <w:lvl w:ilvl="4" w:tplc="0409000B">
      <w:numFmt w:val="bullet"/>
      <w:lvlText w:val=""/>
      <w:lvlJc w:val="left"/>
      <w:pPr>
        <w:ind w:left="2314" w:hanging="420"/>
      </w:pPr>
      <w:rPr>
        <w:rFonts w:hint="default" w:ascii="Wingdings" w:hAnsi="Wingdings"/>
      </w:rPr>
    </w:lvl>
    <w:lvl w:ilvl="5" w:tplc="0409000D">
      <w:numFmt w:val="bullet"/>
      <w:lvlText w:val=""/>
      <w:lvlJc w:val="left"/>
      <w:pPr>
        <w:ind w:left="2734" w:hanging="420"/>
      </w:pPr>
      <w:rPr>
        <w:rFonts w:hint="default" w:ascii="Wingdings" w:hAnsi="Wingdings"/>
      </w:rPr>
    </w:lvl>
    <w:lvl w:ilvl="6" w:tplc="04090001">
      <w:numFmt w:val="bullet"/>
      <w:lvlText w:val=""/>
      <w:lvlJc w:val="left"/>
      <w:pPr>
        <w:ind w:left="3154" w:hanging="420"/>
      </w:pPr>
      <w:rPr>
        <w:rFonts w:hint="default" w:ascii="Wingdings" w:hAnsi="Wingdings"/>
      </w:rPr>
    </w:lvl>
    <w:lvl w:ilvl="7" w:tplc="0409000B">
      <w:numFmt w:val="bullet"/>
      <w:lvlText w:val=""/>
      <w:lvlJc w:val="left"/>
      <w:pPr>
        <w:ind w:left="3574" w:hanging="420"/>
      </w:pPr>
      <w:rPr>
        <w:rFonts w:hint="default" w:ascii="Wingdings" w:hAnsi="Wingdings"/>
      </w:rPr>
    </w:lvl>
    <w:lvl w:ilvl="8" w:tplc="0409000D">
      <w:numFmt w:val="bullet"/>
      <w:lvlText w:val=""/>
      <w:lvlJc w:val="left"/>
      <w:pPr>
        <w:ind w:left="3994" w:hanging="420"/>
      </w:pPr>
      <w:rPr>
        <w:rFonts w:hint="default" w:ascii="Wingdings" w:hAnsi="Wingdings"/>
      </w:rPr>
    </w:lvl>
  </w:abstractNum>
  <w:abstractNum w:abstractNumId="1">
    <w:nsid w:val="00000002"/>
    <w:multiLevelType w:val="hybridMultilevel"/>
    <w:tmpl w:val="F157E82C"/>
    <w:lvl w:ilvl="0" w:tplc="3BEEA760">
      <w:numFmt w:val="bullet"/>
      <w:lvlText w:val=""/>
      <w:lvlJc w:val="left"/>
      <w:pPr>
        <w:ind w:left="634" w:hanging="420"/>
      </w:pPr>
      <w:rPr>
        <w:rFonts w:hint="default" w:ascii="Wingdings" w:hAnsi="Wingdings"/>
      </w:rPr>
    </w:lvl>
    <w:lvl w:ilvl="1" w:tplc="0409000B">
      <w:numFmt w:val="bullet"/>
      <w:lvlText w:val=""/>
      <w:lvlJc w:val="left"/>
      <w:pPr>
        <w:ind w:left="1054" w:hanging="420"/>
      </w:pPr>
      <w:rPr>
        <w:rFonts w:hint="default" w:ascii="Wingdings" w:hAnsi="Wingdings"/>
      </w:rPr>
    </w:lvl>
    <w:lvl w:ilvl="2" w:tplc="0409000D">
      <w:numFmt w:val="bullet"/>
      <w:lvlText w:val=""/>
      <w:lvlJc w:val="left"/>
      <w:pPr>
        <w:ind w:left="1474" w:hanging="420"/>
      </w:pPr>
      <w:rPr>
        <w:rFonts w:hint="default" w:ascii="Wingdings" w:hAnsi="Wingdings"/>
      </w:rPr>
    </w:lvl>
    <w:lvl w:ilvl="3" w:tplc="04090001">
      <w:numFmt w:val="bullet"/>
      <w:lvlText w:val=""/>
      <w:lvlJc w:val="left"/>
      <w:pPr>
        <w:ind w:left="1894" w:hanging="420"/>
      </w:pPr>
      <w:rPr>
        <w:rFonts w:hint="default" w:ascii="Wingdings" w:hAnsi="Wingdings"/>
      </w:rPr>
    </w:lvl>
    <w:lvl w:ilvl="4" w:tplc="0409000B">
      <w:numFmt w:val="bullet"/>
      <w:lvlText w:val=""/>
      <w:lvlJc w:val="left"/>
      <w:pPr>
        <w:ind w:left="2314" w:hanging="420"/>
      </w:pPr>
      <w:rPr>
        <w:rFonts w:hint="default" w:ascii="Wingdings" w:hAnsi="Wingdings"/>
      </w:rPr>
    </w:lvl>
    <w:lvl w:ilvl="5" w:tplc="0409000D">
      <w:numFmt w:val="bullet"/>
      <w:lvlText w:val=""/>
      <w:lvlJc w:val="left"/>
      <w:pPr>
        <w:ind w:left="2734" w:hanging="420"/>
      </w:pPr>
      <w:rPr>
        <w:rFonts w:hint="default" w:ascii="Wingdings" w:hAnsi="Wingdings"/>
      </w:rPr>
    </w:lvl>
    <w:lvl w:ilvl="6" w:tplc="04090001">
      <w:numFmt w:val="bullet"/>
      <w:lvlText w:val=""/>
      <w:lvlJc w:val="left"/>
      <w:pPr>
        <w:ind w:left="3154" w:hanging="420"/>
      </w:pPr>
      <w:rPr>
        <w:rFonts w:hint="default" w:ascii="Wingdings" w:hAnsi="Wingdings"/>
      </w:rPr>
    </w:lvl>
    <w:lvl w:ilvl="7" w:tplc="0409000B">
      <w:numFmt w:val="bullet"/>
      <w:lvlText w:val=""/>
      <w:lvlJc w:val="left"/>
      <w:pPr>
        <w:ind w:left="3574" w:hanging="420"/>
      </w:pPr>
      <w:rPr>
        <w:rFonts w:hint="default" w:ascii="Wingdings" w:hAnsi="Wingdings"/>
      </w:rPr>
    </w:lvl>
    <w:lvl w:ilvl="8" w:tplc="0409000D">
      <w:numFmt w:val="bullet"/>
      <w:lvlText w:val=""/>
      <w:lvlJc w:val="left"/>
      <w:pPr>
        <w:ind w:left="3994" w:hanging="420"/>
      </w:pPr>
      <w:rPr>
        <w:rFonts w:hint="default" w:ascii="Wingdings" w:hAnsi="Wingdings"/>
      </w:rPr>
    </w:lvl>
  </w:abstractNum>
  <w:abstractNum w:abstractNumId="2">
    <w:nsid w:val="00000003"/>
    <w:multiLevelType w:val="hybridMultilevel"/>
    <w:tmpl w:val="CF66F866"/>
    <w:lvl w:ilvl="0" w:tplc="3BEEA760">
      <w:numFmt w:val="bullet"/>
      <w:lvlText w:val=""/>
      <w:lvlJc w:val="left"/>
      <w:pPr>
        <w:ind w:left="1276" w:hanging="420"/>
      </w:pPr>
      <w:rPr>
        <w:rFonts w:hint="default" w:ascii="Wingdings" w:hAnsi="Wingdings"/>
      </w:rPr>
    </w:lvl>
    <w:lvl w:ilvl="1" w:tplc="0409000B">
      <w:numFmt w:val="bullet"/>
      <w:lvlText w:val=""/>
      <w:lvlJc w:val="left"/>
      <w:pPr>
        <w:ind w:left="1696" w:hanging="420"/>
      </w:pPr>
      <w:rPr>
        <w:rFonts w:hint="default" w:ascii="Wingdings" w:hAnsi="Wingdings"/>
      </w:rPr>
    </w:lvl>
    <w:lvl w:ilvl="2" w:tplc="0409000D">
      <w:numFmt w:val="bullet"/>
      <w:lvlText w:val=""/>
      <w:lvlJc w:val="left"/>
      <w:pPr>
        <w:ind w:left="2116" w:hanging="420"/>
      </w:pPr>
      <w:rPr>
        <w:rFonts w:hint="default" w:ascii="Wingdings" w:hAnsi="Wingdings"/>
      </w:rPr>
    </w:lvl>
    <w:lvl w:ilvl="3" w:tplc="04090001">
      <w:numFmt w:val="bullet"/>
      <w:lvlText w:val=""/>
      <w:lvlJc w:val="left"/>
      <w:pPr>
        <w:ind w:left="2536" w:hanging="420"/>
      </w:pPr>
      <w:rPr>
        <w:rFonts w:hint="default" w:ascii="Wingdings" w:hAnsi="Wingdings"/>
      </w:rPr>
    </w:lvl>
    <w:lvl w:ilvl="4" w:tplc="0409000B">
      <w:numFmt w:val="bullet"/>
      <w:lvlText w:val=""/>
      <w:lvlJc w:val="left"/>
      <w:pPr>
        <w:ind w:left="2956" w:hanging="420"/>
      </w:pPr>
      <w:rPr>
        <w:rFonts w:hint="default" w:ascii="Wingdings" w:hAnsi="Wingdings"/>
      </w:rPr>
    </w:lvl>
    <w:lvl w:ilvl="5" w:tplc="0409000D">
      <w:numFmt w:val="bullet"/>
      <w:lvlText w:val=""/>
      <w:lvlJc w:val="left"/>
      <w:pPr>
        <w:ind w:left="3376" w:hanging="420"/>
      </w:pPr>
      <w:rPr>
        <w:rFonts w:hint="default" w:ascii="Wingdings" w:hAnsi="Wingdings"/>
      </w:rPr>
    </w:lvl>
    <w:lvl w:ilvl="6" w:tplc="04090001">
      <w:numFmt w:val="bullet"/>
      <w:lvlText w:val=""/>
      <w:lvlJc w:val="left"/>
      <w:pPr>
        <w:ind w:left="3796" w:hanging="420"/>
      </w:pPr>
      <w:rPr>
        <w:rFonts w:hint="default" w:ascii="Wingdings" w:hAnsi="Wingdings"/>
      </w:rPr>
    </w:lvl>
    <w:lvl w:ilvl="7" w:tplc="0409000B">
      <w:numFmt w:val="bullet"/>
      <w:lvlText w:val=""/>
      <w:lvlJc w:val="left"/>
      <w:pPr>
        <w:ind w:left="4216" w:hanging="420"/>
      </w:pPr>
      <w:rPr>
        <w:rFonts w:hint="default" w:ascii="Wingdings" w:hAnsi="Wingdings"/>
      </w:rPr>
    </w:lvl>
    <w:lvl w:ilvl="8" w:tplc="0409000D">
      <w:numFmt w:val="bullet"/>
      <w:lvlText w:val=""/>
      <w:lvlJc w:val="left"/>
      <w:pPr>
        <w:ind w:left="4636"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07"/>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Default"/>
    <w:next w:val="19"/>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List Paragraph"/>
    <w:basedOn w:val="0"/>
    <w:next w:val="22"/>
    <w:link w:val="0"/>
    <w:uiPriority w:val="0"/>
    <w:qFormat/>
    <w:pPr>
      <w:ind w:left="400" w:leftChars="400"/>
    </w:p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tyles.xml" Id="rId3" Type="http://schemas.openxmlformats.org/officeDocument/2006/relationships/styles" /><Relationship Target="theme/theme1.xml" Id="rId5" Type="http://schemas.openxmlformats.org/officeDocument/2006/relationships/theme" /><Relationship Target="commentsExtended.xml" Id="rId7" Type="http://schemas.microsoft.com/office/2011/relationships/commentsExtended" /><Relationship Target="numbering.xml" Id="rId2" Type="http://schemas.openxmlformats.org/officeDocument/2006/relationships/numbering" /><Relationship Target="settings.xml" Id="rId4" Type="http://schemas.openxmlformats.org/officeDocument/2006/relationships/settings" /><Relationship Target="footer1.xml" Id="rId6" Type="http://schemas.openxmlformats.org/officeDocument/2006/relationships/footer"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1627</TotalTime>
  <Pages>1</Pages>
  <Words>0</Words>
  <Characters>1315</Characters>
  <Application>JUST Note</Application>
  <Lines>46</Lines>
  <Paragraphs>23</Paragraphs>
  <CharactersWithSpaces>1324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449131</cp:lastModifiedBy>
  <cp:lastPrinted>2019-11-12T23:59:02Z</cp:lastPrinted>
  <dcterms:created xsi:type="dcterms:W3CDTF">2017-03-17T08:45:00Z</dcterms:created>
  <dcterms:modified xsi:type="dcterms:W3CDTF">2019-11-12T23:59:02Z</dcterms:modified>
  <cp:revision>97</cp:revision>
</cp:coreProperties>
</file>