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340" w:lineRule="exact"/>
        <w:ind w:firstLine="852" w:firstLineChars="300"/>
        <w:jc w:val="center"/>
        <w:rPr>
          <w:rFonts w:hint="default"/>
          <w:sz w:val="28"/>
        </w:rPr>
      </w:pPr>
      <w:r>
        <w:rPr>
          <w:rFonts w:hint="eastAsia"/>
          <w:b w:val="1"/>
          <w:sz w:val="24"/>
        </w:rPr>
        <w:t>令和元年度第２回障害のある人もない人も安心して暮らせる</w:t>
      </w:r>
    </w:p>
    <w:p>
      <w:pPr>
        <w:pStyle w:val="0"/>
        <w:spacing w:line="340" w:lineRule="exact"/>
        <w:ind w:leftChars="0" w:firstLine="1926" w:firstLineChars="789"/>
        <w:rPr>
          <w:rFonts w:hint="default"/>
          <w:sz w:val="28"/>
        </w:rPr>
      </w:pPr>
      <w:r>
        <w:rPr>
          <w:rFonts w:hint="eastAsia"/>
          <w:b w:val="1"/>
          <w:sz w:val="24"/>
        </w:rPr>
        <w:t>高知県づくり条例（仮称）検討委員会の概要</w:t>
      </w:r>
    </w:p>
    <w:p>
      <w:pPr>
        <w:pStyle w:val="0"/>
        <w:spacing w:line="340" w:lineRule="exact"/>
        <w:ind w:firstLine="852" w:firstLineChars="300"/>
        <w:jc w:val="left"/>
        <w:rPr>
          <w:rFonts w:hint="default"/>
          <w:sz w:val="28"/>
        </w:rPr>
      </w:pPr>
    </w:p>
    <w:p>
      <w:pPr>
        <w:pStyle w:val="0"/>
        <w:spacing w:line="300" w:lineRule="exact"/>
        <w:rPr>
          <w:rFonts w:hint="default"/>
          <w:sz w:val="21"/>
        </w:rPr>
      </w:pPr>
      <w:r>
        <w:rPr>
          <w:rFonts w:hint="eastAsia"/>
          <w:b w:val="1"/>
          <w:sz w:val="21"/>
        </w:rPr>
        <w:t>１</w:t>
      </w:r>
      <w:r>
        <w:rPr>
          <w:rFonts w:hint="eastAsia"/>
          <w:b w:val="1"/>
          <w:sz w:val="21"/>
        </w:rPr>
        <w:t xml:space="preserve"> </w:t>
      </w:r>
      <w:r>
        <w:rPr>
          <w:rFonts w:hint="eastAsia"/>
          <w:b w:val="1"/>
          <w:sz w:val="21"/>
        </w:rPr>
        <w:t>日</w:t>
      </w:r>
      <w:r>
        <w:rPr>
          <w:rFonts w:hint="eastAsia"/>
          <w:b w:val="1"/>
          <w:sz w:val="21"/>
        </w:rPr>
        <w:t xml:space="preserve"> </w:t>
      </w:r>
      <w:r>
        <w:rPr>
          <w:rFonts w:hint="eastAsia"/>
          <w:b w:val="1"/>
          <w:sz w:val="21"/>
        </w:rPr>
        <w:t>時</w:t>
      </w:r>
      <w:r>
        <w:rPr>
          <w:rFonts w:hint="eastAsia"/>
          <w:sz w:val="21"/>
        </w:rPr>
        <w:t xml:space="preserve"> </w:t>
      </w:r>
      <w:r>
        <w:rPr>
          <w:rFonts w:hint="eastAsia"/>
          <w:sz w:val="21"/>
        </w:rPr>
        <w:t>令和元年９月９日（月）１４時００分から１６時００分</w:t>
      </w:r>
    </w:p>
    <w:p>
      <w:pPr>
        <w:pStyle w:val="0"/>
        <w:spacing w:line="300" w:lineRule="exact"/>
        <w:rPr>
          <w:rFonts w:hint="default"/>
          <w:sz w:val="21"/>
        </w:rPr>
      </w:pPr>
      <w:r>
        <w:rPr>
          <w:rFonts w:hint="eastAsia"/>
          <w:b w:val="1"/>
          <w:sz w:val="21"/>
        </w:rPr>
        <w:t>２</w:t>
      </w:r>
      <w:r>
        <w:rPr>
          <w:rFonts w:hint="eastAsia"/>
          <w:b w:val="1"/>
          <w:sz w:val="21"/>
        </w:rPr>
        <w:t xml:space="preserve"> </w:t>
      </w:r>
      <w:r>
        <w:rPr>
          <w:rFonts w:hint="eastAsia"/>
          <w:b w:val="1"/>
          <w:sz w:val="21"/>
        </w:rPr>
        <w:t>場</w:t>
      </w:r>
      <w:r>
        <w:rPr>
          <w:rFonts w:hint="eastAsia"/>
          <w:b w:val="1"/>
          <w:sz w:val="21"/>
        </w:rPr>
        <w:t xml:space="preserve"> </w:t>
      </w:r>
      <w:r>
        <w:rPr>
          <w:rFonts w:hint="eastAsia"/>
          <w:b w:val="1"/>
          <w:sz w:val="21"/>
        </w:rPr>
        <w:t>所</w:t>
      </w:r>
      <w:r>
        <w:rPr>
          <w:rFonts w:hint="eastAsia"/>
          <w:sz w:val="21"/>
        </w:rPr>
        <w:t xml:space="preserve"> </w:t>
      </w:r>
      <w:r>
        <w:rPr>
          <w:rFonts w:hint="eastAsia"/>
          <w:sz w:val="21"/>
        </w:rPr>
        <w:t>高知城ホール　２階　小会議室</w:t>
      </w:r>
    </w:p>
    <w:p>
      <w:pPr>
        <w:pStyle w:val="0"/>
        <w:widowControl w:val="1"/>
        <w:spacing w:line="300" w:lineRule="exact"/>
        <w:jc w:val="left"/>
        <w:rPr>
          <w:rFonts w:hint="default"/>
          <w:sz w:val="21"/>
        </w:rPr>
      </w:pPr>
      <w:r>
        <w:rPr>
          <w:rFonts w:hint="eastAsia"/>
          <w:b w:val="1"/>
          <w:sz w:val="21"/>
        </w:rPr>
        <w:t>３</w:t>
      </w:r>
      <w:r>
        <w:rPr>
          <w:rFonts w:hint="eastAsia"/>
          <w:b w:val="1"/>
          <w:sz w:val="21"/>
        </w:rPr>
        <w:t xml:space="preserve"> </w:t>
      </w:r>
      <w:r>
        <w:rPr>
          <w:rFonts w:hint="eastAsia"/>
          <w:b w:val="1"/>
          <w:sz w:val="21"/>
        </w:rPr>
        <w:t>検討内容</w:t>
      </w:r>
    </w:p>
    <w:p>
      <w:pPr>
        <w:pStyle w:val="0"/>
        <w:spacing w:line="300" w:lineRule="exact"/>
        <w:rPr>
          <w:rFonts w:hint="default"/>
          <w:sz w:val="21"/>
        </w:rPr>
      </w:pPr>
      <w:r>
        <w:rPr>
          <w:rFonts w:hint="eastAsia"/>
          <w:b w:val="1"/>
          <w:sz w:val="21"/>
        </w:rPr>
        <w:t>（１）</w:t>
      </w:r>
      <w:r>
        <w:rPr>
          <w:rFonts w:hint="eastAsia" w:ascii="ＭＳ 明朝" w:hAnsi="ＭＳ 明朝" w:eastAsia="ＭＳ 明朝"/>
          <w:b w:val="1"/>
          <w:sz w:val="21"/>
        </w:rPr>
        <w:t>障害者差別解消法に係る条例と手話言語条例の関係について</w:t>
      </w:r>
    </w:p>
    <w:p>
      <w:pPr>
        <w:pStyle w:val="0"/>
        <w:spacing w:line="300" w:lineRule="exact"/>
        <w:ind w:firstLine="214" w:firstLineChars="100"/>
        <w:rPr>
          <w:rFonts w:hint="default"/>
          <w:sz w:val="21"/>
        </w:rPr>
      </w:pPr>
      <w:r>
        <w:rPr>
          <w:rFonts w:hint="eastAsia"/>
          <w:sz w:val="21"/>
          <w:bdr w:val="single" w:color="auto" w:sz="4" w:space="0"/>
        </w:rPr>
        <w:t>主な意見</w:t>
      </w:r>
    </w:p>
    <w:p>
      <w:pPr>
        <w:pStyle w:val="0"/>
        <w:numPr>
          <w:ilvl w:val="0"/>
          <w:numId w:val="1"/>
        </w:numPr>
        <w:spacing w:line="300" w:lineRule="exact"/>
        <w:ind w:leftChars="0" w:firstLineChars="0"/>
        <w:rPr>
          <w:rFonts w:hint="default"/>
          <w:sz w:val="21"/>
        </w:rPr>
      </w:pPr>
      <w:r>
        <w:rPr>
          <w:rFonts w:hint="eastAsia"/>
          <w:sz w:val="21"/>
        </w:rPr>
        <w:t>障害者差別解消法に係る条例の場合は、合理的配慮として情報保障の内容が強く出ている。手話言語条例の場合は、聞こえない人が手話を獲得する機会、聞こえない子供の家族が手話を学び覚える機会などが必要になってくる。障害者差別解消法に係る条例のほうに、そういった学ぶ機会などの内容を盛り込むことは難しい。</w:t>
      </w:r>
    </w:p>
    <w:p>
      <w:pPr>
        <w:pStyle w:val="0"/>
        <w:numPr>
          <w:ilvl w:val="0"/>
          <w:numId w:val="1"/>
        </w:numPr>
        <w:spacing w:line="300" w:lineRule="exact"/>
        <w:ind w:leftChars="0" w:firstLineChars="0"/>
        <w:rPr>
          <w:rFonts w:hint="default"/>
          <w:sz w:val="21"/>
        </w:rPr>
      </w:pPr>
      <w:r>
        <w:rPr>
          <w:rFonts w:hint="eastAsia"/>
          <w:sz w:val="21"/>
        </w:rPr>
        <w:t>知的・発達障害のある人のコミュニケーションツールも時代と共に変わってきている。知的・発達障害のある人のツールは手話ほどまだ確立されてはいないが、手話に限らず知的・発達障害のある人のコミュニケーションツールについても同じように条例に盛り込んでほしい。</w:t>
      </w:r>
    </w:p>
    <w:p>
      <w:pPr>
        <w:pStyle w:val="0"/>
        <w:numPr>
          <w:ilvl w:val="0"/>
          <w:numId w:val="1"/>
        </w:numPr>
        <w:spacing w:line="300" w:lineRule="exact"/>
        <w:ind w:leftChars="0" w:firstLineChars="0"/>
        <w:rPr>
          <w:rFonts w:hint="default"/>
          <w:sz w:val="21"/>
        </w:rPr>
      </w:pPr>
      <w:r>
        <w:rPr>
          <w:rFonts w:hint="eastAsia"/>
          <w:sz w:val="21"/>
          <w:u w:val="none" w:color="auto"/>
        </w:rPr>
        <w:t>第１回目の検討委員会での確認事項とは異なるが、情報保障については今回検討している条例に盛り込み、手話言語条例に関わる部分は別立てに制定するという方向で議論を進めていくこととしたい。</w:t>
      </w:r>
    </w:p>
    <w:p>
      <w:pPr>
        <w:pStyle w:val="0"/>
        <w:numPr>
          <w:ilvl w:val="0"/>
          <w:numId w:val="1"/>
        </w:numPr>
        <w:spacing w:line="300" w:lineRule="exact"/>
        <w:ind w:leftChars="0" w:firstLineChars="0"/>
        <w:rPr>
          <w:rFonts w:hint="default"/>
          <w:sz w:val="21"/>
        </w:rPr>
      </w:pPr>
      <w:r>
        <w:rPr>
          <w:rFonts w:hint="eastAsia"/>
          <w:sz w:val="21"/>
        </w:rPr>
        <w:t>ただし、例えば「意思疎通支援者の養成等」などを合理的配慮の重要な内容として情報保障のなかに残しておく等、今回検討する条例の情報保障の内容が、手話言語条例と一部重なる可能性はある。</w:t>
      </w:r>
    </w:p>
    <w:p>
      <w:pPr>
        <w:pStyle w:val="0"/>
        <w:spacing w:line="300" w:lineRule="exact"/>
        <w:ind w:left="425" w:leftChars="114" w:hanging="181" w:hangingChars="74"/>
        <w:rPr>
          <w:rFonts w:hint="default"/>
          <w:sz w:val="21"/>
        </w:rPr>
      </w:pPr>
      <w:r>
        <w:rPr>
          <w:rFonts w:hint="eastAsia"/>
          <w:sz w:val="21"/>
          <w:bdr w:val="single" w:color="auto" w:sz="4" w:space="0"/>
        </w:rPr>
        <w:t>今後の方向性</w:t>
      </w:r>
    </w:p>
    <w:p>
      <w:pPr>
        <w:pStyle w:val="22"/>
        <w:numPr>
          <w:ilvl w:val="0"/>
          <w:numId w:val="2"/>
        </w:numPr>
        <w:spacing w:line="300" w:lineRule="exact"/>
        <w:ind w:leftChars="0" w:firstLineChars="0"/>
        <w:rPr>
          <w:rFonts w:hint="default"/>
          <w:sz w:val="21"/>
        </w:rPr>
      </w:pPr>
      <w:r>
        <w:rPr>
          <w:rFonts w:hint="eastAsia"/>
          <w:sz w:val="21"/>
        </w:rPr>
        <w:t>手話言語条例については別に検討をするものとし、今回検討を進めている条例には情報保障の内容を含めるものとする。</w:t>
      </w:r>
    </w:p>
    <w:p>
      <w:pPr>
        <w:pStyle w:val="0"/>
        <w:spacing w:line="300" w:lineRule="exact"/>
        <w:ind w:left="425" w:leftChars="114" w:hanging="181" w:hangingChars="74"/>
        <w:rPr>
          <w:rFonts w:hint="default"/>
          <w:sz w:val="21"/>
        </w:rPr>
      </w:pPr>
    </w:p>
    <w:p>
      <w:pPr>
        <w:pStyle w:val="0"/>
        <w:spacing w:line="300" w:lineRule="exact"/>
        <w:ind w:leftChars="0" w:firstLineChars="0"/>
        <w:rPr>
          <w:rFonts w:hint="default"/>
          <w:sz w:val="21"/>
        </w:rPr>
      </w:pPr>
      <w:r>
        <w:rPr>
          <w:rFonts w:hint="eastAsia"/>
          <w:b w:val="1"/>
          <w:sz w:val="21"/>
        </w:rPr>
        <w:t>（２）</w:t>
      </w:r>
      <w:r>
        <w:rPr>
          <w:rFonts w:hint="eastAsia" w:ascii="ＭＳ 明朝" w:hAnsi="ＭＳ 明朝" w:eastAsia="ＭＳ 明朝"/>
          <w:b w:val="1"/>
          <w:sz w:val="21"/>
        </w:rPr>
        <w:t>事業者の合理的配慮の提供の義務化について</w:t>
      </w:r>
    </w:p>
    <w:p>
      <w:pPr>
        <w:pStyle w:val="0"/>
        <w:spacing w:line="300" w:lineRule="exact"/>
        <w:ind w:left="425" w:leftChars="114" w:hanging="181" w:hangingChars="74"/>
        <w:rPr>
          <w:rFonts w:hint="default"/>
          <w:sz w:val="21"/>
          <w:bdr w:val="none" w:color="auto" w:sz="0" w:space="0"/>
        </w:rPr>
      </w:pPr>
      <w:r>
        <w:rPr>
          <w:rFonts w:hint="eastAsia"/>
          <w:sz w:val="21"/>
          <w:bdr w:val="single" w:color="auto" w:sz="4" w:space="0"/>
        </w:rPr>
        <w:t>主な意見</w:t>
      </w:r>
    </w:p>
    <w:p>
      <w:pPr>
        <w:pStyle w:val="22"/>
        <w:numPr>
          <w:ilvl w:val="0"/>
          <w:numId w:val="3"/>
        </w:numPr>
        <w:spacing w:line="300" w:lineRule="exact"/>
        <w:ind w:left="640" w:leftChars="0" w:hanging="430" w:firstLineChars="0"/>
        <w:rPr>
          <w:rFonts w:hint="default"/>
          <w:sz w:val="21"/>
          <w:bdr w:val="none" w:color="auto" w:sz="0" w:space="0"/>
        </w:rPr>
      </w:pPr>
      <w:r>
        <w:rPr>
          <w:rFonts w:hint="eastAsia"/>
          <w:sz w:val="21"/>
          <w:bdr w:val="none" w:color="auto" w:sz="0" w:space="0"/>
        </w:rPr>
        <w:t>事務局から提案のあった紛争解決のスキームにおいて、相談員および調整委委員会が始めから上手く機能するとは思えない。</w:t>
      </w:r>
      <w:r>
        <w:rPr>
          <w:rFonts w:hint="eastAsia"/>
          <w:sz w:val="21"/>
        </w:rPr>
        <w:t>はじめは「努力義務」としておき、相談員や調整委員会が事例を経験しながら、体制を強化していくなかで、段階を踏んで「義務」に引き上げるという方法もあるのではないか。</w:t>
      </w:r>
    </w:p>
    <w:p>
      <w:pPr>
        <w:pStyle w:val="22"/>
        <w:numPr>
          <w:ilvl w:val="0"/>
          <w:numId w:val="3"/>
        </w:numPr>
        <w:spacing w:line="300" w:lineRule="exact"/>
        <w:ind w:left="640" w:leftChars="0" w:hanging="430" w:firstLineChars="0"/>
        <w:rPr>
          <w:rFonts w:hint="default"/>
          <w:sz w:val="21"/>
        </w:rPr>
      </w:pPr>
      <w:r>
        <w:rPr>
          <w:rFonts w:hint="eastAsia"/>
          <w:sz w:val="21"/>
        </w:rPr>
        <w:t>合理的配慮は誰にとっても義務だとした方が、主語が行政なのか事業者なのか考えずに、合理的配慮の内容のみ考えれば良いので、義務の方が相談員に取っても取扱いが簡単ではないか。</w:t>
      </w:r>
    </w:p>
    <w:p>
      <w:pPr>
        <w:pStyle w:val="22"/>
        <w:numPr>
          <w:ilvl w:val="0"/>
          <w:numId w:val="3"/>
        </w:numPr>
        <w:spacing w:line="300" w:lineRule="exact"/>
        <w:ind w:left="640" w:leftChars="0" w:hanging="430" w:firstLineChars="0"/>
        <w:rPr>
          <w:rFonts w:hint="default"/>
          <w:sz w:val="21"/>
        </w:rPr>
      </w:pPr>
      <w:r>
        <w:rPr>
          <w:rFonts w:hint="eastAsia"/>
          <w:sz w:val="21"/>
        </w:rPr>
        <w:t>義務でも努力義務でも、事業者にとっては「過重な負担である場合は」行わなくても良いという免罪符があるので、努力義務にすれば免罪符が多くなって実利性が失われるのではないか。</w:t>
      </w:r>
    </w:p>
    <w:p>
      <w:pPr>
        <w:pStyle w:val="22"/>
        <w:numPr>
          <w:ilvl w:val="0"/>
          <w:numId w:val="3"/>
        </w:numPr>
        <w:spacing w:line="300" w:lineRule="exact"/>
        <w:ind w:left="640" w:leftChars="0" w:hanging="430" w:firstLineChars="0"/>
        <w:rPr>
          <w:rFonts w:hint="default"/>
          <w:sz w:val="21"/>
        </w:rPr>
      </w:pPr>
      <w:r>
        <w:rPr>
          <w:rFonts w:hint="eastAsia"/>
          <w:sz w:val="21"/>
          <w:u w:val="none" w:color="auto"/>
        </w:rPr>
        <w:t>義務にされる事業者側の意見を聞かずに義務化するというのは民主主義の観点からもおかしい。事業者側から意見を聞く場を持つべきではないか。</w:t>
      </w:r>
    </w:p>
    <w:p>
      <w:pPr>
        <w:pStyle w:val="0"/>
        <w:numPr>
          <w:ilvl w:val="0"/>
          <w:numId w:val="3"/>
        </w:numPr>
        <w:spacing w:line="300" w:lineRule="exact"/>
        <w:ind w:left="640" w:leftChars="0" w:hanging="430" w:firstLineChars="0"/>
        <w:rPr>
          <w:rFonts w:hint="default"/>
          <w:sz w:val="21"/>
        </w:rPr>
      </w:pPr>
      <w:r>
        <w:rPr>
          <w:rFonts w:hint="eastAsia"/>
          <w:sz w:val="21"/>
        </w:rPr>
        <w:t>義務化するのであれば、かなり丁寧な議論を重ねて課題を整理をしなければ、事務局の対外的な説明が難しくなってしまう。課題整理のために、</w:t>
      </w:r>
      <w:r>
        <w:rPr>
          <w:rFonts w:hint="eastAsia"/>
          <w:sz w:val="21"/>
          <w:u w:val="none" w:color="auto"/>
        </w:rPr>
        <w:t>義務化したことによって各分野で想定される検討課題を各委員が次回持ち寄ることとしたい</w:t>
      </w:r>
      <w:r>
        <w:rPr>
          <w:rFonts w:hint="eastAsia"/>
          <w:sz w:val="21"/>
        </w:rPr>
        <w:t>。</w:t>
      </w:r>
    </w:p>
    <w:p>
      <w:pPr>
        <w:pStyle w:val="0"/>
        <w:spacing w:line="300" w:lineRule="exact"/>
        <w:ind w:left="425" w:leftChars="114" w:hanging="181" w:hangingChars="74"/>
        <w:rPr>
          <w:rFonts w:hint="default"/>
          <w:sz w:val="21"/>
        </w:rPr>
      </w:pPr>
      <w:r>
        <w:rPr>
          <w:rFonts w:hint="eastAsia"/>
          <w:sz w:val="21"/>
          <w:bdr w:val="single" w:color="auto" w:sz="4" w:space="0"/>
        </w:rPr>
        <w:t>第３回検討委員会に向けた事務局作業</w:t>
      </w:r>
    </w:p>
    <w:p>
      <w:pPr>
        <w:pStyle w:val="22"/>
        <w:numPr>
          <w:ilvl w:val="0"/>
          <w:numId w:val="4"/>
        </w:numPr>
        <w:spacing w:line="300" w:lineRule="exact"/>
        <w:ind w:leftChars="0" w:firstLineChars="0"/>
        <w:rPr>
          <w:rFonts w:hint="default"/>
          <w:sz w:val="21"/>
        </w:rPr>
      </w:pPr>
      <w:r>
        <w:rPr>
          <w:rFonts w:hint="eastAsia"/>
          <w:sz w:val="21"/>
        </w:rPr>
        <w:t>事務局が、事業者の合理的配慮の提供を義務としている都道府県が条例制定までに事業者等に対してどのような対応を行ったのか、また条例施行後にどう対応したのか調査し、次回状況をお示しする。</w:t>
      </w:r>
    </w:p>
    <w:p>
      <w:pPr>
        <w:pStyle w:val="22"/>
        <w:numPr>
          <w:ilvl w:val="0"/>
          <w:numId w:val="4"/>
        </w:numPr>
        <w:spacing w:line="300" w:lineRule="exact"/>
        <w:ind w:leftChars="0" w:firstLineChars="0"/>
        <w:rPr>
          <w:rFonts w:hint="default"/>
          <w:sz w:val="21"/>
        </w:rPr>
      </w:pPr>
      <w:r>
        <w:rPr>
          <w:rFonts w:hint="eastAsia"/>
          <w:sz w:val="21"/>
        </w:rPr>
        <w:t>国が障害者差別解消法を制定する際にも、合理的配慮の提供について様々な議論があったはずなので、その議論について整理し、次回お示しする。</w:t>
      </w:r>
      <w:bookmarkStart w:id="0" w:name="_GoBack"/>
      <w:bookmarkEnd w:id="0"/>
    </w:p>
    <w:sectPr>
      <w:footerReference r:id="rId6" w:type="default"/>
      <w:pgSz w:w="11906" w:h="16838"/>
      <w:pgMar w:top="1440" w:right="1080" w:bottom="1440" w:left="1080" w:header="851" w:footer="992" w:gutter="0"/>
      <w:cols w:space="720"/>
      <w:textDirection w:val="lrTb"/>
      <w:docGrid w:type="linesAndChars" w:linePitch="346"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01DB48A4"/>
    <w:lvl w:ilvl="0" w:tplc="3BEEA760">
      <w:numFmt w:val="bullet"/>
      <w:lvlText w:val=""/>
      <w:lvlJc w:val="left"/>
      <w:pPr>
        <w:ind w:left="634" w:hanging="420"/>
      </w:pPr>
      <w:rPr>
        <w:rFonts w:hint="default" w:ascii="Wingdings" w:hAnsi="Wingdings"/>
      </w:rPr>
    </w:lvl>
    <w:lvl w:ilvl="1" w:tplc="0409000B">
      <w:numFmt w:val="bullet"/>
      <w:lvlText w:val=""/>
      <w:lvlJc w:val="left"/>
      <w:pPr>
        <w:ind w:left="1054" w:hanging="420"/>
      </w:pPr>
      <w:rPr>
        <w:rFonts w:hint="default" w:ascii="Wingdings" w:hAnsi="Wingdings"/>
      </w:rPr>
    </w:lvl>
    <w:lvl w:ilvl="2" w:tplc="0409000D">
      <w:numFmt w:val="bullet"/>
      <w:lvlText w:val=""/>
      <w:lvlJc w:val="left"/>
      <w:pPr>
        <w:ind w:left="1474" w:hanging="420"/>
      </w:pPr>
      <w:rPr>
        <w:rFonts w:hint="default" w:ascii="Wingdings" w:hAnsi="Wingdings"/>
      </w:rPr>
    </w:lvl>
    <w:lvl w:ilvl="3" w:tplc="04090001">
      <w:numFmt w:val="bullet"/>
      <w:lvlText w:val=""/>
      <w:lvlJc w:val="left"/>
      <w:pPr>
        <w:ind w:left="1894" w:hanging="420"/>
      </w:pPr>
      <w:rPr>
        <w:rFonts w:hint="default" w:ascii="Wingdings" w:hAnsi="Wingdings"/>
      </w:rPr>
    </w:lvl>
    <w:lvl w:ilvl="4" w:tplc="0409000B">
      <w:numFmt w:val="bullet"/>
      <w:lvlText w:val=""/>
      <w:lvlJc w:val="left"/>
      <w:pPr>
        <w:ind w:left="2314" w:hanging="420"/>
      </w:pPr>
      <w:rPr>
        <w:rFonts w:hint="default" w:ascii="Wingdings" w:hAnsi="Wingdings"/>
      </w:rPr>
    </w:lvl>
    <w:lvl w:ilvl="5" w:tplc="0409000D">
      <w:numFmt w:val="bullet"/>
      <w:lvlText w:val=""/>
      <w:lvlJc w:val="left"/>
      <w:pPr>
        <w:ind w:left="2734" w:hanging="420"/>
      </w:pPr>
      <w:rPr>
        <w:rFonts w:hint="default" w:ascii="Wingdings" w:hAnsi="Wingdings"/>
      </w:rPr>
    </w:lvl>
    <w:lvl w:ilvl="6" w:tplc="04090001">
      <w:numFmt w:val="bullet"/>
      <w:lvlText w:val=""/>
      <w:lvlJc w:val="left"/>
      <w:pPr>
        <w:ind w:left="3154" w:hanging="420"/>
      </w:pPr>
      <w:rPr>
        <w:rFonts w:hint="default" w:ascii="Wingdings" w:hAnsi="Wingdings"/>
      </w:rPr>
    </w:lvl>
    <w:lvl w:ilvl="7" w:tplc="0409000B">
      <w:numFmt w:val="bullet"/>
      <w:lvlText w:val=""/>
      <w:lvlJc w:val="left"/>
      <w:pPr>
        <w:ind w:left="3574" w:hanging="420"/>
      </w:pPr>
      <w:rPr>
        <w:rFonts w:hint="default" w:ascii="Wingdings" w:hAnsi="Wingdings"/>
      </w:rPr>
    </w:lvl>
    <w:lvl w:ilvl="8" w:tplc="0409000D">
      <w:numFmt w:val="bullet"/>
      <w:lvlText w:val=""/>
      <w:lvlJc w:val="left"/>
      <w:pPr>
        <w:ind w:left="3994" w:hanging="420"/>
      </w:pPr>
      <w:rPr>
        <w:rFonts w:hint="default" w:ascii="Wingdings" w:hAnsi="Wingdings"/>
      </w:rPr>
    </w:lvl>
  </w:abstractNum>
  <w:abstractNum w:abstractNumId="1">
    <w:nsid w:val="00000002"/>
    <w:multiLevelType w:val="hybridMultilevel"/>
    <w:tmpl w:val="F157E82C"/>
    <w:lvl w:ilvl="0" w:tplc="3BEEA760">
      <w:numFmt w:val="bullet"/>
      <w:lvlText w:val=""/>
      <w:lvlJc w:val="left"/>
      <w:pPr>
        <w:ind w:left="634" w:hanging="420"/>
      </w:pPr>
      <w:rPr>
        <w:rFonts w:hint="default" w:ascii="Wingdings" w:hAnsi="Wingdings"/>
      </w:rPr>
    </w:lvl>
    <w:lvl w:ilvl="1" w:tplc="0409000B">
      <w:numFmt w:val="bullet"/>
      <w:lvlText w:val=""/>
      <w:lvlJc w:val="left"/>
      <w:pPr>
        <w:ind w:left="1054" w:hanging="420"/>
      </w:pPr>
      <w:rPr>
        <w:rFonts w:hint="default" w:ascii="Wingdings" w:hAnsi="Wingdings"/>
      </w:rPr>
    </w:lvl>
    <w:lvl w:ilvl="2" w:tplc="0409000D">
      <w:numFmt w:val="bullet"/>
      <w:lvlText w:val=""/>
      <w:lvlJc w:val="left"/>
      <w:pPr>
        <w:ind w:left="1474" w:hanging="420"/>
      </w:pPr>
      <w:rPr>
        <w:rFonts w:hint="default" w:ascii="Wingdings" w:hAnsi="Wingdings"/>
      </w:rPr>
    </w:lvl>
    <w:lvl w:ilvl="3" w:tplc="04090001">
      <w:numFmt w:val="bullet"/>
      <w:lvlText w:val=""/>
      <w:lvlJc w:val="left"/>
      <w:pPr>
        <w:ind w:left="1894" w:hanging="420"/>
      </w:pPr>
      <w:rPr>
        <w:rFonts w:hint="default" w:ascii="Wingdings" w:hAnsi="Wingdings"/>
      </w:rPr>
    </w:lvl>
    <w:lvl w:ilvl="4" w:tplc="0409000B">
      <w:numFmt w:val="bullet"/>
      <w:lvlText w:val=""/>
      <w:lvlJc w:val="left"/>
      <w:pPr>
        <w:ind w:left="2314" w:hanging="420"/>
      </w:pPr>
      <w:rPr>
        <w:rFonts w:hint="default" w:ascii="Wingdings" w:hAnsi="Wingdings"/>
      </w:rPr>
    </w:lvl>
    <w:lvl w:ilvl="5" w:tplc="0409000D">
      <w:numFmt w:val="bullet"/>
      <w:lvlText w:val=""/>
      <w:lvlJc w:val="left"/>
      <w:pPr>
        <w:ind w:left="2734" w:hanging="420"/>
      </w:pPr>
      <w:rPr>
        <w:rFonts w:hint="default" w:ascii="Wingdings" w:hAnsi="Wingdings"/>
      </w:rPr>
    </w:lvl>
    <w:lvl w:ilvl="6" w:tplc="04090001">
      <w:numFmt w:val="bullet"/>
      <w:lvlText w:val=""/>
      <w:lvlJc w:val="left"/>
      <w:pPr>
        <w:ind w:left="3154" w:hanging="420"/>
      </w:pPr>
      <w:rPr>
        <w:rFonts w:hint="default" w:ascii="Wingdings" w:hAnsi="Wingdings"/>
      </w:rPr>
    </w:lvl>
    <w:lvl w:ilvl="7" w:tplc="0409000B">
      <w:numFmt w:val="bullet"/>
      <w:lvlText w:val=""/>
      <w:lvlJc w:val="left"/>
      <w:pPr>
        <w:ind w:left="3574" w:hanging="420"/>
      </w:pPr>
      <w:rPr>
        <w:rFonts w:hint="default" w:ascii="Wingdings" w:hAnsi="Wingdings"/>
      </w:rPr>
    </w:lvl>
    <w:lvl w:ilvl="8" w:tplc="0409000D">
      <w:numFmt w:val="bullet"/>
      <w:lvlText w:val=""/>
      <w:lvlJc w:val="left"/>
      <w:pPr>
        <w:ind w:left="3994" w:hanging="420"/>
      </w:pPr>
      <w:rPr>
        <w:rFonts w:hint="default" w:ascii="Wingdings" w:hAnsi="Wingdings"/>
      </w:rPr>
    </w:lvl>
  </w:abstractNum>
  <w:abstractNum w:abstractNumId="2">
    <w:nsid w:val="00000003"/>
    <w:multiLevelType w:val="hybridMultilevel"/>
    <w:tmpl w:val="CF66F866"/>
    <w:lvl w:ilvl="0" w:tplc="3BEEA760">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2575014A"/>
    <w:lvl w:ilvl="0" w:tplc="3BEEA760">
      <w:numFmt w:val="bullet"/>
      <w:lvlText w:val=""/>
      <w:lvlJc w:val="left"/>
      <w:pPr>
        <w:ind w:left="634" w:hanging="420"/>
      </w:pPr>
      <w:rPr>
        <w:rFonts w:hint="default" w:ascii="Wingdings" w:hAnsi="Wingdings"/>
      </w:rPr>
    </w:lvl>
    <w:lvl w:ilvl="1" w:tplc="0409000B">
      <w:numFmt w:val="bullet"/>
      <w:lvlText w:val=""/>
      <w:lvlJc w:val="left"/>
      <w:pPr>
        <w:ind w:left="1054" w:hanging="420"/>
      </w:pPr>
      <w:rPr>
        <w:rFonts w:hint="default" w:ascii="Wingdings" w:hAnsi="Wingdings"/>
      </w:rPr>
    </w:lvl>
    <w:lvl w:ilvl="2" w:tplc="0409000D">
      <w:numFmt w:val="bullet"/>
      <w:lvlText w:val=""/>
      <w:lvlJc w:val="left"/>
      <w:pPr>
        <w:ind w:left="1474" w:hanging="420"/>
      </w:pPr>
      <w:rPr>
        <w:rFonts w:hint="default" w:ascii="Wingdings" w:hAnsi="Wingdings"/>
      </w:rPr>
    </w:lvl>
    <w:lvl w:ilvl="3" w:tplc="04090001">
      <w:numFmt w:val="bullet"/>
      <w:lvlText w:val=""/>
      <w:lvlJc w:val="left"/>
      <w:pPr>
        <w:ind w:left="1894" w:hanging="420"/>
      </w:pPr>
      <w:rPr>
        <w:rFonts w:hint="default" w:ascii="Wingdings" w:hAnsi="Wingdings"/>
      </w:rPr>
    </w:lvl>
    <w:lvl w:ilvl="4" w:tplc="0409000B">
      <w:numFmt w:val="bullet"/>
      <w:lvlText w:val=""/>
      <w:lvlJc w:val="left"/>
      <w:pPr>
        <w:ind w:left="2314" w:hanging="420"/>
      </w:pPr>
      <w:rPr>
        <w:rFonts w:hint="default" w:ascii="Wingdings" w:hAnsi="Wingdings"/>
      </w:rPr>
    </w:lvl>
    <w:lvl w:ilvl="5" w:tplc="0409000D">
      <w:numFmt w:val="bullet"/>
      <w:lvlText w:val=""/>
      <w:lvlJc w:val="left"/>
      <w:pPr>
        <w:ind w:left="2734" w:hanging="420"/>
      </w:pPr>
      <w:rPr>
        <w:rFonts w:hint="default" w:ascii="Wingdings" w:hAnsi="Wingdings"/>
      </w:rPr>
    </w:lvl>
    <w:lvl w:ilvl="6" w:tplc="04090001">
      <w:numFmt w:val="bullet"/>
      <w:lvlText w:val=""/>
      <w:lvlJc w:val="left"/>
      <w:pPr>
        <w:ind w:left="3154" w:hanging="420"/>
      </w:pPr>
      <w:rPr>
        <w:rFonts w:hint="default" w:ascii="Wingdings" w:hAnsi="Wingdings"/>
      </w:rPr>
    </w:lvl>
    <w:lvl w:ilvl="7" w:tplc="0409000B">
      <w:numFmt w:val="bullet"/>
      <w:lvlText w:val=""/>
      <w:lvlJc w:val="left"/>
      <w:pPr>
        <w:ind w:left="3574" w:hanging="420"/>
      </w:pPr>
      <w:rPr>
        <w:rFonts w:hint="default" w:ascii="Wingdings" w:hAnsi="Wingdings"/>
      </w:rPr>
    </w:lvl>
    <w:lvl w:ilvl="8" w:tplc="0409000D">
      <w:numFmt w:val="bullet"/>
      <w:lvlText w:val=""/>
      <w:lvlJc w:val="left"/>
      <w:pPr>
        <w:ind w:left="3994"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7"/>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List Paragraph"/>
    <w:basedOn w:val="0"/>
    <w:next w:val="22"/>
    <w:link w:val="0"/>
    <w:uiPriority w:val="0"/>
    <w:qFormat/>
    <w:pPr>
      <w:ind w:left="400" w:leftChars="400"/>
    </w:p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commentsExtended.xml" Id="rId7" Type="http://schemas.microsoft.com/office/2011/relationships/commentsExtended" /><Relationship Target="numbering.xml" Id="rId2" Type="http://schemas.openxmlformats.org/officeDocument/2006/relationships/numbering" /><Relationship Target="settings.xml" Id="rId4" Type="http://schemas.openxmlformats.org/officeDocument/2006/relationships/settings"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1568</TotalTime>
  <Pages>1</Pages>
  <Words>0</Words>
  <Characters>1167</Characters>
  <Application>JUST Note</Application>
  <Lines>42</Lines>
  <Paragraphs>28</Paragraphs>
  <CharactersWithSpaces>1178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449131</cp:lastModifiedBy>
  <cp:lastPrinted>2019-08-16T02:13:29Z</cp:lastPrinted>
  <dcterms:created xsi:type="dcterms:W3CDTF">2017-03-17T08:45:00Z</dcterms:created>
  <dcterms:modified xsi:type="dcterms:W3CDTF">2019-10-08T05:45:37Z</dcterms:modified>
  <cp:revision>71</cp:revision>
</cp:coreProperties>
</file>