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582" w:type="dxa"/>
        <w:tblInd w:w="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2" w:type="dxa"/>
          <w:bottom w:w="0" w:type="dxa"/>
          <w:right w:w="52" w:type="dxa"/>
        </w:tblCellMar>
        <w:tblLook w:firstRow="0" w:lastRow="0" w:firstColumn="0" w:lastColumn="0" w:noHBand="1" w:noVBand="1" w:val="0600"/>
      </w:tblPr>
      <w:tblGrid>
        <w:gridCol w:w="9582"/>
      </w:tblGrid>
      <w:tr>
        <w:trPr>
          <w:trHeight w:val="13948" w:hRule="atLeast"/>
        </w:trPr>
        <w:tc>
          <w:tcPr>
            <w:tcW w:w="9582"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0"/>
              <w:autoSpaceDE w:val="0"/>
              <w:autoSpaceDN w:val="0"/>
              <w:adjustRightInd w:val="0"/>
              <w:spacing w:line="400" w:lineRule="exact"/>
              <w:jc w:val="center"/>
              <w:textAlignment w:val="baseline"/>
              <w:rPr>
                <w:rFonts w:hint="eastAsia" w:ascii="ＭＳ 明朝" w:hAnsi="ＭＳ 明朝" w:eastAsia="ＭＳ 明朝"/>
                <w:color w:val="000000" w:themeColor="text1"/>
                <w:sz w:val="2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4726940</wp:posOffset>
                      </wp:positionH>
                      <wp:positionV relativeFrom="paragraph">
                        <wp:posOffset>-681990</wp:posOffset>
                      </wp:positionV>
                      <wp:extent cx="1354455" cy="3549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54455" cy="35496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游ゴシック" w:hAnsi="游ゴシック" w:eastAsia="游ゴシック"/>
                                      <w:b w:val="1"/>
                                      <w:sz w:val="28"/>
                                    </w:rPr>
                                    <w:t>資料５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3.7pt;mso-position-vertical-relative:text;mso-position-horizontal-relative:text;position:absolute;height:27.95pt;mso-wrap-distance-top:0pt;width:106.65pt;mso-wrap-distance-left:5.65pt;margin-left:372.2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游ゴシック" w:hAnsi="游ゴシック" w:eastAsia="游ゴシック"/>
                                <w:b w:val="1"/>
                                <w:sz w:val="28"/>
                              </w:rPr>
                              <w:t>資料５　　</w:t>
                            </w:r>
                          </w:p>
                        </w:txbxContent>
                      </v:textbox>
                      <v:imagedata o:title=""/>
                      <w10:wrap type="none" anchorx="text" anchory="text"/>
                    </v:shape>
                  </w:pict>
                </mc:Fallback>
              </mc:AlternateContent>
            </w:r>
            <w:r>
              <w:rPr>
                <w:rFonts w:hint="eastAsia" w:ascii="游ゴシック" w:hAnsi="游ゴシック" w:eastAsia="游ゴシック"/>
                <w:b w:val="1"/>
                <w:color w:val="000000" w:themeColor="text1"/>
                <w:sz w:val="28"/>
              </w:rPr>
              <w:t>障害のある人もない人</w:t>
            </w:r>
            <w:r>
              <w:rPr>
                <w:rFonts w:hint="eastAsia" w:ascii="游ゴシック" w:hAnsi="游ゴシック" w:eastAsia="游ゴシック"/>
                <w:b w:val="1"/>
                <w:color w:val="000000" w:themeColor="text1"/>
                <w:sz w:val="28"/>
                <w:highlight w:val="none"/>
              </w:rPr>
              <w:t>も共に安心して豊かに暮</w:t>
            </w:r>
            <w:r>
              <w:rPr>
                <w:rFonts w:hint="eastAsia" w:ascii="游ゴシック" w:hAnsi="游ゴシック" w:eastAsia="游ゴシック"/>
                <w:b w:val="1"/>
                <w:color w:val="000000" w:themeColor="text1"/>
                <w:sz w:val="28"/>
              </w:rPr>
              <w:t>らせる高知県づく</w:t>
            </w:r>
            <w:bookmarkStart w:id="0" w:name="_GoBack"/>
            <w:bookmarkEnd w:id="0"/>
            <w:r>
              <w:rPr>
                <w:rFonts w:hint="eastAsia" w:ascii="游ゴシック" w:hAnsi="游ゴシック" w:eastAsia="游ゴシック"/>
                <w:b w:val="1"/>
                <w:color w:val="000000" w:themeColor="text1"/>
                <w:sz w:val="28"/>
              </w:rPr>
              <w:t>り条例（案）</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全ての県民が、障害の有無によって分け隔てられることなく、等しく基本的人権を享有するかけがえのない個人として尊重され、</w:t>
            </w:r>
            <w:r>
              <w:rPr>
                <w:rFonts w:hint="eastAsia" w:ascii="ＭＳ 明朝" w:hAnsi="ＭＳ 明朝" w:eastAsia="ＭＳ 明朝"/>
                <w:b w:val="0"/>
                <w:color w:val="000000" w:themeColor="text1"/>
                <w:sz w:val="22"/>
                <w:highlight w:val="none"/>
                <w:u w:val="none" w:color="auto"/>
              </w:rPr>
              <w:t>相互に人格と個性を尊重しながら</w:t>
            </w:r>
            <w:r>
              <w:rPr>
                <w:rFonts w:hint="eastAsia" w:ascii="ＭＳ 明朝" w:hAnsi="ＭＳ 明朝" w:eastAsia="ＭＳ 明朝"/>
                <w:color w:val="000000" w:themeColor="text1"/>
                <w:sz w:val="22"/>
              </w:rPr>
              <w:t>共生する社会の実現は、私たち高知県民の願いである。</w:t>
            </w:r>
          </w:p>
          <w:p>
            <w:pPr>
              <w:pStyle w:val="0"/>
              <w:widowControl w:val="0"/>
              <w:autoSpaceDE w:val="0"/>
              <w:autoSpaceDN w:val="0"/>
              <w:adjustRightInd w:val="0"/>
              <w:spacing w:line="400" w:lineRule="exact"/>
              <w:ind w:firstLine="220" w:firstLine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しかしながら、今なお、障害のある人が、日常生活や社会生活の様々な場面において、障害を理由とする差別を受けたり、障害のない人を前提として作られた事物、制度、慣行、観念などの社会的障壁によって、暮らしにくさを感じている状況がある。</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r>
              <w:rPr>
                <w:rFonts w:hint="eastAsia" w:ascii="ＭＳ 明朝" w:hAnsi="ＭＳ 明朝" w:eastAsia="ＭＳ 明朝"/>
                <w:b w:val="0"/>
                <w:color w:val="000000" w:themeColor="text1"/>
                <w:sz w:val="22"/>
                <w:highlight w:val="none"/>
                <w:u w:val="none" w:color="auto"/>
              </w:rPr>
              <w:t>県民一人ひとりが、障害のある人の日常生活や社会生活の不便さや困難さに気づき、その解消に努めることは、障害のある人のみならず、誰もが</w:t>
            </w:r>
            <w:r>
              <w:rPr>
                <w:rFonts w:hint="eastAsia" w:ascii="ＭＳ 明朝" w:hAnsi="ＭＳ 明朝" w:eastAsia="ＭＳ 明朝"/>
                <w:color w:val="000000" w:themeColor="text1"/>
                <w:sz w:val="22"/>
              </w:rPr>
              <w:t>安心して暮らせる地域社会づくりにつながっていく。　</w:t>
            </w:r>
          </w:p>
          <w:p>
            <w:pPr>
              <w:pStyle w:val="0"/>
              <w:widowControl w:val="0"/>
              <w:autoSpaceDE w:val="0"/>
              <w:autoSpaceDN w:val="0"/>
              <w:adjustRightInd w:val="0"/>
              <w:spacing w:line="400" w:lineRule="exact"/>
              <w:ind w:firstLine="226" w:firstLine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color w:val="000000" w:themeColor="text1"/>
                <w:sz w:val="22"/>
              </w:rPr>
              <w:t>このような認識の下に、全ての県民が障害を理由とする差別の解消を</w:t>
            </w:r>
            <w:r>
              <w:rPr>
                <w:rFonts w:hint="eastAsia" w:ascii="ＭＳ 明朝" w:hAnsi="ＭＳ 明朝" w:eastAsia="ＭＳ 明朝"/>
                <w:b w:val="0"/>
                <w:color w:val="000000" w:themeColor="text1"/>
                <w:sz w:val="22"/>
                <w:highlight w:val="none"/>
                <w:u w:val="none" w:color="auto"/>
              </w:rPr>
              <w:t>共に解決すべき社会全体の課題であると捉え、障害や障害のある人に対する理解を深めるとともに、差別を解消し、社会的障壁を取り除くための取組を一層進めていく必要がある。</w:t>
            </w:r>
          </w:p>
          <w:p>
            <w:pPr>
              <w:pStyle w:val="0"/>
              <w:widowControl w:val="0"/>
              <w:autoSpaceDE w:val="0"/>
              <w:autoSpaceDN w:val="0"/>
              <w:adjustRightInd w:val="0"/>
              <w:spacing w:line="400" w:lineRule="exact"/>
              <w:ind w:firstLine="220" w:firstLineChars="100"/>
              <w:textAlignment w:val="baseline"/>
              <w:rPr>
                <w:rFonts w:hint="eastAsia" w:ascii="ＭＳ 明朝" w:hAnsi="ＭＳ 明朝" w:eastAsia="ＭＳ 明朝"/>
                <w:color w:val="000000" w:themeColor="text1"/>
                <w:sz w:val="22"/>
              </w:rPr>
            </w:pPr>
            <w:r>
              <w:rPr>
                <w:rFonts w:hint="eastAsia" w:ascii="ＭＳ 明朝" w:hAnsi="ＭＳ 明朝" w:eastAsia="ＭＳ 明朝"/>
                <w:b w:val="0"/>
                <w:color w:val="000000" w:themeColor="text1"/>
                <w:sz w:val="22"/>
                <w:highlight w:val="none"/>
                <w:u w:val="none" w:color="auto"/>
              </w:rPr>
              <w:t>ここに、障害者の権利に関する条約、障害者基本法及び障害を理由とする差別の解消の推進に関する法律の趣旨を踏まえ、障害を理由とする差別の解消により、障害の有無によって分け隔てられることなく、等しく基本的人権を享有するかけがえのない個人として尊重され、全ての県民が安心して豊かに暮らせる共生社会の実現に向けて</w:t>
            </w:r>
            <w:r>
              <w:rPr>
                <w:rFonts w:hint="eastAsia" w:ascii="ＭＳ 明朝" w:hAnsi="ＭＳ 明朝" w:eastAsia="ＭＳ 明朝"/>
                <w:color w:val="000000" w:themeColor="text1"/>
                <w:sz w:val="22"/>
              </w:rPr>
              <w:t>、県、市町村、事業者及び県民その他の関係機関が一体となって取り組むことを決意し、この条例を制定する。</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第１章　総則</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（目　的）</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第１条</w:t>
            </w:r>
            <w:r>
              <w:rPr>
                <w:rFonts w:hint="eastAsia" w:ascii="ＭＳ 明朝" w:hAnsi="ＭＳ 明朝" w:eastAsia="ＭＳ 明朝"/>
                <w:color w:val="000000" w:themeColor="text1"/>
                <w:sz w:val="22"/>
              </w:rPr>
              <w:t>　この条例は、障害を理由とする差別の解消の推進についての基本理念を定め、県の責務、事業者及び県民の役割等を明らかにするとともに、障害や障害のある人への理解の醸成その他障害を理由とする差別の解消の推進に関し県が実施する施策の基本となる事項を定めることにより、障害を理由とする差別の解消を図り、全ての県民が</w:t>
            </w:r>
            <w:r>
              <w:rPr>
                <w:rFonts w:hint="eastAsia" w:ascii="ＭＳ 明朝" w:hAnsi="ＭＳ 明朝" w:eastAsia="ＭＳ 明朝"/>
                <w:b w:val="0"/>
                <w:color w:val="000000" w:themeColor="text1"/>
                <w:sz w:val="22"/>
                <w:highlight w:val="none"/>
                <w:u w:val="none" w:color="auto"/>
              </w:rPr>
              <w:t>相互に人格と個性を尊重し、障害の有無にかかわらず安心して豊かに暮らせる共生社会</w:t>
            </w:r>
            <w:r>
              <w:rPr>
                <w:rFonts w:hint="eastAsia" w:ascii="ＭＳ 明朝" w:hAnsi="ＭＳ 明朝" w:eastAsia="ＭＳ 明朝"/>
                <w:color w:val="000000" w:themeColor="text1"/>
                <w:sz w:val="22"/>
              </w:rPr>
              <w:t>（以下「共生社会」という。）を実現することを目的とする。</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（定　義）</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第２条</w:t>
            </w:r>
            <w:r>
              <w:rPr>
                <w:rFonts w:hint="eastAsia" w:ascii="ＭＳ 明朝" w:hAnsi="ＭＳ 明朝" w:eastAsia="ＭＳ 明朝"/>
                <w:color w:val="000000" w:themeColor="text1"/>
                <w:sz w:val="22"/>
              </w:rPr>
              <w:t>　　この条例の用語の意義は、障害を理由とする差別の解消の推進に関する法律（平成</w:t>
            </w:r>
            <w:r>
              <w:rPr>
                <w:rFonts w:hint="eastAsia" w:ascii="ＭＳ 明朝" w:hAnsi="ＭＳ 明朝" w:eastAsia="ＭＳ 明朝"/>
                <w:color w:val="000000" w:themeColor="text1"/>
                <w:sz w:val="22"/>
              </w:rPr>
              <w:t>25</w:t>
            </w:r>
            <w:r>
              <w:rPr>
                <w:rFonts w:hint="eastAsia" w:ascii="ＭＳ 明朝" w:hAnsi="ＭＳ 明朝" w:eastAsia="ＭＳ 明朝"/>
                <w:color w:val="000000" w:themeColor="text1"/>
                <w:sz w:val="22"/>
              </w:rPr>
              <w:t>年法律第</w:t>
            </w:r>
            <w:r>
              <w:rPr>
                <w:rFonts w:hint="eastAsia" w:ascii="ＭＳ 明朝" w:hAnsi="ＭＳ 明朝" w:eastAsia="ＭＳ 明朝"/>
                <w:color w:val="000000" w:themeColor="text1"/>
                <w:sz w:val="22"/>
              </w:rPr>
              <w:t>65</w:t>
            </w:r>
            <w:r>
              <w:rPr>
                <w:rFonts w:hint="eastAsia" w:ascii="ＭＳ 明朝" w:hAnsi="ＭＳ 明朝" w:eastAsia="ＭＳ 明朝"/>
                <w:color w:val="000000" w:themeColor="text1"/>
                <w:sz w:val="22"/>
              </w:rPr>
              <w:t>号。以下「法」という。）の定めるところによる。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前項に定めるもののほか、次の各号に掲げる用語の意義は、当該各号に定めるところによる。</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１</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障害を理由とする差別　障害のある人に対し、障害を理由として、不当な差別的取扱いをすること又は社会的障壁の除去の実施について、合理的な配慮をしないことをいう。</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２</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不当な差別的取扱い　障害のある人に対し、正当な理由なく、障害又は障害に係る事由を理由として、財、サービス若しくは機会の提供を拒否し、若しくは制限し、又は当該提供に当たって条件を付すことにより、障害のある人の権利利益を侵害することをいう。</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color w:val="000000" w:themeColor="text1"/>
                <w:sz w:val="22"/>
                <w:highlight w:val="yellow"/>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３</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合理的な配慮　障害のある人（障害のある人がその意思の表明を行うことが困難である場合にあってはその家族等）から現に社会的障壁の除去を必要としている旨の意思の表明があった場合であって、その実施に伴う負担が過重でないときに、障害のある人の権利利益を侵害することとならないよう、その年齢、性別及び障害の状態に応じて行われる、社会的障壁の除去の実施に必要かつ適当な現状の変更又は調整のことをいう。</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（基本理念）</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第３条</w:t>
            </w:r>
            <w:r>
              <w:rPr>
                <w:rFonts w:hint="eastAsia" w:ascii="ＭＳ 明朝" w:hAnsi="ＭＳ 明朝" w:eastAsia="ＭＳ 明朝"/>
                <w:color w:val="000000" w:themeColor="text1"/>
                <w:sz w:val="22"/>
              </w:rPr>
              <w:t>　第１条に規定する障害を理由とする差別の解消及び共生社会の</w:t>
            </w:r>
            <w:r>
              <w:rPr>
                <w:rFonts w:hint="eastAsia" w:ascii="ＭＳ 明朝" w:hAnsi="ＭＳ 明朝" w:eastAsia="ＭＳ 明朝"/>
                <w:b w:val="0"/>
                <w:color w:val="000000" w:themeColor="text1"/>
                <w:sz w:val="22"/>
                <w:highlight w:val="none"/>
                <w:u w:val="none" w:color="auto"/>
              </w:rPr>
              <w:t>実現のための施策は、障害の有無にかかわらず、全ての県民が</w:t>
            </w:r>
            <w:r>
              <w:rPr>
                <w:rFonts w:hint="eastAsia" w:ascii="ＭＳ 明朝" w:hAnsi="ＭＳ 明朝" w:eastAsia="ＭＳ 明朝"/>
                <w:color w:val="000000" w:themeColor="text1"/>
                <w:sz w:val="22"/>
              </w:rPr>
              <w:t>等しく基本的人権を享有するかけがえのない個人として尊重されることを前提としつつ、次に掲げる事項を基本理念として、県、市町村、事業者及び県民が一体となって行わなければならない。</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　全ての障害のある人は、社会を構成する一員として、生涯にわたって、社会、経済、文化その他あらゆる分野の活動に参加する機会が確保されること。</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２</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　全ての障害のある人が、どこで誰と生活するかについての選択の機会が保障され、地域社会において他の人々と共生することを妨げられないこと。</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３</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全ての障害のある人は、可能な限り、言語（</w:t>
            </w:r>
            <w:r>
              <w:rPr>
                <w:rFonts w:hint="eastAsia" w:ascii="ＭＳ 明朝" w:hAnsi="ＭＳ 明朝" w:eastAsia="ＭＳ 明朝"/>
                <w:b w:val="0"/>
                <w:color w:val="000000" w:themeColor="text1"/>
                <w:sz w:val="22"/>
                <w:highlight w:val="none"/>
                <w:u w:val="none" w:color="auto"/>
              </w:rPr>
              <w:t>手話を含む）や、要約筆記、点字、拡大文字、読み上げ、分かりやすい表現その他障害特性に応じた</w:t>
            </w:r>
            <w:r>
              <w:rPr>
                <w:rFonts w:hint="eastAsia" w:ascii="ＭＳ 明朝" w:hAnsi="ＭＳ 明朝" w:eastAsia="ＭＳ 明朝"/>
                <w:color w:val="000000" w:themeColor="text1"/>
                <w:sz w:val="22"/>
              </w:rPr>
              <w:t>意思疎通のための手段について選択の機会が確保されるとともに、情報の取得及び利用のための手段について選択の機会の拡大が図られること。</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４</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障害を理由とする差別及び社会的障壁に係る問題は、全ての県民の問題として認識され、障害及び障害のある人についての理解が深められること。</w:t>
            </w:r>
          </w:p>
          <w:p>
            <w:pPr>
              <w:pStyle w:val="0"/>
              <w:widowControl w:val="0"/>
              <w:autoSpaceDE w:val="0"/>
              <w:autoSpaceDN w:val="0"/>
              <w:adjustRightInd w:val="0"/>
              <w:spacing w:line="400" w:lineRule="exact"/>
              <w:ind w:left="452" w:leftChars="100" w:hanging="226" w:hangingChars="100"/>
              <w:textAlignment w:val="baseline"/>
              <w:rPr>
                <w:rFonts w:hint="eastAsia" w:ascii="游ゴシック" w:hAnsi="游ゴシック" w:eastAsia="游ゴシック"/>
                <w:b w:val="1"/>
                <w:color w:val="000000" w:themeColor="text1"/>
                <w:sz w:val="22"/>
                <w:u w:val="single" w:color="auto"/>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５</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全ての障害のある人は、その年齢、性別等による複合的な原因により特に困難な状況に置かれる場合においては、その状況に応じた適切な配慮がなされること。</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（県の責務）</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第４条</w:t>
            </w:r>
            <w:r>
              <w:rPr>
                <w:rFonts w:hint="eastAsia" w:ascii="ＭＳ 明朝" w:hAnsi="ＭＳ 明朝" w:eastAsia="ＭＳ 明朝"/>
                <w:color w:val="000000" w:themeColor="text1"/>
                <w:sz w:val="22"/>
              </w:rPr>
              <w:t>　県は、前条に規定する基本理念（第６条において「基本理念」という。）にのっとり、障害を理由とする差別の解消の推進及び共生社会の実現に向けた施策を策定し、実施する責務を有する。</w:t>
            </w:r>
          </w:p>
          <w:p>
            <w:pPr>
              <w:pStyle w:val="0"/>
              <w:widowControl w:val="0"/>
              <w:autoSpaceDE w:val="0"/>
              <w:autoSpaceDN w:val="0"/>
              <w:adjustRightInd w:val="0"/>
              <w:spacing w:line="400" w:lineRule="exact"/>
              <w:ind w:firstLine="226" w:firstLine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w:t>
            </w:r>
            <w:r>
              <w:rPr>
                <w:rFonts w:hint="eastAsia" w:ascii="游ゴシック" w:hAnsi="游ゴシック" w:eastAsia="游ゴシック"/>
                <w:b w:val="1"/>
                <w:color w:val="000000" w:themeColor="text1"/>
                <w:sz w:val="22"/>
                <w:highlight w:val="none"/>
              </w:rPr>
              <w:t>国、</w:t>
            </w:r>
            <w:r>
              <w:rPr>
                <w:rFonts w:hint="eastAsia" w:ascii="游ゴシック" w:hAnsi="游ゴシック" w:eastAsia="游ゴシック"/>
                <w:b w:val="1"/>
                <w:color w:val="000000" w:themeColor="text1"/>
                <w:sz w:val="22"/>
              </w:rPr>
              <w:t>市町村等との連携等）</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第５条</w:t>
            </w:r>
            <w:r>
              <w:rPr>
                <w:rFonts w:hint="eastAsia" w:ascii="ＭＳ 明朝" w:hAnsi="ＭＳ 明朝" w:eastAsia="ＭＳ 明朝"/>
                <w:color w:val="000000" w:themeColor="text1"/>
                <w:sz w:val="22"/>
              </w:rPr>
              <w:t>　県は、障害を理由とする差別の解消の推進及び共生社会の実現に向けた施策の実施に当たっては、国、市町村、県民及び事業者と連携を図るものとする。</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　２</w:t>
            </w:r>
            <w:r>
              <w:rPr>
                <w:rFonts w:hint="eastAsia" w:ascii="ＭＳ 明朝" w:hAnsi="ＭＳ 明朝" w:eastAsia="ＭＳ 明朝"/>
                <w:color w:val="000000" w:themeColor="text1"/>
                <w:sz w:val="22"/>
              </w:rPr>
              <w:t>　県は、市町村が障害を理由とする差別の解消の推進及び共生社会の実現に向けた施策を実施しようとするときは、必要な情報の提供、助言その他の支援を行うものとする。</w:t>
            </w:r>
          </w:p>
          <w:p>
            <w:pPr>
              <w:pStyle w:val="0"/>
              <w:widowControl w:val="0"/>
              <w:autoSpaceDE w:val="0"/>
              <w:autoSpaceDN w:val="0"/>
              <w:adjustRightInd w:val="0"/>
              <w:spacing w:line="400" w:lineRule="exact"/>
              <w:ind w:left="226" w:leftChars="100" w:firstLine="0" w:firstLineChars="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（県民の役割）</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第６条</w:t>
            </w:r>
            <w:r>
              <w:rPr>
                <w:rFonts w:hint="eastAsia" w:ascii="ＭＳ 明朝" w:hAnsi="ＭＳ 明朝" w:eastAsia="ＭＳ 明朝"/>
                <w:color w:val="000000" w:themeColor="text1"/>
                <w:sz w:val="22"/>
              </w:rPr>
              <w:t>　県民は、基本理念にのっとり、障害及び障害のある人に</w:t>
            </w:r>
            <w:r>
              <w:rPr>
                <w:rFonts w:hint="eastAsia" w:ascii="ＭＳ 明朝" w:hAnsi="ＭＳ 明朝" w:eastAsia="ＭＳ 明朝"/>
                <w:b w:val="0"/>
                <w:color w:val="000000" w:themeColor="text1"/>
                <w:sz w:val="22"/>
                <w:highlight w:val="none"/>
                <w:u w:val="none" w:color="auto"/>
              </w:rPr>
              <w:t>対する</w:t>
            </w:r>
            <w:r>
              <w:rPr>
                <w:rFonts w:hint="eastAsia" w:ascii="ＭＳ 明朝" w:hAnsi="ＭＳ 明朝" w:eastAsia="ＭＳ 明朝"/>
                <w:color w:val="000000" w:themeColor="text1"/>
                <w:sz w:val="22"/>
              </w:rPr>
              <w:t>理解を深めるとともに、県又は市町村が実施する障害を理由とする差別の解消の推進及び共生社会の実現に向けた施策に協力するものとする。</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（事業者の役割）</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第７条</w:t>
            </w:r>
            <w:r>
              <w:rPr>
                <w:rFonts w:hint="eastAsia" w:ascii="ＭＳ 明朝" w:hAnsi="ＭＳ 明朝" w:eastAsia="ＭＳ 明朝"/>
                <w:color w:val="000000" w:themeColor="text1"/>
                <w:sz w:val="22"/>
              </w:rPr>
              <w:t>　事業者は</w:t>
            </w:r>
            <w:r>
              <w:rPr>
                <w:rFonts w:hint="eastAsia" w:ascii="ＭＳ 明朝" w:hAnsi="ＭＳ 明朝" w:eastAsia="ＭＳ 明朝"/>
                <w:b w:val="0"/>
                <w:color w:val="000000" w:themeColor="text1"/>
                <w:sz w:val="22"/>
                <w:highlight w:val="none"/>
                <w:u w:val="none" w:color="auto"/>
              </w:rPr>
              <w:t>、基本理念にのっとり、</w:t>
            </w:r>
            <w:r>
              <w:rPr>
                <w:rFonts w:hint="eastAsia" w:ascii="ＭＳ 明朝" w:hAnsi="ＭＳ 明朝" w:eastAsia="ＭＳ 明朝"/>
                <w:color w:val="000000" w:themeColor="text1"/>
                <w:sz w:val="22"/>
              </w:rPr>
              <w:t>県又は市町村が実施する障害を理由とする差別の解消の推進及び共生社会の実現に向けた施策に協力する</w:t>
            </w:r>
            <w:r>
              <w:rPr>
                <w:rFonts w:hint="eastAsia" w:ascii="ＭＳ 明朝" w:hAnsi="ＭＳ 明朝" w:eastAsia="ＭＳ 明朝"/>
                <w:b w:val="0"/>
                <w:color w:val="000000" w:themeColor="text1"/>
                <w:sz w:val="22"/>
                <w:highlight w:val="none"/>
              </w:rPr>
              <w:t>ものと</w:t>
            </w:r>
            <w:r>
              <w:rPr>
                <w:rFonts w:hint="eastAsia" w:ascii="ＭＳ 明朝" w:hAnsi="ＭＳ 明朝" w:eastAsia="ＭＳ 明朝"/>
                <w:color w:val="000000" w:themeColor="text1"/>
                <w:sz w:val="22"/>
              </w:rPr>
              <w:t>する。</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事業者は、その事業を行うに当たっては、基本理念にのっとり、障害を理由とする差別の解消の推進に関し、障害及び障害のある人に対する理解を深めるための研修その他の取組を</w:t>
            </w:r>
            <w:r>
              <w:rPr>
                <w:rFonts w:hint="eastAsia" w:ascii="ＭＳ 明朝" w:hAnsi="ＭＳ 明朝" w:eastAsia="ＭＳ 明朝"/>
                <w:color w:val="000000" w:themeColor="text1"/>
                <w:sz w:val="22"/>
                <w:highlight w:val="none"/>
              </w:rPr>
              <w:t>行うよう努めるものとする</w:t>
            </w:r>
            <w:r>
              <w:rPr>
                <w:rFonts w:hint="eastAsia" w:ascii="ＭＳ 明朝" w:hAnsi="ＭＳ 明朝" w:eastAsia="ＭＳ 明朝"/>
                <w:color w:val="000000" w:themeColor="text1"/>
                <w:sz w:val="22"/>
              </w:rPr>
              <w:t>。</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（財政上の措置）</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第８条</w:t>
            </w:r>
            <w:r>
              <w:rPr>
                <w:rFonts w:hint="eastAsia" w:ascii="ＭＳ 明朝" w:hAnsi="ＭＳ 明朝" w:eastAsia="ＭＳ 明朝"/>
                <w:color w:val="000000" w:themeColor="text1"/>
                <w:sz w:val="22"/>
              </w:rPr>
              <w:t>　県は、障害を理由とする差別の解消の推進及び共生社会の実現に向けた施策を実施するため、必要な財政上の措置を講ずるものとする。</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第２章　障害を理由とする差別の禁止</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（不当な差別的取扱いの禁止）</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第９条</w:t>
            </w:r>
            <w:r>
              <w:rPr>
                <w:rFonts w:hint="eastAsia" w:ascii="ＭＳ 明朝" w:hAnsi="ＭＳ 明朝" w:eastAsia="ＭＳ 明朝"/>
                <w:color w:val="000000" w:themeColor="text1"/>
                <w:sz w:val="22"/>
              </w:rPr>
              <w:t>　何人も、障害のある人に対して、不当な差別的取扱いを</w:t>
            </w:r>
            <w:r>
              <w:rPr>
                <w:rFonts w:hint="eastAsia" w:ascii="ＭＳ 明朝" w:hAnsi="ＭＳ 明朝" w:eastAsia="ＭＳ 明朝"/>
                <w:b w:val="0"/>
                <w:color w:val="000000" w:themeColor="text1"/>
                <w:sz w:val="22"/>
                <w:highlight w:val="none"/>
                <w:u w:val="none" w:color="auto"/>
              </w:rPr>
              <w:t>してはならない</w:t>
            </w:r>
            <w:r>
              <w:rPr>
                <w:rFonts w:hint="eastAsia" w:ascii="ＭＳ 明朝" w:hAnsi="ＭＳ 明朝" w:eastAsia="ＭＳ 明朝"/>
                <w:color w:val="000000" w:themeColor="text1"/>
                <w:sz w:val="22"/>
              </w:rPr>
              <w:t>。</w:t>
            </w:r>
          </w:p>
          <w:p>
            <w:pPr>
              <w:pStyle w:val="0"/>
              <w:widowControl w:val="0"/>
              <w:autoSpaceDE w:val="0"/>
              <w:autoSpaceDN w:val="0"/>
              <w:adjustRightInd w:val="0"/>
              <w:spacing w:line="400" w:lineRule="exact"/>
              <w:ind w:left="226" w:leftChars="100" w:firstLine="0" w:firstLineChars="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（合理的な配慮の提供）</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10</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行政機関等及び事業者は、事務又は事業を行うに当たり、</w:t>
            </w:r>
            <w:r>
              <w:rPr>
                <w:rFonts w:hint="eastAsia" w:ascii="ＭＳ 明朝" w:hAnsi="ＭＳ 明朝" w:eastAsia="ＭＳ 明朝"/>
                <w:b w:val="0"/>
                <w:color w:val="000000" w:themeColor="text1"/>
                <w:sz w:val="22"/>
                <w:highlight w:val="none"/>
                <w:u w:val="none" w:color="auto"/>
              </w:rPr>
              <w:t>障害のある人に対して、社会的障壁の除去の実施について合理的な配慮をしなければならない。</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行政機関等及び事業者は、意思の表明があった場合において、社会的障壁の除去の実施に伴う負担が過重であるため合理的</w:t>
            </w:r>
            <w:r>
              <w:rPr>
                <w:rFonts w:hint="eastAsia" w:ascii="ＭＳ 明朝" w:hAnsi="ＭＳ 明朝" w:eastAsia="ＭＳ 明朝"/>
                <w:b w:val="0"/>
                <w:color w:val="000000" w:themeColor="text1"/>
                <w:sz w:val="22"/>
                <w:highlight w:val="none"/>
                <w:u w:val="none" w:color="auto"/>
              </w:rPr>
              <w:t>な配慮をすることができないときは、当該障害のある人に対し、その理由を説明するものとし、理解を得るよう努めなければならない。</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（不当な差別的取扱い等の事例の分析及び公表）</w:t>
            </w:r>
          </w:p>
          <w:p>
            <w:pPr>
              <w:pStyle w:val="0"/>
              <w:widowControl w:val="0"/>
              <w:autoSpaceDE w:val="0"/>
              <w:autoSpaceDN w:val="0"/>
              <w:adjustRightInd w:val="0"/>
              <w:spacing w:line="400" w:lineRule="exact"/>
              <w:ind w:left="226" w:hanging="226"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11</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県は、不当な差別的取扱いの防止及び合理的な配慮の提供に資するため、県が収集した不当な差別的取扱い及び合理的な配慮の提供に係る事例を分析し、その結果を公表するものとする。</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第３章　障害を理由とする差別を解消するための体制</w:t>
            </w: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第１節　相談体制</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（相談）</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12</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何人も、県に対し、障害を理由とする差別に関する相談（以下「相談」という。）</w:t>
            </w:r>
          </w:p>
          <w:p>
            <w:pPr>
              <w:pStyle w:val="0"/>
              <w:widowControl w:val="0"/>
              <w:autoSpaceDE w:val="0"/>
              <w:autoSpaceDN w:val="0"/>
              <w:adjustRightInd w:val="0"/>
              <w:spacing w:line="400" w:lineRule="exact"/>
              <w:ind w:firstLine="220" w:firstLine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をすることができる。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県は、相談の申し出があったときは、次に掲げる対応をするものとする。</w:t>
            </w:r>
          </w:p>
          <w:p>
            <w:pPr>
              <w:pStyle w:val="0"/>
              <w:widowControl w:val="0"/>
              <w:autoSpaceDE w:val="0"/>
              <w:autoSpaceDN w:val="0"/>
              <w:adjustRightInd w:val="0"/>
              <w:spacing w:line="400" w:lineRule="exact"/>
              <w:ind w:left="0" w:leftChars="0" w:firstLine="226" w:firstLine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相談に応じ、必要な助言又は情報提供を行うこと。</w:t>
            </w:r>
            <w:r>
              <w:rPr>
                <w:rFonts w:hint="eastAsia" w:ascii="ＭＳ 明朝" w:hAnsi="ＭＳ 明朝" w:eastAsia="ＭＳ 明朝"/>
                <w:color w:val="000000" w:themeColor="text1"/>
                <w:sz w:val="22"/>
              </w:rPr>
              <w:t xml:space="preserve"> </w:t>
            </w:r>
          </w:p>
          <w:p>
            <w:pPr>
              <w:pStyle w:val="0"/>
              <w:widowControl w:val="0"/>
              <w:autoSpaceDE w:val="0"/>
              <w:autoSpaceDN w:val="0"/>
              <w:adjustRightInd w:val="0"/>
              <w:spacing w:line="400" w:lineRule="exact"/>
              <w:ind w:firstLine="220" w:firstLine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２</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相談に係る当事者間の必要な調整を行うこと。</w:t>
            </w:r>
          </w:p>
          <w:p>
            <w:pPr>
              <w:pStyle w:val="0"/>
              <w:widowControl w:val="0"/>
              <w:autoSpaceDE w:val="0"/>
              <w:autoSpaceDN w:val="0"/>
              <w:adjustRightInd w:val="0"/>
              <w:spacing w:line="400" w:lineRule="exact"/>
              <w:ind w:left="226" w:leftChars="100" w:firstLine="0" w:firstLineChars="0"/>
              <w:textAlignment w:val="baseline"/>
              <w:rPr>
                <w:rFonts w:hint="eastAsia" w:ascii="游ゴシック" w:hAnsi="游ゴシック" w:eastAsia="游ゴシック"/>
                <w:b w:val="1"/>
                <w:color w:val="000000" w:themeColor="text1"/>
                <w:sz w:val="22"/>
                <w:highlight w:val="yellow"/>
              </w:rPr>
            </w:pPr>
            <w:r>
              <w:rPr>
                <w:rFonts w:hint="eastAsia" w:ascii="游ゴシック" w:hAnsi="游ゴシック" w:eastAsia="游ゴシック"/>
                <w:b w:val="1"/>
                <w:color w:val="000000" w:themeColor="text1"/>
                <w:sz w:val="22"/>
                <w:highlight w:val="none"/>
              </w:rPr>
              <w:t>３　</w:t>
            </w:r>
            <w:r>
              <w:rPr>
                <w:rFonts w:hint="eastAsia" w:ascii="ＭＳ 明朝" w:hAnsi="ＭＳ 明朝" w:eastAsia="ＭＳ 明朝"/>
                <w:b w:val="0"/>
                <w:color w:val="000000" w:themeColor="text1"/>
                <w:sz w:val="22"/>
                <w:highlight w:val="none"/>
              </w:rPr>
              <w:t>県は、各市町村及び関係機関等が応じる相談に対して、情報の提供その他必要な援助を行うこと。</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（相談員）</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13</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知事は、前条第２項に規定する相談への対応並びに障害及び障害のある人に対する県民及び事業者の理解を深めるための業務を行わせるため、相談員を置くことができる。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相談員は、障害を理由とする差別の解消に関する識見を有する者のうちから知事が任命する。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３</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相談員は、職務上知り得た秘密を漏らしてはならない。その職を退いた後においても同様とする。　</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第２節　紛争解決を図るための体制</w:t>
            </w:r>
          </w:p>
          <w:p>
            <w:pPr>
              <w:pStyle w:val="0"/>
              <w:widowControl w:val="0"/>
              <w:autoSpaceDE w:val="0"/>
              <w:autoSpaceDN w:val="0"/>
              <w:adjustRightInd w:val="0"/>
              <w:spacing w:line="400" w:lineRule="exact"/>
              <w:ind w:firstLine="220" w:firstLine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（あっせん）</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14</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障害のある人又はその家族その他の関係者は、第９条及び第</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条第１項の規定に違反する取扱い（</w:t>
            </w:r>
            <w:r>
              <w:rPr>
                <w:rFonts w:hint="eastAsia" w:ascii="ＭＳ 明朝" w:hAnsi="ＭＳ 明朝" w:eastAsia="ＭＳ 明朝"/>
                <w:b w:val="0"/>
                <w:color w:val="000000" w:themeColor="text1"/>
                <w:sz w:val="22"/>
                <w:highlight w:val="none"/>
                <w:u w:val="none" w:color="auto"/>
              </w:rPr>
              <w:t>次条第２項において「あっせん申立てに係る取扱い」という。</w:t>
            </w:r>
            <w:r>
              <w:rPr>
                <w:rFonts w:hint="eastAsia" w:ascii="ＭＳ 明朝" w:hAnsi="ＭＳ 明朝" w:eastAsia="ＭＳ 明朝"/>
                <w:color w:val="000000" w:themeColor="text1"/>
                <w:sz w:val="22"/>
              </w:rPr>
              <w:t>）を受けたと認める場合において、第</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条第１項</w:t>
            </w:r>
            <w:r>
              <w:rPr>
                <w:rFonts w:hint="eastAsia" w:ascii="ＭＳ 明朝" w:hAnsi="ＭＳ 明朝" w:eastAsia="ＭＳ 明朝"/>
                <w:b w:val="0"/>
                <w:color w:val="000000" w:themeColor="text1"/>
                <w:sz w:val="22"/>
                <w:highlight w:val="none"/>
                <w:u w:val="none" w:color="auto"/>
              </w:rPr>
              <w:t>の規定</w:t>
            </w:r>
            <w:r>
              <w:rPr>
                <w:rFonts w:hint="eastAsia" w:ascii="ＭＳ 明朝" w:hAnsi="ＭＳ 明朝" w:eastAsia="ＭＳ 明朝"/>
                <w:color w:val="000000" w:themeColor="text1"/>
                <w:sz w:val="22"/>
              </w:rPr>
              <w:t>に基づく相談を行い、同条第２項に規定する県の対応によってもその解決が見込めないときは、当該相談内容の解決を図るため、知事に対し、あっせんの申立てをすることができる。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前項の規定にかかわらず、次の各号のいずれかに該当する場合は、あっせんの申立てをすることができない。</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行政庁の処分又は職員の職務の執行に関する場合であって、他の法令等に基づく不服申立て又は苦情申立て等をすることができるとき。</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２</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障害者の雇用の促進等に関する法律（昭和</w:t>
            </w:r>
            <w:r>
              <w:rPr>
                <w:rFonts w:hint="eastAsia" w:ascii="ＭＳ 明朝" w:hAnsi="ＭＳ 明朝" w:eastAsia="ＭＳ 明朝"/>
                <w:color w:val="000000" w:themeColor="text1"/>
                <w:sz w:val="22"/>
              </w:rPr>
              <w:t>35</w:t>
            </w:r>
            <w:r>
              <w:rPr>
                <w:rFonts w:hint="eastAsia" w:ascii="ＭＳ 明朝" w:hAnsi="ＭＳ 明朝" w:eastAsia="ＭＳ 明朝"/>
                <w:color w:val="000000" w:themeColor="text1"/>
                <w:sz w:val="22"/>
              </w:rPr>
              <w:t>年法律第</w:t>
            </w:r>
            <w:r>
              <w:rPr>
                <w:rFonts w:hint="eastAsia" w:ascii="ＭＳ 明朝" w:hAnsi="ＭＳ 明朝" w:eastAsia="ＭＳ 明朝"/>
                <w:color w:val="000000" w:themeColor="text1"/>
                <w:sz w:val="22"/>
              </w:rPr>
              <w:t>123</w:t>
            </w:r>
            <w:r>
              <w:rPr>
                <w:rFonts w:hint="eastAsia" w:ascii="ＭＳ 明朝" w:hAnsi="ＭＳ 明朝" w:eastAsia="ＭＳ 明朝"/>
                <w:color w:val="000000" w:themeColor="text1"/>
                <w:sz w:val="22"/>
              </w:rPr>
              <w:t>号）に規定する障害のある人に対する差別の禁止に該当するとき。</w:t>
            </w:r>
          </w:p>
          <w:p>
            <w:pPr>
              <w:pStyle w:val="0"/>
              <w:widowControl w:val="0"/>
              <w:autoSpaceDE w:val="0"/>
              <w:autoSpaceDN w:val="0"/>
              <w:adjustRightInd w:val="0"/>
              <w:spacing w:line="400" w:lineRule="exact"/>
              <w:ind w:firstLine="220" w:firstLine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３</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同一の事案について、過去に前項の規定に基づく申立てをしたことがあるとき。</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４</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障害のある人の家族その他の関係者が</w:t>
            </w:r>
            <w:r>
              <w:rPr>
                <w:rFonts w:hint="eastAsia" w:ascii="ＭＳ 明朝" w:hAnsi="ＭＳ 明朝" w:eastAsia="ＭＳ 明朝"/>
                <w:b w:val="0"/>
                <w:color w:val="000000" w:themeColor="text1"/>
                <w:sz w:val="22"/>
                <w:highlight w:val="none"/>
                <w:u w:val="none" w:color="auto"/>
              </w:rPr>
              <w:t>あっせんの申立てをする場合において、当該あっせんの申立てをすることが当該障害のある人の意に反すると知事が認めるとき。</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15</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知事は、前条第１項の規定に基づくあっせんの申立てがあったときは、当該申立てに係る事案（以下「事案」という。）について必要な調査を行うものとする。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事案の当事者（前条第１項の規定</w:t>
            </w:r>
            <w:r>
              <w:rPr>
                <w:rFonts w:hint="eastAsia" w:ascii="ＭＳ 明朝" w:hAnsi="ＭＳ 明朝" w:eastAsia="ＭＳ 明朝"/>
                <w:b w:val="0"/>
                <w:color w:val="000000" w:themeColor="text1"/>
                <w:sz w:val="22"/>
                <w:highlight w:val="none"/>
                <w:u w:val="none" w:color="auto"/>
              </w:rPr>
              <w:t>に基づきあっせんの申立てをした者（当該申立てを行った者が障害のある人の家族その他の関係者である場合は、あっせん申立てに係る取扱いを受けたとされる障害のある人を含む。）及びあっせん申立てに係る取扱い</w:t>
            </w:r>
            <w:r>
              <w:rPr>
                <w:rFonts w:hint="eastAsia" w:ascii="ＭＳ 明朝" w:hAnsi="ＭＳ 明朝" w:eastAsia="ＭＳ 明朝"/>
                <w:color w:val="000000" w:themeColor="text1"/>
                <w:sz w:val="22"/>
              </w:rPr>
              <w:t>を行ったとされた行政機関又は事業者をいう。以下同じ。）及びその他関係者は、正当な理由がある場合を除き、前項の調査に協力しなければならない。</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16</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知事は、前条第１項の調査の結果に基づき、事案の解決のために必要があると認めるときは、次の各号に該当する場合を除き、</w:t>
            </w:r>
            <w:r>
              <w:rPr>
                <w:rFonts w:hint="eastAsia" w:ascii="ＭＳ 明朝" w:hAnsi="ＭＳ 明朝" w:eastAsia="ＭＳ 明朝"/>
                <w:color w:val="000000" w:themeColor="text1"/>
                <w:sz w:val="22"/>
                <w:u w:val="single" w:color="auto"/>
              </w:rPr>
              <w:t>第１９条に規定する</w:t>
            </w:r>
            <w:r>
              <w:rPr>
                <w:rFonts w:hint="eastAsia" w:ascii="ＭＳ 明朝" w:hAnsi="ＭＳ 明朝" w:eastAsia="ＭＳ 明朝"/>
                <w:color w:val="000000" w:themeColor="text1"/>
                <w:sz w:val="22"/>
              </w:rPr>
              <w:t>障害を理由とする差別の解消のための調整委員会（以下「調整委員会」という。）にあっせんを付託するものとする。</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事案について、第</w:t>
            </w:r>
            <w:r>
              <w:rPr>
                <w:rFonts w:hint="eastAsia" w:ascii="ＭＳ 明朝" w:hAnsi="ＭＳ 明朝" w:eastAsia="ＭＳ 明朝"/>
                <w:color w:val="000000" w:themeColor="text1"/>
                <w:sz w:val="22"/>
              </w:rPr>
              <w:t>14</w:t>
            </w:r>
            <w:r>
              <w:rPr>
                <w:rFonts w:hint="eastAsia" w:ascii="ＭＳ 明朝" w:hAnsi="ＭＳ 明朝" w:eastAsia="ＭＳ 明朝"/>
                <w:color w:val="000000" w:themeColor="text1"/>
                <w:sz w:val="22"/>
              </w:rPr>
              <w:t>条第１項の規定</w:t>
            </w:r>
            <w:r>
              <w:rPr>
                <w:rFonts w:hint="eastAsia" w:ascii="ＭＳ 明朝" w:hAnsi="ＭＳ 明朝" w:eastAsia="ＭＳ 明朝"/>
                <w:b w:val="0"/>
                <w:color w:val="000000" w:themeColor="text1"/>
                <w:sz w:val="22"/>
                <w:highlight w:val="none"/>
                <w:u w:val="none" w:color="auto"/>
              </w:rPr>
              <w:t>に基づきあっせんによる申立てをした者が自ら当該申立てを取り下げる意思を示した場合等あっせんの必要がないと知事が認めるとき。</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２</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事案について、国又は他の地方公共団体が現に当該事案の</w:t>
            </w:r>
            <w:r>
              <w:rPr>
                <w:rFonts w:hint="eastAsia" w:ascii="ＭＳ 明朝" w:hAnsi="ＭＳ 明朝" w:eastAsia="ＭＳ 明朝"/>
                <w:color w:val="000000" w:themeColor="text1"/>
                <w:sz w:val="22"/>
              </w:rPr>
              <w:t>防止又は解決を図っている場合等、あっせんを行うことが適当でないと認めるとき。</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調整委員会は、事案の解決のために必要があると認めるときは、当該事案の当事者及び関係者に対して、必要な調査をすることができる。</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３</w:t>
            </w:r>
            <w:r>
              <w:rPr>
                <w:rFonts w:hint="eastAsia" w:ascii="ＭＳ 明朝" w:hAnsi="ＭＳ 明朝" w:eastAsia="ＭＳ 明朝"/>
                <w:color w:val="000000" w:themeColor="text1"/>
                <w:sz w:val="22"/>
              </w:rPr>
              <w:t>　事案の当事者及び関係者は、正当な理由がある場合を除き、前項の規定に基づく調査に協力しなければならない。</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４</w:t>
            </w:r>
            <w:r>
              <w:rPr>
                <w:rFonts w:hint="eastAsia" w:ascii="ＭＳ 明朝" w:hAnsi="ＭＳ 明朝" w:eastAsia="ＭＳ 明朝"/>
                <w:color w:val="000000" w:themeColor="text1"/>
                <w:sz w:val="22"/>
              </w:rPr>
              <w:t>　調整委員会は、事案の解決のため必要なあっせん案を作成し、これを当事者に提示するものとする。</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５</w:t>
            </w:r>
            <w:r>
              <w:rPr>
                <w:rFonts w:hint="eastAsia" w:ascii="ＭＳ 明朝" w:hAnsi="ＭＳ 明朝" w:eastAsia="ＭＳ 明朝"/>
                <w:color w:val="000000" w:themeColor="text1"/>
                <w:sz w:val="22"/>
              </w:rPr>
              <w:t>　あっせんは、次の各号のいずれかに該当したときは、終了する。</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w:t>
            </w:r>
            <w:r>
              <w:rPr>
                <w:rFonts w:hint="eastAsia" w:ascii="ＭＳ 明朝" w:hAnsi="ＭＳ 明朝" w:eastAsia="ＭＳ 明朝"/>
                <w:b w:val="0"/>
                <w:color w:val="000000" w:themeColor="text1"/>
                <w:sz w:val="22"/>
                <w:highlight w:val="none"/>
                <w:u w:val="none" w:color="auto"/>
              </w:rPr>
              <w:t>第１項の規定によりあっせんの付託がされた後、当該紛争事案について、第</w:t>
            </w:r>
            <w:r>
              <w:rPr>
                <w:rFonts w:hint="eastAsia" w:ascii="ＭＳ 明朝" w:hAnsi="ＭＳ 明朝" w:eastAsia="ＭＳ 明朝"/>
                <w:b w:val="0"/>
                <w:color w:val="000000" w:themeColor="text1"/>
                <w:sz w:val="22"/>
                <w:highlight w:val="none"/>
                <w:u w:val="none" w:color="auto"/>
              </w:rPr>
              <w:t>14</w:t>
            </w:r>
            <w:r>
              <w:rPr>
                <w:rFonts w:hint="eastAsia" w:ascii="ＭＳ 明朝" w:hAnsi="ＭＳ 明朝" w:eastAsia="ＭＳ 明朝"/>
                <w:b w:val="0"/>
                <w:color w:val="000000" w:themeColor="text1"/>
                <w:sz w:val="22"/>
                <w:highlight w:val="none"/>
                <w:u w:val="none" w:color="auto"/>
              </w:rPr>
              <w:t>条第１項の規定に基づきあっせんの申立てをした者が自ら当該申立てを取り下げる意思を示した場合等あっせんの必要がないと調整委員会が認めたとき。</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２</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あっせんにより事案が解決したとき、又はあっせん案の提示をしたとき。</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３</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w:t>
            </w:r>
            <w:r>
              <w:rPr>
                <w:rFonts w:hint="eastAsia" w:ascii="ＭＳ 明朝" w:hAnsi="ＭＳ 明朝" w:eastAsia="ＭＳ 明朝"/>
                <w:color w:val="000000" w:themeColor="text1"/>
                <w:sz w:val="22"/>
              </w:rPr>
              <w:t>あっせんによっては事案の解決の見込みがないと調整委員会が認めるとき。</w:t>
            </w:r>
          </w:p>
          <w:p>
            <w:pPr>
              <w:pStyle w:val="0"/>
              <w:widowControl w:val="0"/>
              <w:autoSpaceDE w:val="0"/>
              <w:autoSpaceDN w:val="0"/>
              <w:adjustRightInd w:val="0"/>
              <w:spacing w:line="400" w:lineRule="exact"/>
              <w:ind w:left="440" w:leftChars="10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６</w:t>
            </w:r>
            <w:r>
              <w:rPr>
                <w:rFonts w:hint="eastAsia" w:ascii="ＭＳ 明朝" w:hAnsi="ＭＳ 明朝" w:eastAsia="ＭＳ 明朝"/>
                <w:color w:val="000000" w:themeColor="text1"/>
                <w:sz w:val="22"/>
              </w:rPr>
              <w:t>　調整委員会は、</w:t>
            </w:r>
            <w:r>
              <w:rPr>
                <w:rFonts w:hint="eastAsia" w:ascii="ＭＳ 明朝" w:hAnsi="ＭＳ 明朝" w:eastAsia="ＭＳ 明朝"/>
                <w:b w:val="0"/>
                <w:color w:val="000000" w:themeColor="text1"/>
                <w:sz w:val="22"/>
                <w:highlight w:val="none"/>
                <w:u w:val="none" w:color="auto"/>
              </w:rPr>
              <w:t>前項のいずれかに該当しあっせんを行わないこととしたとき又は前項の規定によりあっせんを終了したときは、当事者にその旨を通知するとともに、知事に対し、第１項の規定により付託されたあっせんの結果</w:t>
            </w:r>
            <w:r>
              <w:rPr>
                <w:rFonts w:hint="eastAsia" w:ascii="ＭＳ 明朝" w:hAnsi="ＭＳ 明朝" w:eastAsia="ＭＳ 明朝"/>
                <w:color w:val="000000" w:themeColor="text1"/>
                <w:sz w:val="22"/>
              </w:rPr>
              <w:t>を報告するものとする。</w:t>
            </w: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（勧告）</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17</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調整委員会は、知事に対し、次の各号のいずれかに該当する者に対し、障害を理由とする差別の解消に必要な措置を講ずべきことを勧告するよう求めることができる。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正当な理由なく前条第２項の</w:t>
            </w:r>
            <w:r>
              <w:rPr>
                <w:rFonts w:hint="eastAsia" w:ascii="ＭＳ 明朝" w:hAnsi="ＭＳ 明朝" w:eastAsia="ＭＳ 明朝"/>
                <w:b w:val="0"/>
                <w:color w:val="000000" w:themeColor="text1"/>
                <w:sz w:val="22"/>
                <w:highlight w:val="none"/>
                <w:u w:val="none" w:color="auto"/>
              </w:rPr>
              <w:t>規定に基づく調査を拒んだ者</w:t>
            </w:r>
          </w:p>
          <w:p>
            <w:pPr>
              <w:pStyle w:val="0"/>
              <w:widowControl w:val="0"/>
              <w:autoSpaceDE w:val="0"/>
              <w:autoSpaceDN w:val="0"/>
              <w:adjustRightInd w:val="0"/>
              <w:spacing w:line="400" w:lineRule="exact"/>
              <w:ind w:left="452" w:leftChars="100" w:hanging="226" w:hangingChars="100"/>
              <w:textAlignment w:val="baseline"/>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２</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前条第２項の規定に基づく調査に対し、虚偽の資料を提出し、又は虚偽の説明を行った者</w:t>
            </w:r>
          </w:p>
          <w:p>
            <w:pPr>
              <w:pStyle w:val="0"/>
              <w:widowControl w:val="0"/>
              <w:autoSpaceDE w:val="0"/>
              <w:autoSpaceDN w:val="0"/>
              <w:adjustRightInd w:val="0"/>
              <w:spacing w:line="400" w:lineRule="exact"/>
              <w:ind w:left="452" w:leftChars="100" w:hanging="226" w:hangingChars="100"/>
              <w:textAlignment w:val="baseline"/>
              <w:rPr>
                <w:rFonts w:hint="eastAsia" w:ascii="游ゴシック" w:hAnsi="游ゴシック" w:eastAsia="游ゴシック"/>
                <w:b w:val="1"/>
                <w:color w:val="000000" w:themeColor="text1"/>
                <w:sz w:val="22"/>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３</w:t>
            </w: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color w:val="000000" w:themeColor="text1"/>
                <w:sz w:val="22"/>
                <w:highlight w:val="none"/>
                <w:u w:val="none" w:color="auto"/>
              </w:rPr>
              <w:t>　前条第４項の規定によりあっせん案を提示した</w:t>
            </w:r>
            <w:r>
              <w:rPr>
                <w:rFonts w:hint="eastAsia" w:ascii="ＭＳ 明朝" w:hAnsi="ＭＳ 明朝" w:eastAsia="ＭＳ 明朝"/>
                <w:color w:val="000000" w:themeColor="text1"/>
                <w:sz w:val="22"/>
              </w:rPr>
              <w:t>場合において、正当な理由なく、当該あっせん案を受託せず、又は受諾した当該あっせん案に従わない者</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知事は、前項の規定に基づく勧告の求めがあった場合において、必要があると認めるときは、障害を理由とする差別の解消に必要な措置を講ずべきことを勧告することができる。</w:t>
            </w: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（公表）</w:t>
            </w:r>
          </w:p>
          <w:p>
            <w:pPr>
              <w:pStyle w:val="0"/>
              <w:widowControl w:val="0"/>
              <w:autoSpaceDE w:val="0"/>
              <w:autoSpaceDN w:val="0"/>
              <w:adjustRightInd w:val="0"/>
              <w:spacing w:line="400" w:lineRule="exact"/>
              <w:ind w:left="226" w:hanging="226"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18</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知事は、前条第２項の規定に基づく勧告を受けた者が正当な理由なく当該勧告に従わないときは、その旨を公表することができる。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知事は、</w:t>
            </w:r>
            <w:r>
              <w:rPr>
                <w:rFonts w:hint="eastAsia" w:ascii="ＭＳ 明朝" w:hAnsi="ＭＳ 明朝" w:eastAsia="ＭＳ 明朝"/>
                <w:b w:val="0"/>
                <w:color w:val="000000" w:themeColor="text1"/>
                <w:sz w:val="22"/>
                <w:highlight w:val="none"/>
                <w:u w:val="none" w:color="auto"/>
              </w:rPr>
              <w:t>前項の規定に基づき公表しようとする場合は、</w:t>
            </w:r>
            <w:r>
              <w:rPr>
                <w:rFonts w:hint="eastAsia" w:ascii="ＭＳ 明朝" w:hAnsi="ＭＳ 明朝" w:eastAsia="ＭＳ 明朝"/>
                <w:color w:val="000000" w:themeColor="text1"/>
                <w:sz w:val="22"/>
              </w:rPr>
              <w:t>あらかじめ当該勧告を受けた者に対してその旨を通知し、意見を述べる機会を与えなければならない。</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（調整委員会）　</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19</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知事は、事案の解決のための助言又はあっせんについて調査審議するため、</w:t>
            </w:r>
            <w:r>
              <w:rPr>
                <w:rFonts w:hint="eastAsia" w:ascii="ＭＳ 明朝" w:hAnsi="ＭＳ 明朝" w:eastAsia="ＭＳ 明朝"/>
                <w:b w:val="0"/>
                <w:color w:val="000000" w:themeColor="text1"/>
                <w:sz w:val="22"/>
                <w:highlight w:val="none"/>
              </w:rPr>
              <w:t>調整委員会</w:t>
            </w:r>
            <w:r>
              <w:rPr>
                <w:rFonts w:hint="eastAsia" w:ascii="ＭＳ 明朝" w:hAnsi="ＭＳ 明朝" w:eastAsia="ＭＳ 明朝"/>
                <w:color w:val="000000" w:themeColor="text1"/>
                <w:sz w:val="22"/>
              </w:rPr>
              <w:t>を設置する。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委員会は、委員</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名以内で組織する。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３</w:t>
            </w:r>
            <w:r>
              <w:rPr>
                <w:rFonts w:hint="eastAsia" w:ascii="ＭＳ 明朝" w:hAnsi="ＭＳ 明朝" w:eastAsia="ＭＳ 明朝"/>
                <w:color w:val="000000" w:themeColor="text1"/>
                <w:sz w:val="22"/>
              </w:rPr>
              <w:t>　委員は、次に掲げる者のうちから知事が任命する。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障害のある人</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２</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障害のある人の家族</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３</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障害を理由とする差別の解消に関し学識経験を有する者</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４</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障害福祉に関する事業に従事する者</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５</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事業者又は事業者により構成される団体の役職員</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６</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関係行政機関の職員</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前各号に掲げる者のほか、知事が適当であると認める者</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４</w:t>
            </w:r>
            <w:r>
              <w:rPr>
                <w:rFonts w:hint="eastAsia" w:ascii="ＭＳ 明朝" w:hAnsi="ＭＳ 明朝" w:eastAsia="ＭＳ 明朝"/>
                <w:color w:val="000000" w:themeColor="text1"/>
                <w:sz w:val="22"/>
              </w:rPr>
              <w:t>　委員は、職務上知り得た秘密を漏らしてはならない。その職を退いた後においても同様とする。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５</w:t>
            </w:r>
            <w:r>
              <w:rPr>
                <w:rFonts w:hint="eastAsia" w:ascii="ＭＳ 明朝" w:hAnsi="ＭＳ 明朝" w:eastAsia="ＭＳ 明朝"/>
                <w:color w:val="000000" w:themeColor="text1"/>
                <w:sz w:val="22"/>
              </w:rPr>
              <w:t>　前各項に定めるもののほか、調整委員会の組織及び運営について必要な事項は、規則で定める。</w:t>
            </w:r>
          </w:p>
          <w:p>
            <w:pPr>
              <w:pStyle w:val="0"/>
              <w:widowControl w:val="0"/>
              <w:autoSpaceDE w:val="0"/>
              <w:autoSpaceDN w:val="0"/>
              <w:adjustRightInd w:val="0"/>
              <w:spacing w:line="400" w:lineRule="exact"/>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第４章　共生社会の実現に向けた施策</w:t>
            </w:r>
          </w:p>
          <w:p>
            <w:pPr>
              <w:pStyle w:val="0"/>
              <w:widowControl w:val="0"/>
              <w:autoSpaceDE w:val="0"/>
              <w:autoSpaceDN w:val="0"/>
              <w:adjustRightInd w:val="0"/>
              <w:spacing w:line="400" w:lineRule="exact"/>
              <w:ind w:firstLine="220" w:firstLine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（普及啓発）</w:t>
            </w:r>
          </w:p>
          <w:p>
            <w:pPr>
              <w:pStyle w:val="0"/>
              <w:widowControl w:val="0"/>
              <w:autoSpaceDE w:val="0"/>
              <w:autoSpaceDN w:val="0"/>
              <w:adjustRightInd w:val="0"/>
              <w:spacing w:line="400" w:lineRule="exact"/>
              <w:ind w:left="0" w:leftChars="0" w:hanging="226" w:hanging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20</w:t>
            </w:r>
            <w:r>
              <w:rPr>
                <w:rFonts w:hint="eastAsia" w:ascii="游ゴシック" w:hAnsi="游ゴシック" w:eastAsia="游ゴシック"/>
                <w:b w:val="1"/>
                <w:color w:val="000000" w:themeColor="text1"/>
                <w:sz w:val="22"/>
              </w:rPr>
              <w:t>条　</w:t>
            </w:r>
            <w:r>
              <w:rPr>
                <w:rFonts w:hint="eastAsia" w:ascii="ＭＳ 明朝" w:hAnsi="ＭＳ 明朝" w:eastAsia="ＭＳ 明朝"/>
                <w:b w:val="0"/>
                <w:color w:val="000000" w:themeColor="text1"/>
                <w:sz w:val="22"/>
              </w:rPr>
              <w:t>県は、障害及び障害のある人に対する県民及び事業者の関心と理解を深めるための啓発、知識の普及その他の必要な施策を講ずるものとする。</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（教育における理解の促進等）</w:t>
            </w:r>
          </w:p>
          <w:p>
            <w:pPr>
              <w:pStyle w:val="0"/>
              <w:widowControl w:val="0"/>
              <w:autoSpaceDE w:val="0"/>
              <w:autoSpaceDN w:val="0"/>
              <w:adjustRightInd w:val="0"/>
              <w:spacing w:line="400" w:lineRule="exact"/>
              <w:ind w:left="226" w:hanging="226"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21</w:t>
            </w:r>
            <w:r>
              <w:rPr>
                <w:rFonts w:hint="eastAsia" w:ascii="游ゴシック" w:hAnsi="游ゴシック" w:eastAsia="游ゴシック"/>
                <w:b w:val="1"/>
                <w:color w:val="000000" w:themeColor="text1"/>
                <w:sz w:val="22"/>
              </w:rPr>
              <w:t>条　</w:t>
            </w:r>
            <w:r>
              <w:rPr>
                <w:rFonts w:hint="eastAsia" w:ascii="ＭＳ 明朝" w:hAnsi="ＭＳ 明朝" w:eastAsia="ＭＳ 明朝"/>
                <w:color w:val="000000" w:themeColor="text1"/>
                <w:sz w:val="22"/>
              </w:rPr>
              <w:t>県は、市町村と連携し、障害の有無に関わらず幼児、児童及び生徒が可能な限り共に教育を受けられるようにするために必要な施策を積極的に推進するとともに、</w:t>
            </w:r>
            <w:r>
              <w:rPr>
                <w:rFonts w:hint="eastAsia" w:ascii="ＭＳ 明朝" w:hAnsi="ＭＳ 明朝" w:eastAsia="ＭＳ 明朝"/>
                <w:b w:val="0"/>
                <w:color w:val="000000" w:themeColor="text1"/>
                <w:sz w:val="22"/>
                <w:highlight w:val="none"/>
              </w:rPr>
              <w:t>障害及び</w:t>
            </w:r>
            <w:r>
              <w:rPr>
                <w:rFonts w:hint="eastAsia" w:ascii="ＭＳ 明朝" w:hAnsi="ＭＳ 明朝" w:eastAsia="ＭＳ 明朝"/>
                <w:color w:val="000000" w:themeColor="text1"/>
                <w:sz w:val="22"/>
              </w:rPr>
              <w:t>障害のある人に対する理解及び社会的障壁の除去の重要性に対する理解を深めるための教育を推進するものとする。</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（文化芸術活動等への参加の機会の充実）</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u w:val="none" w:color="auto"/>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22</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u w:val="none" w:color="auto"/>
              </w:rPr>
              <w:t>県は、障害の有無にかかわらず誰もが地域におい</w:t>
            </w:r>
            <w:r>
              <w:rPr>
                <w:rFonts w:hint="eastAsia" w:ascii="ＭＳ 明朝" w:hAnsi="ＭＳ 明朝" w:eastAsia="ＭＳ 明朝"/>
                <w:b w:val="0"/>
                <w:color w:val="000000" w:themeColor="text1"/>
                <w:sz w:val="22"/>
                <w:highlight w:val="none"/>
                <w:u w:val="none" w:color="auto"/>
              </w:rPr>
              <w:t>て豊かな人生を送ることができるよう、生涯を通して、多様な学びの場やスポーツ、レクリエーション、文化芸術活動等</w:t>
            </w:r>
            <w:r>
              <w:rPr>
                <w:rFonts w:hint="eastAsia" w:ascii="ＭＳ 明朝" w:hAnsi="ＭＳ 明朝" w:eastAsia="ＭＳ 明朝"/>
                <w:color w:val="000000" w:themeColor="text1"/>
                <w:sz w:val="22"/>
                <w:u w:val="none" w:color="auto"/>
              </w:rPr>
              <w:t>様々な機会に親しむことができるよう必要な施策を講ずるものとする。</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（雇用及び就労の促進）</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u w:val="none" w:color="auto"/>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23</w:t>
            </w:r>
            <w:r>
              <w:rPr>
                <w:rFonts w:hint="eastAsia" w:ascii="游ゴシック" w:hAnsi="游ゴシック" w:eastAsia="游ゴシック"/>
                <w:b w:val="1"/>
                <w:color w:val="000000" w:themeColor="text1"/>
                <w:sz w:val="22"/>
              </w:rPr>
              <w:t>条　</w:t>
            </w:r>
            <w:r>
              <w:rPr>
                <w:rFonts w:hint="eastAsia" w:ascii="ＭＳ 明朝" w:hAnsi="ＭＳ 明朝" w:eastAsia="ＭＳ 明朝"/>
                <w:color w:val="000000" w:themeColor="text1"/>
                <w:sz w:val="22"/>
                <w:u w:val="none" w:color="auto"/>
              </w:rPr>
              <w:t>県は、障害のある人の職業選択の自由を尊重しつつ、障害のある人がその能力に応じて適切な職業に従事することができるようにするため、障害のある人の多様な</w:t>
            </w:r>
            <w:r>
              <w:rPr>
                <w:rFonts w:hint="eastAsia" w:ascii="ＭＳ 明朝" w:hAnsi="ＭＳ 明朝" w:eastAsia="ＭＳ 明朝"/>
                <w:b w:val="0"/>
                <w:color w:val="000000" w:themeColor="text1"/>
                <w:sz w:val="22"/>
                <w:highlight w:val="none"/>
                <w:u w:val="none" w:color="auto"/>
                <w:vertAlign w:val="baseline"/>
              </w:rPr>
              <w:t>雇用及び</w:t>
            </w:r>
            <w:r>
              <w:rPr>
                <w:rFonts w:hint="eastAsia" w:ascii="ＭＳ 明朝" w:hAnsi="ＭＳ 明朝" w:eastAsia="ＭＳ 明朝"/>
                <w:b w:val="0"/>
                <w:color w:val="000000" w:themeColor="text1"/>
                <w:sz w:val="22"/>
                <w:highlight w:val="none"/>
                <w:u w:val="none" w:color="auto"/>
              </w:rPr>
              <w:t>就労の機会の拡大のため</w:t>
            </w:r>
            <w:r>
              <w:rPr>
                <w:rFonts w:hint="eastAsia" w:ascii="ＭＳ 明朝" w:hAnsi="ＭＳ 明朝" w:eastAsia="ＭＳ 明朝"/>
                <w:color w:val="000000" w:themeColor="text1"/>
                <w:sz w:val="22"/>
                <w:u w:val="none" w:color="auto"/>
              </w:rPr>
              <w:t>に必要な施策を講ずるものとする。</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u w:val="none" w:color="auto"/>
              </w:rPr>
            </w:pPr>
            <w:r>
              <w:rPr>
                <w:rFonts w:hint="eastAsia" w:ascii="游ゴシック" w:hAnsi="游ゴシック" w:eastAsia="游ゴシック"/>
                <w:b w:val="1"/>
                <w:color w:val="000000" w:themeColor="text1"/>
                <w:sz w:val="22"/>
                <w:u w:val="none" w:color="auto"/>
              </w:rPr>
              <w:t>　</w:t>
            </w:r>
            <w:r>
              <w:rPr>
                <w:rFonts w:hint="eastAsia" w:ascii="ＭＳ 明朝" w:hAnsi="ＭＳ 明朝" w:eastAsia="ＭＳ 明朝"/>
                <w:color w:val="000000" w:themeColor="text1"/>
                <w:sz w:val="22"/>
                <w:u w:val="none" w:color="auto"/>
              </w:rPr>
              <w:t>２　県は、関係機関と連携し、障害のある人の雇用及び就労に関する事業者の理解を深めるとともに、障害のある人の雇用及び就労を促進するために必要な施策を講ずるものとする。</w:t>
            </w:r>
          </w:p>
          <w:p>
            <w:pPr>
              <w:pStyle w:val="0"/>
              <w:widowControl w:val="0"/>
              <w:autoSpaceDE w:val="0"/>
              <w:autoSpaceDN w:val="0"/>
              <w:adjustRightInd w:val="0"/>
              <w:spacing w:line="400" w:lineRule="exact"/>
              <w:ind w:left="220" w:hanging="220" w:hangingChars="10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（意思疎通及び情報取得等の保障の推進）</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24</w:t>
            </w:r>
            <w:r>
              <w:rPr>
                <w:rFonts w:hint="eastAsia" w:ascii="游ゴシック" w:hAnsi="游ゴシック" w:eastAsia="游ゴシック"/>
                <w:b w:val="1"/>
                <w:color w:val="000000" w:themeColor="text1"/>
                <w:sz w:val="22"/>
              </w:rPr>
              <w:t>条　</w:t>
            </w:r>
            <w:r>
              <w:rPr>
                <w:rFonts w:hint="eastAsia" w:ascii="ＭＳ 明朝" w:hAnsi="ＭＳ 明朝" w:eastAsia="ＭＳ 明朝"/>
                <w:color w:val="000000" w:themeColor="text1"/>
                <w:sz w:val="22"/>
              </w:rPr>
              <w:t>県は、障害のある人が必要とする情報を十分に取得し、利用し、円滑に意思疎通を図ることができるよう、</w:t>
            </w:r>
            <w:r>
              <w:rPr>
                <w:rFonts w:hint="eastAsia" w:ascii="ＭＳ 明朝" w:hAnsi="ＭＳ 明朝" w:eastAsia="ＭＳ 明朝"/>
                <w:b w:val="0"/>
                <w:color w:val="000000" w:themeColor="text1"/>
                <w:sz w:val="22"/>
                <w:highlight w:val="none"/>
                <w:u w:val="none" w:color="auto"/>
              </w:rPr>
              <w:t>手話、要約筆記、点字、拡大文字、読み上げ、分かりやすい表現その他障害特性に応じた意思疎通及び情報取得等</w:t>
            </w:r>
            <w:r>
              <w:rPr>
                <w:rFonts w:hint="eastAsia" w:ascii="ＭＳ 明朝" w:hAnsi="ＭＳ 明朝" w:eastAsia="ＭＳ 明朝"/>
                <w:color w:val="000000" w:themeColor="text1"/>
                <w:sz w:val="22"/>
              </w:rPr>
              <w:t>の方法の普及に関し必要な施策を講ずるものとする。</w:t>
            </w:r>
          </w:p>
          <w:p>
            <w:pPr>
              <w:pStyle w:val="0"/>
              <w:widowControl w:val="0"/>
              <w:autoSpaceDE w:val="0"/>
              <w:autoSpaceDN w:val="0"/>
              <w:adjustRightInd w:val="0"/>
              <w:spacing w:line="400" w:lineRule="exact"/>
              <w:ind w:left="226" w:leftChars="100" w:firstLine="0" w:firstLineChars="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２</w:t>
            </w:r>
            <w:r>
              <w:rPr>
                <w:rFonts w:hint="eastAsia" w:ascii="ＭＳ 明朝" w:hAnsi="ＭＳ 明朝" w:eastAsia="ＭＳ 明朝"/>
                <w:color w:val="000000" w:themeColor="text1"/>
                <w:sz w:val="22"/>
              </w:rPr>
              <w:t>　県は、関係機関と連携し、障害のある人の意思疎通を支援する者の養成、確保及び技術の向上のために必要な施策を講ずるものとする。</w:t>
            </w:r>
          </w:p>
          <w:p>
            <w:pPr>
              <w:pStyle w:val="0"/>
              <w:widowControl w:val="0"/>
              <w:autoSpaceDE w:val="0"/>
              <w:autoSpaceDN w:val="0"/>
              <w:adjustRightInd w:val="0"/>
              <w:spacing w:line="400" w:lineRule="exact"/>
              <w:ind w:left="226" w:leftChars="100" w:firstLine="0" w:firstLineChars="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３</w:t>
            </w:r>
            <w:r>
              <w:rPr>
                <w:rFonts w:hint="eastAsia" w:ascii="ＭＳ 明朝" w:hAnsi="ＭＳ 明朝" w:eastAsia="ＭＳ 明朝"/>
                <w:color w:val="000000" w:themeColor="text1"/>
                <w:sz w:val="22"/>
              </w:rPr>
              <w:t>　県は、</w:t>
            </w:r>
            <w:r>
              <w:rPr>
                <w:rFonts w:hint="eastAsia" w:ascii="ＭＳ 明朝" w:hAnsi="ＭＳ 明朝" w:eastAsia="ＭＳ 明朝"/>
                <w:b w:val="0"/>
                <w:color w:val="000000" w:themeColor="text1"/>
                <w:sz w:val="22"/>
                <w:highlight w:val="none"/>
              </w:rPr>
              <w:t>障害のある人が</w:t>
            </w:r>
            <w:r>
              <w:rPr>
                <w:rFonts w:hint="eastAsia" w:ascii="ＭＳ 明朝" w:hAnsi="ＭＳ 明朝" w:eastAsia="ＭＳ 明朝"/>
                <w:color w:val="000000" w:themeColor="text1"/>
                <w:sz w:val="22"/>
              </w:rPr>
              <w:t>必要な情報を円滑に取得し、利用できるよう情報発信及び</w:t>
            </w:r>
            <w:r>
              <w:rPr>
                <w:rFonts w:hint="eastAsia" w:ascii="ＭＳ 明朝" w:hAnsi="ＭＳ 明朝" w:eastAsia="ＭＳ 明朝"/>
                <w:color w:val="000000" w:themeColor="text1"/>
                <w:sz w:val="22"/>
              </w:rPr>
              <w:t>ICT</w:t>
            </w:r>
            <w:r>
              <w:rPr>
                <w:rFonts w:hint="eastAsia" w:ascii="ＭＳ 明朝" w:hAnsi="ＭＳ 明朝" w:eastAsia="ＭＳ 明朝"/>
                <w:color w:val="000000" w:themeColor="text1"/>
                <w:sz w:val="22"/>
              </w:rPr>
              <w:t>の活用機会の拡大等による情報取得の保障の充実を図る施策を講ずるものとする。</w:t>
            </w:r>
          </w:p>
          <w:p>
            <w:pPr>
              <w:pStyle w:val="0"/>
              <w:widowControl w:val="0"/>
              <w:autoSpaceDE w:val="0"/>
              <w:autoSpaceDN w:val="0"/>
              <w:adjustRightInd w:val="0"/>
              <w:spacing w:line="400" w:lineRule="exact"/>
              <w:ind w:left="226" w:leftChars="100" w:firstLine="0" w:firstLineChars="0"/>
              <w:textAlignment w:val="baseline"/>
              <w:rPr>
                <w:rFonts w:hint="eastAsia" w:ascii="游ゴシック" w:hAnsi="游ゴシック" w:eastAsia="游ゴシック"/>
                <w:b w:val="1"/>
                <w:color w:val="000000" w:themeColor="text1"/>
                <w:sz w:val="22"/>
              </w:rPr>
            </w:pPr>
            <w:r>
              <w:rPr>
                <w:rFonts w:hint="eastAsia" w:ascii="游ゴシック" w:hAnsi="游ゴシック" w:eastAsia="游ゴシック"/>
                <w:b w:val="1"/>
                <w:color w:val="000000" w:themeColor="text1"/>
                <w:sz w:val="22"/>
              </w:rPr>
              <w:t>（人材の育成及び確保）</w:t>
            </w:r>
          </w:p>
          <w:p>
            <w:pPr>
              <w:pStyle w:val="0"/>
              <w:widowControl w:val="0"/>
              <w:autoSpaceDE w:val="0"/>
              <w:autoSpaceDN w:val="0"/>
              <w:adjustRightInd w:val="0"/>
              <w:spacing w:line="400" w:lineRule="exact"/>
              <w:ind w:left="226" w:hanging="226"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25</w:t>
            </w:r>
            <w:r>
              <w:rPr>
                <w:rFonts w:hint="eastAsia" w:ascii="游ゴシック" w:hAnsi="游ゴシック" w:eastAsia="游ゴシック"/>
                <w:b w:val="1"/>
                <w:color w:val="000000" w:themeColor="text1"/>
                <w:sz w:val="22"/>
              </w:rPr>
              <w:t>条　</w:t>
            </w:r>
            <w:r>
              <w:rPr>
                <w:rFonts w:hint="eastAsia" w:ascii="ＭＳ 明朝" w:hAnsi="ＭＳ 明朝" w:eastAsia="ＭＳ 明朝"/>
                <w:color w:val="000000" w:themeColor="text1"/>
                <w:sz w:val="22"/>
              </w:rPr>
              <w:t>県は、障害を理由とする差別に関する紛争の防止又は解決を図るため、専門的な知識及び技能を有する人材の育成及び確保に努めるものとする。</w:t>
            </w: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ind w:left="220" w:hanging="220" w:hanging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第５章　雑則</w:t>
            </w:r>
          </w:p>
          <w:p>
            <w:pPr>
              <w:pStyle w:val="0"/>
              <w:widowControl w:val="0"/>
              <w:autoSpaceDE w:val="0"/>
              <w:autoSpaceDN w:val="0"/>
              <w:adjustRightInd w:val="0"/>
              <w:spacing w:line="400" w:lineRule="exact"/>
              <w:ind w:firstLine="220" w:firstLineChars="100"/>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（委任）</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r>
              <w:rPr>
                <w:rFonts w:hint="eastAsia" w:ascii="游ゴシック" w:hAnsi="游ゴシック" w:eastAsia="游ゴシック"/>
                <w:b w:val="1"/>
                <w:color w:val="000000" w:themeColor="text1"/>
                <w:sz w:val="22"/>
              </w:rPr>
              <w:t>第</w:t>
            </w:r>
            <w:r>
              <w:rPr>
                <w:rFonts w:hint="eastAsia" w:ascii="游ゴシック" w:hAnsi="游ゴシック" w:eastAsia="游ゴシック"/>
                <w:b w:val="1"/>
                <w:color w:val="000000" w:themeColor="text1"/>
                <w:sz w:val="22"/>
              </w:rPr>
              <w:t>26</w:t>
            </w:r>
            <w:r>
              <w:rPr>
                <w:rFonts w:hint="eastAsia" w:ascii="游ゴシック" w:hAnsi="游ゴシック" w:eastAsia="游ゴシック"/>
                <w:b w:val="1"/>
                <w:color w:val="000000" w:themeColor="text1"/>
                <w:sz w:val="22"/>
              </w:rPr>
              <w:t>条</w:t>
            </w:r>
            <w:r>
              <w:rPr>
                <w:rFonts w:hint="eastAsia" w:ascii="ＭＳ 明朝" w:hAnsi="ＭＳ 明朝" w:eastAsia="ＭＳ 明朝"/>
                <w:color w:val="000000" w:themeColor="text1"/>
                <w:sz w:val="22"/>
              </w:rPr>
              <w:t>　この条例に定めるもののほか、条例の施行に関し、必要な事項は規則で定める。</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附　則</w:t>
            </w:r>
          </w:p>
          <w:p>
            <w:pPr>
              <w:pStyle w:val="0"/>
              <w:widowControl w:val="0"/>
              <w:autoSpaceDE w:val="0"/>
              <w:autoSpaceDN w:val="0"/>
              <w:adjustRightInd w:val="0"/>
              <w:spacing w:line="400" w:lineRule="exact"/>
              <w:textAlignment w:val="baselin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この条例は、令和６年４月１日から施行する。</w:t>
            </w:r>
          </w:p>
        </w:tc>
      </w:tr>
    </w:tbl>
    <w:p>
      <w:pPr>
        <w:pStyle w:val="0"/>
        <w:rPr>
          <w:rFonts w:hint="default"/>
          <w:spacing w:val="4"/>
        </w:rPr>
      </w:pPr>
    </w:p>
    <w:sectPr>
      <w:headerReference r:id="rId6" w:type="default"/>
      <w:footerReference r:id="rId8" w:type="default"/>
      <w:headerReference r:id="rId5" w:type="first"/>
      <w:footerReference r:id="rId7" w:type="first"/>
      <w:footnotePr>
        <w:numRestart w:val="eachPage"/>
      </w:footnotePr>
      <w:pgSz w:w="11906" w:h="16838"/>
      <w:pgMar w:top="1190" w:right="1418" w:bottom="1134" w:left="1418" w:header="720" w:footer="0" w:gutter="0"/>
      <w:cols w:space="720"/>
      <w:noEndnote w:val="1"/>
      <w:textDirection w:val="lrTb"/>
      <w:docGrid w:type="linesAndChars" w:linePitch="299"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5137"/>
      </w:tabs>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auto"/>
        <w:sz w:val="20"/>
      </w:rPr>
      <w:alias w:val=""/>
      <w:tag w:val=""/>
      <w:lock w:val="unlocked"/>
      <w:docPartObj>
        <w:docPartGallery w:val="Page Numbers (Bottom of Page)"/>
        <w:docPartUnique/>
      </w:docPartObj>
    </w:sdtPr>
    <w:sdtEndPr>
      <w:rPr>
        <w:rFonts w:hint="eastAsia"/>
        <w:color w:val="auto"/>
        <w:sz w:val="20"/>
      </w:rPr>
    </w:sdtEndPr>
    <w:sdtContent>
      <w:p>
        <w:pPr>
          <w:pStyle w:val="0"/>
          <w:jc w:val="center"/>
          <w:rPr>
            <w:rFonts w:hint="default"/>
            <w:color w:val="auto"/>
            <w:sz w:val="20"/>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color w:val="auto"/>
            <w:sz w:val="20"/>
          </w:rPr>
          <w:t>2</w:t>
        </w:r>
        <w:r>
          <w:rPr>
            <w:rFonts w:hint="eastAsia"/>
          </w:rPr>
          <w:fldChar w:fldCharType="end"/>
        </w:r>
      </w:p>
    </w:sdtContent>
  </w:sdt>
  <w:p>
    <w:pPr>
      <w:pStyle w:val="0"/>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游ゴシック" w:hAnsi="游ゴシック" w:eastAsia="游ゴシック"/>
        <w:b w:val="1"/>
        <w:sz w:val="32"/>
      </w:rPr>
      <w:t>　</w:t>
    </w:r>
    <w:r>
      <w:rPr>
        <w:rFonts w:hint="eastAsia" w:ascii="游ゴシック" w:hAnsi="游ゴシック" w:eastAsia="游ゴシック"/>
        <w:b w:val="1"/>
        <w:sz w:val="28"/>
        <w:bdr w:val="single" w:color="auto" w:sz="4" w:space="0"/>
      </w:rPr>
      <w:t>資料１</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令和６年１月</w:t>
    </w:r>
    <w:r>
      <w:rPr>
        <w:rFonts w:hint="eastAsia"/>
      </w:rPr>
      <w:t>23</w:t>
    </w:r>
    <w:r>
      <w:rPr>
        <w:rFonts w:hint="eastAsia"/>
      </w:rPr>
      <w:t>日開催第３回高知県障害者施策推進協議会　会議資料</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displayBackgroundShape/>
  <w:bordersDoNotSurroundHeader/>
  <w:bordersDoNotSurroundFooter/>
  <w:defaultTabStop w:val="720"/>
  <w:doNotHyphenateCaps/>
  <w:drawingGridHorizontalSpacing w:val="1228"/>
  <w:drawingGridVerticalSpacing w:val="387"/>
  <w:displayHorizontalDrawingGridEvery w:val="0"/>
  <w:doNotUseMarginsForDrawingGridOrigin/>
  <w:doNotShadeFormData/>
  <w:noPunctuationKerning/>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rPr>
  </w:style>
  <w:style w:type="character" w:styleId="18">
    <w:name w:val="annotation reference"/>
    <w:next w:val="18"/>
    <w:link w:val="0"/>
    <w:uiPriority w:val="0"/>
    <w:semiHidden/>
    <w:rPr>
      <w:sz w:val="18"/>
    </w:rPr>
  </w:style>
  <w:style w:type="paragraph" w:styleId="19">
    <w:name w:val="annotation text"/>
    <w:basedOn w:val="0"/>
    <w:next w:val="19"/>
    <w:link w:val="20"/>
    <w:uiPriority w:val="0"/>
    <w:semiHidden/>
  </w:style>
  <w:style w:type="character" w:styleId="20" w:customStyle="1">
    <w:name w:val="コメント文字列 (文字)"/>
    <w:next w:val="20"/>
    <w:link w:val="19"/>
    <w:uiPriority w:val="0"/>
    <w:qFormat/>
    <w:rPr>
      <w:rFonts w:ascii="ＭＳ 明朝" w:hAnsi="ＭＳ 明朝"/>
      <w:color w:val="000000"/>
      <w:sz w:val="22"/>
    </w:rPr>
  </w:style>
  <w:style w:type="paragraph" w:styleId="21">
    <w:name w:val="annotation subject"/>
    <w:basedOn w:val="19"/>
    <w:next w:val="19"/>
    <w:link w:val="22"/>
    <w:uiPriority w:val="0"/>
    <w:semiHidden/>
    <w:rPr>
      <w:b w:val="1"/>
    </w:rPr>
  </w:style>
  <w:style w:type="character" w:styleId="22" w:customStyle="1">
    <w:name w:val="コメント内容 (文字)"/>
    <w:next w:val="22"/>
    <w:link w:val="21"/>
    <w:uiPriority w:val="0"/>
    <w:qFormat/>
    <w:rPr>
      <w:rFonts w:ascii="ＭＳ 明朝" w:hAnsi="ＭＳ 明朝"/>
      <w:b w:val="1"/>
      <w:color w:val="000000"/>
      <w:sz w:val="22"/>
    </w:rPr>
  </w:style>
  <w:style w:type="paragraph" w:styleId="23">
    <w:name w:val="Balloon Text"/>
    <w:basedOn w:val="0"/>
    <w:next w:val="23"/>
    <w:link w:val="0"/>
    <w:uiPriority w:val="0"/>
    <w:semiHidden/>
    <w:rPr>
      <w:rFonts w:ascii="游ゴシック Light" w:hAnsi="游ゴシック Light" w:eastAsia="游ゴシック Light"/>
      <w:sz w:val="18"/>
    </w:rPr>
  </w:style>
  <w:style w:type="character" w:styleId="24">
    <w:name w:val="page number"/>
    <w:basedOn w:val="10"/>
    <w:next w:val="24"/>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1192</TotalTime>
  <Pages>7</Pages>
  <Words>27</Words>
  <Characters>6614</Characters>
  <Application>JUST Note</Application>
  <Lines>237</Lines>
  <Paragraphs>119</Paragraphs>
  <CharactersWithSpaces>6717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作成例（議案本文）</dc:title>
  <dc:creator>事務局</dc:creator>
  <cp:lastModifiedBy>438483</cp:lastModifiedBy>
  <cp:lastPrinted>2024-01-19T04:21:22Z</cp:lastPrinted>
  <dcterms:created xsi:type="dcterms:W3CDTF">2023-12-22T01:35:00Z</dcterms:created>
  <dcterms:modified xsi:type="dcterms:W3CDTF">2024-03-13T13:44:58Z</dcterms:modified>
  <cp:revision>16</cp:revision>
</cp:coreProperties>
</file>