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事務連絡</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sz w:val="24"/>
          <w:szCs w:val="24"/>
          <w:shd w:val="clear" w:color="auto" w:fill="auto"/>
          <w:lang w:val="en-US" w:eastAsia="en-US" w:bidi="en-US"/>
        </w:rPr>
        <w:t>令和２年３月１０日</w:t>
      </w:r>
    </w:p>
    <w:p>
      <w:pPr>
        <w:pStyle w:val="Style2"/>
        <w:keepNext w:val="0"/>
        <w:keepLines w:val="0"/>
        <w:widowControl w:val="0"/>
        <w:shd w:val="clear" w:color="auto" w:fill="auto"/>
        <w:bidi w:val="0"/>
        <w:spacing w:before="0" w:line="240" w:lineRule="auto"/>
        <w:ind w:left="500" w:right="0" w:firstLine="0"/>
        <w:jc w:val="left"/>
      </w:pPr>
      <w:r>
        <w:rPr>
          <w:color w:val="000000"/>
          <w:spacing w:val="0"/>
          <w:w w:val="100"/>
          <w:position w:val="0"/>
          <w:sz w:val="24"/>
          <w:szCs w:val="24"/>
          <w:shd w:val="clear" w:color="auto" w:fill="auto"/>
        </w:rPr>
        <w:t>都道府県</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各 指定都市 民生主管部(局) 御中</w:t>
      </w:r>
    </w:p>
    <w:p>
      <w:pPr>
        <w:pStyle w:val="Style2"/>
        <w:keepNext w:val="0"/>
        <w:keepLines w:val="0"/>
        <w:widowControl w:val="0"/>
        <w:shd w:val="clear" w:color="auto" w:fill="auto"/>
        <w:bidi w:val="0"/>
        <w:spacing w:before="0" w:after="480" w:line="240" w:lineRule="auto"/>
        <w:ind w:left="500" w:right="0" w:firstLine="0"/>
        <w:jc w:val="left"/>
      </w:pPr>
      <w:r>
        <w:rPr>
          <w:color w:val="000000"/>
          <w:spacing w:val="0"/>
          <w:w w:val="100"/>
          <w:position w:val="0"/>
          <w:sz w:val="24"/>
          <w:szCs w:val="24"/>
          <w:shd w:val="clear" w:color="auto" w:fill="auto"/>
        </w:rPr>
        <w:t>中核市</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厚生労働省社会・援護局障害保健福祉部企画課</w:t>
      </w:r>
    </w:p>
    <w:p>
      <w:pPr>
        <w:pStyle w:val="Style2"/>
        <w:keepNext w:val="0"/>
        <w:keepLines w:val="0"/>
        <w:widowControl w:val="0"/>
        <w:shd w:val="clear" w:color="auto" w:fill="auto"/>
        <w:bidi w:val="0"/>
        <w:spacing w:before="0" w:after="1200" w:line="240" w:lineRule="auto"/>
        <w:ind w:left="0" w:right="0" w:firstLine="0"/>
        <w:jc w:val="right"/>
      </w:pPr>
      <w:r>
        <w:rPr>
          <w:color w:val="000000"/>
          <w:spacing w:val="0"/>
          <w:w w:val="100"/>
          <w:position w:val="0"/>
          <w:sz w:val="24"/>
          <w:szCs w:val="24"/>
          <w:shd w:val="clear" w:color="auto" w:fill="auto"/>
        </w:rPr>
        <w:t>厚生労働省社会・援護局障害保健福祉部障害福祉課</w:t>
      </w:r>
    </w:p>
    <w:p>
      <w:pPr>
        <w:pStyle w:val="Style2"/>
        <w:keepNext w:val="0"/>
        <w:keepLines w:val="0"/>
        <w:widowControl w:val="0"/>
        <w:shd w:val="clear" w:color="auto" w:fill="auto"/>
        <w:bidi w:val="0"/>
        <w:spacing w:before="0" w:line="240" w:lineRule="auto"/>
        <w:ind w:left="0" w:right="100" w:firstLine="0"/>
        <w:jc w:val="center"/>
      </w:pPr>
      <w:r>
        <w:rPr>
          <w:color w:val="000000"/>
          <w:spacing w:val="0"/>
          <w:w w:val="100"/>
          <w:position w:val="0"/>
          <w:sz w:val="24"/>
          <w:szCs w:val="24"/>
          <w:shd w:val="clear" w:color="auto" w:fill="auto"/>
        </w:rPr>
        <w:t>新型コロナウイルス感染症防止のための小学校等の臨時休業に関連した</w:t>
      </w:r>
    </w:p>
    <w:p>
      <w:pPr>
        <w:pStyle w:val="Style2"/>
        <w:keepNext w:val="0"/>
        <w:keepLines w:val="0"/>
        <w:widowControl w:val="0"/>
        <w:shd w:val="clear" w:color="auto" w:fill="auto"/>
        <w:bidi w:val="0"/>
        <w:spacing w:before="0" w:after="840" w:line="240" w:lineRule="auto"/>
        <w:ind w:left="0" w:right="100" w:firstLine="0"/>
        <w:jc w:val="center"/>
      </w:pPr>
      <w:r>
        <w:rPr>
          <w:color w:val="000000"/>
          <w:spacing w:val="0"/>
          <w:w w:val="100"/>
          <w:position w:val="0"/>
          <w:sz w:val="24"/>
          <w:szCs w:val="24"/>
          <w:shd w:val="clear" w:color="auto" w:fill="auto"/>
        </w:rPr>
        <w:t>障害福祉サービス等事業所職員の子どもの預かりについて</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今般、新型コロナウイルス感染症の発生に伴い、多くの子どもたちや教職員が日常的に長</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時間集まることによる感染リスクにあらかじめ備える観点から、全国全ての小学校、中学校、</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高等学校、特別支援学校について、令和２年３月２日から春休みまで、臨時休業を行うよう</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政府から要請を行ったところです。</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これに伴い、保護者が労働等により昼間家庭にいない子どもについて、特に小学校低学年</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の子ども等については、留守番が困難な場合や、保護者が休暇を取得することが困難な場合</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も想定されます。</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このため、今回の臨時休業に際して、介護施設・事業所に勤務する職員の子どもの受け入</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れについては、別添の通り、介護施設・事業所内保育施設の活用について事務連絡が発出さ</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れていますが、今般の事情に鑑み、当該事務連絡による取組を行うに際し、</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rPr>
        <w:t>同一法人内の他の種別の施設・事業所に勤務する職員の子どもを受け入れること</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rPr>
        <w:t>地域の中核となる介護施設・事業所で地域の介護職員の子どもを受け入れている法人が</w:t>
      </w:r>
    </w:p>
    <w:p>
      <w:pPr>
        <w:pStyle w:val="Style2"/>
        <w:keepNext w:val="0"/>
        <w:keepLines w:val="0"/>
        <w:widowControl w:val="0"/>
        <w:shd w:val="clear" w:color="auto" w:fill="auto"/>
        <w:bidi w:val="0"/>
        <w:spacing w:before="0" w:line="240" w:lineRule="auto"/>
        <w:ind w:left="260" w:right="0" w:firstLine="0"/>
        <w:jc w:val="left"/>
      </w:pPr>
      <w:r>
        <w:rPr>
          <w:color w:val="000000"/>
          <w:spacing w:val="0"/>
          <w:w w:val="100"/>
          <w:position w:val="0"/>
          <w:sz w:val="24"/>
          <w:szCs w:val="24"/>
          <w:shd w:val="clear" w:color="auto" w:fill="auto"/>
        </w:rPr>
        <w:t>地域の他の種別の施設・事業所に勤務する職員の子どもを受け入れること</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など、柔軟に既存資源を活用いただくことも可能となっているため、管内市区町村、関係機</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関、関係団体等に対して周知をお願いいたします。</w:t>
      </w:r>
    </w:p>
    <w:p>
      <w:pPr>
        <w:pStyle w:val="Style2"/>
        <w:keepNext w:val="0"/>
        <w:keepLines w:val="0"/>
        <w:widowControl w:val="0"/>
        <w:shd w:val="clear" w:color="auto" w:fill="auto"/>
        <w:bidi w:val="0"/>
        <w:spacing w:before="0" w:line="240" w:lineRule="auto"/>
        <w:ind w:left="260" w:right="0" w:firstLine="0"/>
        <w:jc w:val="left"/>
        <w:sectPr>
          <w:footnotePr>
            <w:pos w:val="pageBottom"/>
            <w:numFmt w:val="decimal"/>
            <w:numRestart w:val="continuous"/>
          </w:footnotePr>
          <w:pgSz w:w="11900" w:h="16840"/>
          <w:pgMar w:top="1474" w:left="1047" w:right="932" w:bottom="1474" w:header="0" w:footer="3" w:gutter="0"/>
          <w:pgNumType w:start="1"/>
          <w:cols w:space="720"/>
          <w:noEndnote/>
          <w:rtlGutter w:val="0"/>
          <w:docGrid w:linePitch="360"/>
        </w:sectPr>
      </w:pPr>
      <w:r>
        <w:rPr>
          <w:color w:val="000000"/>
          <w:spacing w:val="0"/>
          <w:w w:val="100"/>
          <w:position w:val="0"/>
          <w:sz w:val="24"/>
          <w:szCs w:val="24"/>
          <w:shd w:val="clear" w:color="auto" w:fill="auto"/>
        </w:rPr>
        <w:t>なお、本件については、厚生労働省老健局と協議済みであることを申し添えます。</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事務連絡</w:t>
      </w:r>
    </w:p>
    <w:p>
      <w:pPr>
        <w:pStyle w:val="Style2"/>
        <w:keepNext w:val="0"/>
        <w:keepLines w:val="0"/>
        <w:widowControl w:val="0"/>
        <w:shd w:val="clear" w:color="auto" w:fill="auto"/>
        <w:bidi w:val="0"/>
        <w:spacing w:before="0" w:after="820" w:line="240" w:lineRule="auto"/>
        <w:ind w:left="0" w:right="0" w:firstLine="0"/>
        <w:jc w:val="right"/>
      </w:pPr>
      <w:r>
        <w:rPr>
          <w:color w:val="000000"/>
          <w:spacing w:val="0"/>
          <w:w w:val="100"/>
          <w:position w:val="0"/>
          <w:sz w:val="24"/>
          <w:szCs w:val="24"/>
          <w:shd w:val="clear" w:color="auto" w:fill="auto"/>
          <w:lang w:val="en-US" w:eastAsia="en-US" w:bidi="en-US"/>
        </w:rPr>
        <w:t xml:space="preserve">令和２年３月 </w:t>
      </w:r>
      <w:r>
        <w:rPr>
          <w:rFonts w:ascii="Century" w:eastAsia="Century" w:hAnsi="Century" w:cs="Century"/>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rPr>
        <w:t>日</w:t>
      </w:r>
    </w:p>
    <w:p>
      <w:pPr>
        <w:pStyle w:val="Style2"/>
        <w:keepNext w:val="0"/>
        <w:keepLines w:val="0"/>
        <w:widowControl w:val="0"/>
        <w:shd w:val="clear" w:color="auto" w:fill="auto"/>
        <w:bidi w:val="0"/>
        <w:spacing w:before="0" w:after="820" w:line="240" w:lineRule="auto"/>
        <w:ind w:left="0" w:right="0" w:firstLine="0"/>
        <w:jc w:val="left"/>
      </w:pPr>
      <w:r>
        <w:rPr>
          <w:color w:val="000000"/>
          <w:spacing w:val="0"/>
          <w:w w:val="100"/>
          <w:position w:val="0"/>
          <w:sz w:val="24"/>
          <w:szCs w:val="24"/>
          <w:shd w:val="clear" w:color="auto" w:fill="auto"/>
        </w:rPr>
        <w:t>各都道府県地域医療介護総合確保基金(介護従事者確保分)担当課 御中</w:t>
      </w:r>
    </w:p>
    <w:p>
      <w:pPr>
        <w:pStyle w:val="Style2"/>
        <w:keepNext w:val="0"/>
        <w:keepLines w:val="0"/>
        <w:widowControl w:val="0"/>
        <w:shd w:val="clear" w:color="auto" w:fill="auto"/>
        <w:bidi w:val="0"/>
        <w:spacing w:before="0" w:line="240" w:lineRule="auto"/>
        <w:ind w:left="0" w:right="360" w:firstLine="0"/>
        <w:jc w:val="right"/>
      </w:pPr>
      <w:r>
        <w:rPr>
          <w:color w:val="000000"/>
          <w:spacing w:val="0"/>
          <w:w w:val="100"/>
          <w:position w:val="0"/>
          <w:sz w:val="24"/>
          <w:szCs w:val="24"/>
          <w:shd w:val="clear" w:color="auto" w:fill="auto"/>
        </w:rPr>
        <w:t>厚生労働省社会・援護局福祉基盤課</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福祉人材確保対策室</w:t>
      </w:r>
    </w:p>
    <w:p>
      <w:pPr>
        <w:pStyle w:val="Style2"/>
        <w:keepNext w:val="0"/>
        <w:keepLines w:val="0"/>
        <w:widowControl w:val="0"/>
        <w:shd w:val="clear" w:color="auto" w:fill="auto"/>
        <w:bidi w:val="0"/>
        <w:spacing w:before="0" w:after="820" w:line="240" w:lineRule="auto"/>
        <w:ind w:left="0" w:right="360" w:firstLine="0"/>
        <w:jc w:val="right"/>
      </w:pPr>
      <w:r>
        <w:rPr>
          <w:color w:val="000000"/>
          <w:spacing w:val="0"/>
          <w:w w:val="100"/>
          <w:position w:val="0"/>
          <w:sz w:val="24"/>
          <w:szCs w:val="24"/>
          <w:shd w:val="clear" w:color="auto" w:fill="auto"/>
        </w:rPr>
        <w:t>老健局振興課</w:t>
      </w:r>
    </w:p>
    <w:p>
      <w:pPr>
        <w:pStyle w:val="Style2"/>
        <w:keepNext w:val="0"/>
        <w:keepLines w:val="0"/>
        <w:widowControl w:val="0"/>
        <w:shd w:val="clear" w:color="auto" w:fill="auto"/>
        <w:bidi w:val="0"/>
        <w:spacing w:before="0" w:line="240" w:lineRule="auto"/>
        <w:ind w:left="0" w:right="80" w:firstLine="0"/>
        <w:jc w:val="center"/>
      </w:pPr>
      <w:r>
        <w:rPr>
          <w:color w:val="000000"/>
          <w:spacing w:val="0"/>
          <w:w w:val="100"/>
          <w:position w:val="0"/>
          <w:sz w:val="24"/>
          <w:szCs w:val="24"/>
          <w:shd w:val="clear" w:color="auto" w:fill="auto"/>
        </w:rPr>
        <w:t>新型コロナウイルス感染症防止のための小学校等の臨時休業に関連した</w:t>
      </w:r>
    </w:p>
    <w:p>
      <w:pPr>
        <w:pStyle w:val="Style2"/>
        <w:keepNext w:val="0"/>
        <w:keepLines w:val="0"/>
        <w:widowControl w:val="0"/>
        <w:shd w:val="clear" w:color="auto" w:fill="auto"/>
        <w:bidi w:val="0"/>
        <w:spacing w:before="0" w:after="820" w:line="240" w:lineRule="auto"/>
        <w:ind w:left="0" w:right="80" w:firstLine="0"/>
        <w:jc w:val="center"/>
      </w:pPr>
      <w:r>
        <w:rPr>
          <w:color w:val="000000"/>
          <w:spacing w:val="0"/>
          <w:w w:val="100"/>
          <w:position w:val="0"/>
          <w:sz w:val="24"/>
          <w:szCs w:val="24"/>
          <w:shd w:val="clear" w:color="auto" w:fill="auto"/>
        </w:rPr>
        <w:t>介護施設・事業所内保育施設の活用について</w:t>
      </w:r>
    </w:p>
    <w:p>
      <w:pPr>
        <w:pStyle w:val="Style2"/>
        <w:keepNext w:val="0"/>
        <w:keepLines w:val="0"/>
        <w:widowControl w:val="0"/>
        <w:shd w:val="clear" w:color="auto" w:fill="auto"/>
        <w:bidi w:val="0"/>
        <w:spacing w:before="0" w:line="240" w:lineRule="auto"/>
        <w:ind w:left="260" w:right="0" w:firstLine="0"/>
        <w:jc w:val="left"/>
      </w:pPr>
      <w:r>
        <w:rPr>
          <w:color w:val="000000"/>
          <w:spacing w:val="0"/>
          <w:w w:val="100"/>
          <w:position w:val="0"/>
          <w:sz w:val="24"/>
          <w:szCs w:val="24"/>
          <w:shd w:val="clear" w:color="auto" w:fill="auto"/>
        </w:rPr>
        <w:t>日頃より、介護保険行政に御尽力いただき、厚く御礼申し上げます。</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今般、新型コロナウイルス感染症の発生に伴い、多くの子どもたちや教職員が日常的に長</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時間集まることによる感染リスクにあらかじめ備える観点から、全国全ての小学校、中学校、</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en-US" w:eastAsia="en-US" w:bidi="en-US"/>
        </w:rPr>
        <w:t>高等学校、特別支援学校について、令和２年３月２日から春休みまで、臨時休業を行うよう</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政府から要請を行ったところです。</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これに伴い、保護者が労働等により昼間家庭にいない子どもについて、特に小学校低学年</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の子ども等については、留守番が困難な場合や、保護者が休暇を取得することが困難な場合</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も想定されます。</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このため、今回の臨時休業に際して、子どもの居場所確保に向けた体制を確保する観点か</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ら、地域医療介護総合確保基金の「介護従事者の子育て支援のための施設内保育施設運営支</w:t>
      </w:r>
    </w:p>
    <w:p>
      <w:pPr>
        <w:pStyle w:val="Style2"/>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rPr>
        <w:t>援事業」を活用し、学童保育(小学校低学年)についての受入も可能でありますので、各都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道府県担当課におかれては、改めて御理解のうえ、本事業を積極的に活用いただくとともに、</w:t>
      </w:r>
    </w:p>
    <w:p>
      <w:pPr>
        <w:pStyle w:val="Style2"/>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pgSz w:w="11900" w:h="16840"/>
          <w:pgMar w:top="1474" w:left="1047" w:right="932" w:bottom="1474" w:header="0" w:footer="3" w:gutter="0"/>
          <w:cols w:space="720"/>
          <w:noEndnote/>
          <w:rtlGutter w:val="0"/>
          <w:docGrid w:linePitch="360"/>
        </w:sectPr>
      </w:pPr>
      <w:r>
        <w:rPr>
          <w:color w:val="000000"/>
          <w:spacing w:val="0"/>
          <w:w w:val="100"/>
          <w:position w:val="0"/>
          <w:sz w:val="24"/>
          <w:szCs w:val="24"/>
          <w:shd w:val="clear" w:color="auto" w:fill="auto"/>
        </w:rPr>
        <w:t>管内市区町村、関係機関、関係団体等に対して周知をお願いいたします。</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r>
        <w:rPr>
          <w:color w:val="000000"/>
          <w:spacing w:val="0"/>
          <w:w w:val="100"/>
          <w:position w:val="0"/>
          <w:sz w:val="24"/>
          <w:szCs w:val="24"/>
          <w:shd w:val="clear" w:color="auto" w:fill="auto"/>
        </w:rPr>
        <w:t>(</w:t>
      </w:r>
      <w:r>
        <w:rPr>
          <w:spacing w:val="0"/>
          <w:w w:val="100"/>
          <w:position w:val="0"/>
          <w:sz w:val="24"/>
          <w:szCs w:val="24"/>
          <w:shd w:val="clear" w:color="auto" w:fill="auto"/>
        </w:rPr>
        <w:t>参考</w:t>
      </w:r>
      <w:r>
        <w:rPr>
          <w:color w:val="000000"/>
          <w:spacing w:val="0"/>
          <w:w w:val="100"/>
          <w:position w:val="0"/>
          <w:sz w:val="24"/>
          <w:szCs w:val="24"/>
          <w:shd w:val="clear" w:color="auto" w:fill="auto"/>
        </w:rPr>
        <w:t>)</w:t>
      </w:r>
      <w:r>
        <w:rPr>
          <w:spacing w:val="0"/>
          <w:w w:val="100"/>
          <w:position w:val="0"/>
          <w:sz w:val="24"/>
          <w:szCs w:val="24"/>
          <w:shd w:val="clear" w:color="auto" w:fill="auto"/>
        </w:rPr>
        <w:t>地域医療介護総合確保基金における取組</w:t>
      </w:r>
    </w:p>
    <w:p>
      <w:pPr>
        <w:pStyle w:val="Style8"/>
        <w:keepNext/>
        <w:keepLines/>
        <w:widowControl w:val="0"/>
        <w:shd w:val="clear" w:color="auto" w:fill="auto"/>
        <w:bidi w:val="0"/>
        <w:spacing w:before="0" w:after="300" w:line="240" w:lineRule="auto"/>
        <w:ind w:left="0" w:right="60" w:firstLine="0"/>
        <w:jc w:val="center"/>
        <w:rPr>
          <w:sz w:val="36"/>
          <w:szCs w:val="36"/>
        </w:rPr>
      </w:pPr>
      <w:bookmarkStart w:id="0" w:name="bookmark0"/>
      <w:r>
        <w:rPr>
          <w:rFonts w:ascii="MS PGothic" w:eastAsia="MS PGothic" w:hAnsi="MS PGothic" w:cs="MS PGothic"/>
          <w:b/>
          <w:bCs/>
          <w:color w:val="000000"/>
          <w:spacing w:val="0"/>
          <w:w w:val="100"/>
          <w:position w:val="0"/>
          <w:sz w:val="36"/>
          <w:szCs w:val="36"/>
          <w:shd w:val="clear" w:color="auto" w:fill="auto"/>
        </w:rPr>
        <w:t>介護施設・事業所内保育施設の整備・開設・運営の一体的な支援</w:t>
      </w:r>
      <w:bookmarkEnd w:id="0"/>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介護人材の離職理由において、「出産・育児と両立できない」との理由が上位となっており、介護職</w:t>
      </w:r>
    </w:p>
    <w:p>
      <w:pPr>
        <w:pStyle w:val="Style11"/>
        <w:keepNext w:val="0"/>
        <w:keepLines w:val="0"/>
        <w:widowControl w:val="0"/>
        <w:shd w:val="clear" w:color="auto" w:fill="auto"/>
        <w:bidi w:val="0"/>
        <w:spacing w:before="0" w:after="100" w:line="240" w:lineRule="auto"/>
        <w:ind w:left="620" w:right="0" w:firstLine="0"/>
        <w:jc w:val="left"/>
      </w:pPr>
      <w:r>
        <w:rPr>
          <w:color w:val="000000"/>
          <w:spacing w:val="0"/>
          <w:w w:val="100"/>
          <w:position w:val="0"/>
          <w:shd w:val="clear" w:color="auto" w:fill="auto"/>
        </w:rPr>
        <w:t>員が子育てをしながら働き続けることのできる環境整備が重要。</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このため、介護施設・事業所内保育施設の設置を加速化するため整備・開設・運営の一体的支援を講</w:t>
      </w:r>
    </w:p>
    <w:p>
      <w:pPr>
        <w:pStyle w:val="Style11"/>
        <w:keepNext w:val="0"/>
        <w:keepLines w:val="0"/>
        <w:widowControl w:val="0"/>
        <w:shd w:val="clear" w:color="auto" w:fill="auto"/>
        <w:bidi w:val="0"/>
        <w:spacing w:before="0" w:after="0" w:line="240" w:lineRule="auto"/>
        <w:ind w:left="620" w:right="0" w:firstLine="0"/>
        <w:jc w:val="left"/>
        <w:sectPr>
          <w:footnotePr>
            <w:pos w:val="pageBottom"/>
            <w:numFmt w:val="decimal"/>
            <w:numRestart w:val="continuous"/>
          </w:footnotePr>
          <w:pgSz w:w="15595" w:h="10800" w:orient="landscape"/>
          <w:pgMar w:top="288" w:left="437" w:right="725" w:bottom="35" w:header="0" w:footer="3" w:gutter="0"/>
          <w:cols w:space="720"/>
          <w:noEndnote/>
          <w:rtlGutter w:val="0"/>
          <w:docGrid w:linePitch="360"/>
        </w:sectPr>
      </w:pPr>
      <w:r>
        <w:rPr>
          <w:color w:val="000000"/>
          <w:spacing w:val="0"/>
          <w:w w:val="100"/>
          <w:position w:val="0"/>
          <w:shd w:val="clear" w:color="auto" w:fill="auto"/>
        </w:rPr>
        <w:t>じる。</w:t>
      </w: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5595" w:h="10800" w:orient="landscape"/>
          <w:pgMar w:top="288" w:left="0" w:right="0" w:bottom="35" w:header="0" w:footer="3" w:gutter="0"/>
          <w:cols w:space="720"/>
          <w:noEndnote/>
          <w:rtlGutter w:val="0"/>
          <w:docGrid w:linePitch="360"/>
        </w:sectPr>
      </w:pPr>
    </w:p>
    <w:p>
      <w:pPr>
        <w:widowControl w:val="0"/>
        <w:spacing w:line="1" w:lineRule="exact"/>
      </w:pPr>
      <w:r>
        <mc:AlternateContent>
          <mc:Choice Requires="wps">
            <w:drawing>
              <wp:anchor distT="487680" distB="0" distL="114300" distR="114300" simplePos="0" relativeHeight="125829378" behindDoc="0" locked="0" layoutInCell="1" allowOverlap="1">
                <wp:simplePos x="0" y="0"/>
                <wp:positionH relativeFrom="page">
                  <wp:posOffset>494030</wp:posOffset>
                </wp:positionH>
                <wp:positionV relativeFrom="paragraph">
                  <wp:posOffset>500380</wp:posOffset>
                </wp:positionV>
                <wp:extent cx="4148455" cy="3660775"/>
                <wp:wrapSquare wrapText="bothSides"/>
                <wp:docPr id="1" name="Shape 1"/>
                <a:graphic xmlns:a="http://schemas.openxmlformats.org/drawingml/2006/main">
                  <a:graphicData uri="http://schemas.microsoft.com/office/word/2010/wordprocessingShape">
                    <wps:wsp>
                      <wps:cNvSpPr txBox="1"/>
                      <wps:spPr>
                        <a:xfrm>
                          <a:ext cx="4148455" cy="3660775"/>
                        </a:xfrm>
                        <a:prstGeom prst="rect"/>
                        <a:noFill/>
                      </wps:spPr>
                      <wps:txbx>
                        <w:txbxContent>
                          <w:tbl>
                            <w:tblPr>
                              <w:tblOverlap w:val="never"/>
                              <w:jc w:val="left"/>
                              <w:tblLayout w:type="fixed"/>
                            </w:tblPr>
                            <w:tblGrid>
                              <w:gridCol w:w="677"/>
                              <w:gridCol w:w="682"/>
                              <w:gridCol w:w="5174"/>
                            </w:tblGrid>
                            <w:tr>
                              <w:trPr>
                                <w:tblHeader/>
                                <w:trHeight w:val="1776" w:hRule="exact"/>
                              </w:trPr>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地</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域</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医</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療</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介</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護</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総</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合</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確</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保</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基</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金</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施</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設</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整</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備</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分</w:t>
                                  </w:r>
                                </w:p>
                              </w:tc>
                              <w:tc>
                                <w:tcPr>
                                  <w:tcBorders>
                                    <w:top w:val="single" w:sz="4"/>
                                    <w:left w:val="single" w:sz="4"/>
                                    <w:right w:val="single" w:sz="4"/>
                                  </w:tcBorders>
                                  <w:shd w:val="clear" w:color="auto" w:fill="ECF0DF"/>
                                  <w:vAlign w:val="center"/>
                                </w:tcPr>
                                <w:p>
                                  <w:pPr>
                                    <w:pStyle w:val="Style13"/>
                                    <w:keepNext w:val="0"/>
                                    <w:keepLines w:val="0"/>
                                    <w:widowControl w:val="0"/>
                                    <w:shd w:val="clear" w:color="auto" w:fill="auto"/>
                                    <w:bidi w:val="0"/>
                                    <w:spacing w:before="0" w:after="160" w:line="240" w:lineRule="auto"/>
                                    <w:ind w:left="160" w:right="0" w:firstLine="0"/>
                                    <w:jc w:val="left"/>
                                    <w:rPr>
                                      <w:sz w:val="28"/>
                                      <w:szCs w:val="28"/>
                                    </w:rPr>
                                  </w:pPr>
                                  <w:r>
                                    <w:rPr>
                                      <w:rFonts w:ascii="MS PGothic" w:eastAsia="MS PGothic" w:hAnsi="MS PGothic" w:cs="MS PGothic"/>
                                      <w:color w:val="000000"/>
                                      <w:spacing w:val="0"/>
                                      <w:w w:val="100"/>
                                      <w:position w:val="0"/>
                                      <w:sz w:val="28"/>
                                      <w:szCs w:val="28"/>
                                      <w:shd w:val="clear" w:color="auto" w:fill="auto"/>
                                      <w:lang w:val="en-US" w:eastAsia="en-US" w:bidi="en-US"/>
                                    </w:rPr>
                                    <w:t xml:space="preserve">○ </w:t>
                                  </w:r>
                                  <w:r>
                                    <w:rPr>
                                      <w:rFonts w:ascii="MS PGothic" w:eastAsia="MS PGothic" w:hAnsi="MS PGothic" w:cs="MS PGothic"/>
                                      <w:color w:val="000000"/>
                                      <w:spacing w:val="0"/>
                                      <w:w w:val="100"/>
                                      <w:position w:val="0"/>
                                      <w:sz w:val="28"/>
                                      <w:szCs w:val="28"/>
                                      <w:shd w:val="clear" w:color="auto" w:fill="auto"/>
                                    </w:rPr>
                                    <w:t>整備に要する経費</w:t>
                                  </w:r>
                                </w:p>
                                <w:p>
                                  <w:pPr>
                                    <w:pStyle w:val="Style13"/>
                                    <w:keepNext w:val="0"/>
                                    <w:keepLines w:val="0"/>
                                    <w:widowControl w:val="0"/>
                                    <w:shd w:val="clear" w:color="auto" w:fill="auto"/>
                                    <w:bidi w:val="0"/>
                                    <w:spacing w:before="0" w:after="0" w:line="240" w:lineRule="auto"/>
                                    <w:ind w:left="0" w:right="0" w:firstLine="0"/>
                                    <w:jc w:val="center"/>
                                    <w:rPr>
                                      <w:sz w:val="26"/>
                                      <w:szCs w:val="26"/>
                                    </w:rPr>
                                  </w:pPr>
                                  <w:r>
                                    <w:rPr>
                                      <w:rFonts w:ascii="MS PGothic" w:eastAsia="MS PGothic" w:hAnsi="MS PGothic" w:cs="MS PGothic"/>
                                      <w:b/>
                                      <w:bCs/>
                                      <w:color w:val="000000"/>
                                      <w:spacing w:val="0"/>
                                      <w:w w:val="100"/>
                                      <w:position w:val="0"/>
                                      <w:sz w:val="26"/>
                                      <w:szCs w:val="26"/>
                                      <w:shd w:val="clear" w:color="auto" w:fill="auto"/>
                                    </w:rPr>
                                    <w:t>配分基礎単価 11,700(11,900)千円／施設</w:t>
                                  </w:r>
                                </w:p>
                              </w:tc>
                            </w:tr>
                            <w:tr>
                              <w:trPr>
                                <w:trHeight w:val="31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r>
                            <w:tr>
                              <w:trPr>
                                <w:trHeight w:val="164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ECF0DF"/>
                                  <w:vAlign w:val="center"/>
                                </w:tcPr>
                                <w:p>
                                  <w:pPr>
                                    <w:pStyle w:val="Style13"/>
                                    <w:keepNext w:val="0"/>
                                    <w:keepLines w:val="0"/>
                                    <w:widowControl w:val="0"/>
                                    <w:shd w:val="clear" w:color="auto" w:fill="auto"/>
                                    <w:bidi w:val="0"/>
                                    <w:spacing w:before="0" w:line="240" w:lineRule="auto"/>
                                    <w:ind w:left="160" w:right="0" w:firstLine="0"/>
                                    <w:jc w:val="left"/>
                                    <w:rPr>
                                      <w:sz w:val="28"/>
                                      <w:szCs w:val="28"/>
                                    </w:rPr>
                                  </w:pPr>
                                  <w:r>
                                    <w:rPr>
                                      <w:rFonts w:ascii="MS PGothic" w:eastAsia="MS PGothic" w:hAnsi="MS PGothic" w:cs="MS PGothic"/>
                                      <w:color w:val="000000"/>
                                      <w:spacing w:val="0"/>
                                      <w:w w:val="100"/>
                                      <w:position w:val="0"/>
                                      <w:sz w:val="28"/>
                                      <w:szCs w:val="28"/>
                                      <w:shd w:val="clear" w:color="auto" w:fill="auto"/>
                                      <w:lang w:val="en-US" w:eastAsia="en-US" w:bidi="en-US"/>
                                    </w:rPr>
                                    <w:t xml:space="preserve">○ </w:t>
                                  </w:r>
                                  <w:r>
                                    <w:rPr>
                                      <w:rFonts w:ascii="MS PGothic" w:eastAsia="MS PGothic" w:hAnsi="MS PGothic" w:cs="MS PGothic"/>
                                      <w:color w:val="000000"/>
                                      <w:spacing w:val="0"/>
                                      <w:w w:val="100"/>
                                      <w:position w:val="0"/>
                                      <w:sz w:val="28"/>
                                      <w:szCs w:val="28"/>
                                      <w:shd w:val="clear" w:color="auto" w:fill="auto"/>
                                    </w:rPr>
                                    <w:t>開設に要する経費</w:t>
                                  </w:r>
                                </w:p>
                                <w:p>
                                  <w:pPr>
                                    <w:pStyle w:val="Style13"/>
                                    <w:keepNext w:val="0"/>
                                    <w:keepLines w:val="0"/>
                                    <w:widowControl w:val="0"/>
                                    <w:shd w:val="clear" w:color="auto" w:fill="auto"/>
                                    <w:bidi w:val="0"/>
                                    <w:spacing w:before="0" w:after="160" w:line="240" w:lineRule="auto"/>
                                    <w:ind w:left="540" w:right="0" w:firstLine="20"/>
                                    <w:jc w:val="left"/>
                                    <w:rPr>
                                      <w:sz w:val="22"/>
                                      <w:szCs w:val="22"/>
                                    </w:rPr>
                                  </w:pPr>
                                  <w:r>
                                    <w:rPr>
                                      <w:rFonts w:ascii="MS PGothic" w:eastAsia="MS PGothic" w:hAnsi="MS PGothic" w:cs="MS PGothic"/>
                                      <w:color w:val="000000"/>
                                      <w:spacing w:val="0"/>
                                      <w:w w:val="100"/>
                                      <w:position w:val="0"/>
                                      <w:sz w:val="22"/>
                                      <w:szCs w:val="22"/>
                                      <w:shd w:val="clear" w:color="auto" w:fill="auto"/>
                                    </w:rPr>
                                    <w:t>※ 遊具、寝具等の初度経費</w:t>
                                  </w:r>
                                </w:p>
                                <w:p>
                                  <w:pPr>
                                    <w:pStyle w:val="Style13"/>
                                    <w:keepNext w:val="0"/>
                                    <w:keepLines w:val="0"/>
                                    <w:widowControl w:val="0"/>
                                    <w:shd w:val="clear" w:color="auto" w:fill="auto"/>
                                    <w:bidi w:val="0"/>
                                    <w:spacing w:before="0" w:after="140" w:line="240" w:lineRule="auto"/>
                                    <w:ind w:left="0" w:right="0" w:firstLine="0"/>
                                    <w:jc w:val="center"/>
                                    <w:rPr>
                                      <w:sz w:val="26"/>
                                      <w:szCs w:val="26"/>
                                    </w:rPr>
                                  </w:pPr>
                                  <w:r>
                                    <w:rPr>
                                      <w:rFonts w:ascii="MS PGothic" w:eastAsia="MS PGothic" w:hAnsi="MS PGothic" w:cs="MS PGothic"/>
                                      <w:b/>
                                      <w:bCs/>
                                      <w:color w:val="000000"/>
                                      <w:spacing w:val="0"/>
                                      <w:w w:val="100"/>
                                      <w:position w:val="0"/>
                                      <w:sz w:val="26"/>
                                      <w:szCs w:val="26"/>
                                      <w:shd w:val="clear" w:color="auto" w:fill="auto"/>
                                    </w:rPr>
                                    <w:t>配分基礎単価 4,120(4,200)千円／施設</w:t>
                                  </w:r>
                                </w:p>
                              </w:tc>
                            </w:tr>
                            <w:tr>
                              <w:trPr>
                                <w:trHeight w:val="312"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r>
                            <w:tr>
                              <w:trPr>
                                <w:trHeight w:val="1723"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人</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材</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確</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保</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分</w:t>
                                  </w:r>
                                </w:p>
                              </w:tc>
                              <w:tc>
                                <w:tcPr>
                                  <w:tcBorders>
                                    <w:top w:val="single" w:sz="4"/>
                                    <w:left w:val="single" w:sz="4"/>
                                    <w:bottom w:val="single" w:sz="4"/>
                                    <w:right w:val="single" w:sz="4"/>
                                  </w:tcBorders>
                                  <w:shd w:val="clear" w:color="auto" w:fill="ECF0DF"/>
                                  <w:vAlign w:val="center"/>
                                </w:tcPr>
                                <w:p>
                                  <w:pPr>
                                    <w:pStyle w:val="Style13"/>
                                    <w:keepNext w:val="0"/>
                                    <w:keepLines w:val="0"/>
                                    <w:widowControl w:val="0"/>
                                    <w:shd w:val="clear" w:color="auto" w:fill="auto"/>
                                    <w:bidi w:val="0"/>
                                    <w:spacing w:before="0" w:after="200" w:line="240" w:lineRule="auto"/>
                                    <w:ind w:left="160" w:right="0" w:firstLine="0"/>
                                    <w:jc w:val="left"/>
                                    <w:rPr>
                                      <w:sz w:val="28"/>
                                      <w:szCs w:val="28"/>
                                    </w:rPr>
                                  </w:pPr>
                                  <w:r>
                                    <w:rPr>
                                      <w:rFonts w:ascii="MS PGothic" w:eastAsia="MS PGothic" w:hAnsi="MS PGothic" w:cs="MS PGothic"/>
                                      <w:color w:val="000000"/>
                                      <w:spacing w:val="0"/>
                                      <w:w w:val="100"/>
                                      <w:position w:val="0"/>
                                      <w:sz w:val="28"/>
                                      <w:szCs w:val="28"/>
                                      <w:shd w:val="clear" w:color="auto" w:fill="auto"/>
                                      <w:lang w:val="en-US" w:eastAsia="en-US" w:bidi="en-US"/>
                                    </w:rPr>
                                    <w:t xml:space="preserve">○ </w:t>
                                  </w:r>
                                  <w:r>
                                    <w:rPr>
                                      <w:rFonts w:ascii="MS PGothic" w:eastAsia="MS PGothic" w:hAnsi="MS PGothic" w:cs="MS PGothic"/>
                                      <w:color w:val="000000"/>
                                      <w:spacing w:val="0"/>
                                      <w:w w:val="100"/>
                                      <w:position w:val="0"/>
                                      <w:sz w:val="28"/>
                                      <w:szCs w:val="28"/>
                                      <w:shd w:val="clear" w:color="auto" w:fill="auto"/>
                                    </w:rPr>
                                    <w:t>運営に要する経費</w:t>
                                  </w:r>
                                </w:p>
                                <w:p>
                                  <w:pPr>
                                    <w:pStyle w:val="Style13"/>
                                    <w:keepNext w:val="0"/>
                                    <w:keepLines w:val="0"/>
                                    <w:widowControl w:val="0"/>
                                    <w:shd w:val="clear" w:color="auto" w:fill="auto"/>
                                    <w:bidi w:val="0"/>
                                    <w:spacing w:before="0" w:after="0" w:line="240" w:lineRule="auto"/>
                                    <w:ind w:left="540" w:right="0" w:firstLine="20"/>
                                    <w:jc w:val="left"/>
                                    <w:rPr>
                                      <w:sz w:val="26"/>
                                      <w:szCs w:val="26"/>
                                    </w:rPr>
                                  </w:pPr>
                                  <w:r>
                                    <w:rPr>
                                      <w:rFonts w:ascii="MS PGothic" w:eastAsia="MS PGothic" w:hAnsi="MS PGothic" w:cs="MS PGothic"/>
                                      <w:b/>
                                      <w:bCs/>
                                      <w:color w:val="000000"/>
                                      <w:spacing w:val="0"/>
                                      <w:w w:val="100"/>
                                      <w:position w:val="0"/>
                                      <w:sz w:val="26"/>
                                      <w:szCs w:val="26"/>
                                      <w:shd w:val="clear" w:color="auto" w:fill="auto"/>
                                    </w:rPr>
                                    <w:t>(都道府県が必要と認める額)</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899999999999999pt;margin-top:39.399999999999999pt;width:326.64999999999998pt;height:288.25pt;z-index:-125829375;mso-wrap-distance-left:9.pt;mso-wrap-distance-top:38.399999999999999pt;mso-wrap-distance-right:9.pt;mso-position-horizontal-relative:page" filled="f" stroked="f">
                <v:textbox inset="0,0,0,0">
                  <w:txbxContent>
                    <w:tbl>
                      <w:tblPr>
                        <w:tblOverlap w:val="never"/>
                        <w:jc w:val="left"/>
                        <w:tblLayout w:type="fixed"/>
                      </w:tblPr>
                      <w:tblGrid>
                        <w:gridCol w:w="677"/>
                        <w:gridCol w:w="682"/>
                        <w:gridCol w:w="5174"/>
                      </w:tblGrid>
                      <w:tr>
                        <w:trPr>
                          <w:tblHeader/>
                          <w:trHeight w:val="1776" w:hRule="exact"/>
                        </w:trPr>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地</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域</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医</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療</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介</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護</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総</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合</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確</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保</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基</w:t>
                            </w:r>
                          </w:p>
                          <w:p>
                            <w:pPr>
                              <w:pStyle w:val="Style13"/>
                              <w:keepNext w:val="0"/>
                              <w:keepLines w:val="0"/>
                              <w:widowControl w:val="0"/>
                              <w:shd w:val="clear" w:color="auto" w:fill="auto"/>
                              <w:bidi w:val="0"/>
                              <w:spacing w:before="0" w:after="0" w:line="240" w:lineRule="auto"/>
                              <w:ind w:left="180" w:right="0" w:firstLine="0"/>
                              <w:jc w:val="left"/>
                              <w:rPr>
                                <w:sz w:val="28"/>
                                <w:szCs w:val="28"/>
                              </w:rPr>
                            </w:pPr>
                            <w:r>
                              <w:rPr>
                                <w:rFonts w:ascii="MS PGothic" w:eastAsia="MS PGothic" w:hAnsi="MS PGothic" w:cs="MS PGothic"/>
                                <w:b/>
                                <w:bCs/>
                                <w:color w:val="000000"/>
                                <w:spacing w:val="0"/>
                                <w:w w:val="100"/>
                                <w:position w:val="0"/>
                                <w:sz w:val="28"/>
                                <w:szCs w:val="28"/>
                                <w:shd w:val="clear" w:color="auto" w:fill="auto"/>
                              </w:rPr>
                              <w:t>金</w:t>
                            </w:r>
                          </w:p>
                        </w:tc>
                        <w:tc>
                          <w:tcPr>
                            <w:vMerge w:val="restart"/>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施</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設</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整</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備</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分</w:t>
                            </w:r>
                          </w:p>
                        </w:tc>
                        <w:tc>
                          <w:tcPr>
                            <w:tcBorders>
                              <w:top w:val="single" w:sz="4"/>
                              <w:left w:val="single" w:sz="4"/>
                              <w:right w:val="single" w:sz="4"/>
                            </w:tcBorders>
                            <w:shd w:val="clear" w:color="auto" w:fill="ECF0DF"/>
                            <w:vAlign w:val="center"/>
                          </w:tcPr>
                          <w:p>
                            <w:pPr>
                              <w:pStyle w:val="Style13"/>
                              <w:keepNext w:val="0"/>
                              <w:keepLines w:val="0"/>
                              <w:widowControl w:val="0"/>
                              <w:shd w:val="clear" w:color="auto" w:fill="auto"/>
                              <w:bidi w:val="0"/>
                              <w:spacing w:before="0" w:after="160" w:line="240" w:lineRule="auto"/>
                              <w:ind w:left="160" w:right="0" w:firstLine="0"/>
                              <w:jc w:val="left"/>
                              <w:rPr>
                                <w:sz w:val="28"/>
                                <w:szCs w:val="28"/>
                              </w:rPr>
                            </w:pPr>
                            <w:r>
                              <w:rPr>
                                <w:rFonts w:ascii="MS PGothic" w:eastAsia="MS PGothic" w:hAnsi="MS PGothic" w:cs="MS PGothic"/>
                                <w:color w:val="000000"/>
                                <w:spacing w:val="0"/>
                                <w:w w:val="100"/>
                                <w:position w:val="0"/>
                                <w:sz w:val="28"/>
                                <w:szCs w:val="28"/>
                                <w:shd w:val="clear" w:color="auto" w:fill="auto"/>
                                <w:lang w:val="en-US" w:eastAsia="en-US" w:bidi="en-US"/>
                              </w:rPr>
                              <w:t xml:space="preserve">○ </w:t>
                            </w:r>
                            <w:r>
                              <w:rPr>
                                <w:rFonts w:ascii="MS PGothic" w:eastAsia="MS PGothic" w:hAnsi="MS PGothic" w:cs="MS PGothic"/>
                                <w:color w:val="000000"/>
                                <w:spacing w:val="0"/>
                                <w:w w:val="100"/>
                                <w:position w:val="0"/>
                                <w:sz w:val="28"/>
                                <w:szCs w:val="28"/>
                                <w:shd w:val="clear" w:color="auto" w:fill="auto"/>
                              </w:rPr>
                              <w:t>整備に要する経費</w:t>
                            </w:r>
                          </w:p>
                          <w:p>
                            <w:pPr>
                              <w:pStyle w:val="Style13"/>
                              <w:keepNext w:val="0"/>
                              <w:keepLines w:val="0"/>
                              <w:widowControl w:val="0"/>
                              <w:shd w:val="clear" w:color="auto" w:fill="auto"/>
                              <w:bidi w:val="0"/>
                              <w:spacing w:before="0" w:after="0" w:line="240" w:lineRule="auto"/>
                              <w:ind w:left="0" w:right="0" w:firstLine="0"/>
                              <w:jc w:val="center"/>
                              <w:rPr>
                                <w:sz w:val="26"/>
                                <w:szCs w:val="26"/>
                              </w:rPr>
                            </w:pPr>
                            <w:r>
                              <w:rPr>
                                <w:rFonts w:ascii="MS PGothic" w:eastAsia="MS PGothic" w:hAnsi="MS PGothic" w:cs="MS PGothic"/>
                                <w:b/>
                                <w:bCs/>
                                <w:color w:val="000000"/>
                                <w:spacing w:val="0"/>
                                <w:w w:val="100"/>
                                <w:position w:val="0"/>
                                <w:sz w:val="26"/>
                                <w:szCs w:val="26"/>
                                <w:shd w:val="clear" w:color="auto" w:fill="auto"/>
                              </w:rPr>
                              <w:t>配分基礎単価 11,700(11,900)千円／施設</w:t>
                            </w:r>
                          </w:p>
                        </w:tc>
                      </w:tr>
                      <w:tr>
                        <w:trPr>
                          <w:trHeight w:val="31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r>
                      <w:tr>
                        <w:trPr>
                          <w:trHeight w:val="164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ECF0DF"/>
                            <w:vAlign w:val="center"/>
                          </w:tcPr>
                          <w:p>
                            <w:pPr>
                              <w:pStyle w:val="Style13"/>
                              <w:keepNext w:val="0"/>
                              <w:keepLines w:val="0"/>
                              <w:widowControl w:val="0"/>
                              <w:shd w:val="clear" w:color="auto" w:fill="auto"/>
                              <w:bidi w:val="0"/>
                              <w:spacing w:before="0" w:line="240" w:lineRule="auto"/>
                              <w:ind w:left="160" w:right="0" w:firstLine="0"/>
                              <w:jc w:val="left"/>
                              <w:rPr>
                                <w:sz w:val="28"/>
                                <w:szCs w:val="28"/>
                              </w:rPr>
                            </w:pPr>
                            <w:r>
                              <w:rPr>
                                <w:rFonts w:ascii="MS PGothic" w:eastAsia="MS PGothic" w:hAnsi="MS PGothic" w:cs="MS PGothic"/>
                                <w:color w:val="000000"/>
                                <w:spacing w:val="0"/>
                                <w:w w:val="100"/>
                                <w:position w:val="0"/>
                                <w:sz w:val="28"/>
                                <w:szCs w:val="28"/>
                                <w:shd w:val="clear" w:color="auto" w:fill="auto"/>
                                <w:lang w:val="en-US" w:eastAsia="en-US" w:bidi="en-US"/>
                              </w:rPr>
                              <w:t xml:space="preserve">○ </w:t>
                            </w:r>
                            <w:r>
                              <w:rPr>
                                <w:rFonts w:ascii="MS PGothic" w:eastAsia="MS PGothic" w:hAnsi="MS PGothic" w:cs="MS PGothic"/>
                                <w:color w:val="000000"/>
                                <w:spacing w:val="0"/>
                                <w:w w:val="100"/>
                                <w:position w:val="0"/>
                                <w:sz w:val="28"/>
                                <w:szCs w:val="28"/>
                                <w:shd w:val="clear" w:color="auto" w:fill="auto"/>
                              </w:rPr>
                              <w:t>開設に要する経費</w:t>
                            </w:r>
                          </w:p>
                          <w:p>
                            <w:pPr>
                              <w:pStyle w:val="Style13"/>
                              <w:keepNext w:val="0"/>
                              <w:keepLines w:val="0"/>
                              <w:widowControl w:val="0"/>
                              <w:shd w:val="clear" w:color="auto" w:fill="auto"/>
                              <w:bidi w:val="0"/>
                              <w:spacing w:before="0" w:after="160" w:line="240" w:lineRule="auto"/>
                              <w:ind w:left="540" w:right="0" w:firstLine="20"/>
                              <w:jc w:val="left"/>
                              <w:rPr>
                                <w:sz w:val="22"/>
                                <w:szCs w:val="22"/>
                              </w:rPr>
                            </w:pPr>
                            <w:r>
                              <w:rPr>
                                <w:rFonts w:ascii="MS PGothic" w:eastAsia="MS PGothic" w:hAnsi="MS PGothic" w:cs="MS PGothic"/>
                                <w:color w:val="000000"/>
                                <w:spacing w:val="0"/>
                                <w:w w:val="100"/>
                                <w:position w:val="0"/>
                                <w:sz w:val="22"/>
                                <w:szCs w:val="22"/>
                                <w:shd w:val="clear" w:color="auto" w:fill="auto"/>
                              </w:rPr>
                              <w:t>※ 遊具、寝具等の初度経費</w:t>
                            </w:r>
                          </w:p>
                          <w:p>
                            <w:pPr>
                              <w:pStyle w:val="Style13"/>
                              <w:keepNext w:val="0"/>
                              <w:keepLines w:val="0"/>
                              <w:widowControl w:val="0"/>
                              <w:shd w:val="clear" w:color="auto" w:fill="auto"/>
                              <w:bidi w:val="0"/>
                              <w:spacing w:before="0" w:after="140" w:line="240" w:lineRule="auto"/>
                              <w:ind w:left="0" w:right="0" w:firstLine="0"/>
                              <w:jc w:val="center"/>
                              <w:rPr>
                                <w:sz w:val="26"/>
                                <w:szCs w:val="26"/>
                              </w:rPr>
                            </w:pPr>
                            <w:r>
                              <w:rPr>
                                <w:rFonts w:ascii="MS PGothic" w:eastAsia="MS PGothic" w:hAnsi="MS PGothic" w:cs="MS PGothic"/>
                                <w:b/>
                                <w:bCs/>
                                <w:color w:val="000000"/>
                                <w:spacing w:val="0"/>
                                <w:w w:val="100"/>
                                <w:position w:val="0"/>
                                <w:sz w:val="26"/>
                                <w:szCs w:val="26"/>
                                <w:shd w:val="clear" w:color="auto" w:fill="auto"/>
                              </w:rPr>
                              <w:t>配分基礎単価 4,120(4,200)千円／施設</w:t>
                            </w:r>
                          </w:p>
                        </w:tc>
                      </w:tr>
                      <w:tr>
                        <w:trPr>
                          <w:trHeight w:val="312" w:hRule="exact"/>
                        </w:trPr>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r>
                      <w:tr>
                        <w:trPr>
                          <w:trHeight w:val="1723"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人</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材</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確</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保</w:t>
                            </w:r>
                          </w:p>
                          <w:p>
                            <w:pPr>
                              <w:pStyle w:val="Style13"/>
                              <w:keepNext w:val="0"/>
                              <w:keepLines w:val="0"/>
                              <w:widowControl w:val="0"/>
                              <w:shd w:val="clear" w:color="auto" w:fill="auto"/>
                              <w:bidi w:val="0"/>
                              <w:spacing w:before="0" w:after="0" w:line="240" w:lineRule="auto"/>
                              <w:ind w:left="140" w:right="0" w:firstLine="20"/>
                              <w:jc w:val="left"/>
                              <w:rPr>
                                <w:sz w:val="28"/>
                                <w:szCs w:val="28"/>
                              </w:rPr>
                            </w:pPr>
                            <w:r>
                              <w:rPr>
                                <w:rFonts w:ascii="MS PGothic" w:eastAsia="MS PGothic" w:hAnsi="MS PGothic" w:cs="MS PGothic"/>
                                <w:b/>
                                <w:bCs/>
                                <w:color w:val="000000"/>
                                <w:spacing w:val="0"/>
                                <w:w w:val="100"/>
                                <w:position w:val="0"/>
                                <w:sz w:val="28"/>
                                <w:szCs w:val="28"/>
                                <w:shd w:val="clear" w:color="auto" w:fill="auto"/>
                              </w:rPr>
                              <w:t>分</w:t>
                            </w:r>
                          </w:p>
                        </w:tc>
                        <w:tc>
                          <w:tcPr>
                            <w:tcBorders>
                              <w:top w:val="single" w:sz="4"/>
                              <w:left w:val="single" w:sz="4"/>
                              <w:bottom w:val="single" w:sz="4"/>
                              <w:right w:val="single" w:sz="4"/>
                            </w:tcBorders>
                            <w:shd w:val="clear" w:color="auto" w:fill="ECF0DF"/>
                            <w:vAlign w:val="center"/>
                          </w:tcPr>
                          <w:p>
                            <w:pPr>
                              <w:pStyle w:val="Style13"/>
                              <w:keepNext w:val="0"/>
                              <w:keepLines w:val="0"/>
                              <w:widowControl w:val="0"/>
                              <w:shd w:val="clear" w:color="auto" w:fill="auto"/>
                              <w:bidi w:val="0"/>
                              <w:spacing w:before="0" w:after="200" w:line="240" w:lineRule="auto"/>
                              <w:ind w:left="160" w:right="0" w:firstLine="0"/>
                              <w:jc w:val="left"/>
                              <w:rPr>
                                <w:sz w:val="28"/>
                                <w:szCs w:val="28"/>
                              </w:rPr>
                            </w:pPr>
                            <w:r>
                              <w:rPr>
                                <w:rFonts w:ascii="MS PGothic" w:eastAsia="MS PGothic" w:hAnsi="MS PGothic" w:cs="MS PGothic"/>
                                <w:color w:val="000000"/>
                                <w:spacing w:val="0"/>
                                <w:w w:val="100"/>
                                <w:position w:val="0"/>
                                <w:sz w:val="28"/>
                                <w:szCs w:val="28"/>
                                <w:shd w:val="clear" w:color="auto" w:fill="auto"/>
                                <w:lang w:val="en-US" w:eastAsia="en-US" w:bidi="en-US"/>
                              </w:rPr>
                              <w:t xml:space="preserve">○ </w:t>
                            </w:r>
                            <w:r>
                              <w:rPr>
                                <w:rFonts w:ascii="MS PGothic" w:eastAsia="MS PGothic" w:hAnsi="MS PGothic" w:cs="MS PGothic"/>
                                <w:color w:val="000000"/>
                                <w:spacing w:val="0"/>
                                <w:w w:val="100"/>
                                <w:position w:val="0"/>
                                <w:sz w:val="28"/>
                                <w:szCs w:val="28"/>
                                <w:shd w:val="clear" w:color="auto" w:fill="auto"/>
                              </w:rPr>
                              <w:t>運営に要する経費</w:t>
                            </w:r>
                          </w:p>
                          <w:p>
                            <w:pPr>
                              <w:pStyle w:val="Style13"/>
                              <w:keepNext w:val="0"/>
                              <w:keepLines w:val="0"/>
                              <w:widowControl w:val="0"/>
                              <w:shd w:val="clear" w:color="auto" w:fill="auto"/>
                              <w:bidi w:val="0"/>
                              <w:spacing w:before="0" w:after="0" w:line="240" w:lineRule="auto"/>
                              <w:ind w:left="540" w:right="0" w:firstLine="20"/>
                              <w:jc w:val="left"/>
                              <w:rPr>
                                <w:sz w:val="26"/>
                                <w:szCs w:val="26"/>
                              </w:rPr>
                            </w:pPr>
                            <w:r>
                              <w:rPr>
                                <w:rFonts w:ascii="MS PGothic" w:eastAsia="MS PGothic" w:hAnsi="MS PGothic" w:cs="MS PGothic"/>
                                <w:b/>
                                <w:bCs/>
                                <w:color w:val="000000"/>
                                <w:spacing w:val="0"/>
                                <w:w w:val="100"/>
                                <w:position w:val="0"/>
                                <w:sz w:val="26"/>
                                <w:szCs w:val="26"/>
                                <w:shd w:val="clear" w:color="auto" w:fill="auto"/>
                              </w:rPr>
                              <w:t>(都道府県が必要と認める額)</w:t>
                            </w: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603885</wp:posOffset>
                </wp:positionH>
                <wp:positionV relativeFrom="paragraph">
                  <wp:posOffset>12700</wp:posOffset>
                </wp:positionV>
                <wp:extent cx="3931920" cy="399415"/>
                <wp:wrapNone/>
                <wp:docPr id="3" name="Shape 3"/>
                <a:graphic xmlns:a="http://schemas.openxmlformats.org/drawingml/2006/main">
                  <a:graphicData uri="http://schemas.microsoft.com/office/word/2010/wordprocessingShape">
                    <wps:wsp>
                      <wps:cNvSpPr txBox="1"/>
                      <wps:spPr>
                        <a:xfrm>
                          <a:ext cx="3931920" cy="39941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rPr>
                              <w:t>地域医療介護総合確保基金の構造</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(介護施設・事業所内保育施設の整備・開設・運営の一体的支援)</w:t>
                            </w:r>
                          </w:p>
                        </w:txbxContent>
                      </wps:txbx>
                      <wps:bodyPr lIns="0" tIns="0" rIns="0" bIns="0">
                        <a:noAutoFit/>
                      </wps:bodyPr>
                    </wps:wsp>
                  </a:graphicData>
                </a:graphic>
              </wp:anchor>
            </w:drawing>
          </mc:Choice>
          <mc:Fallback>
            <w:pict>
              <v:shape id="_x0000_s1029" type="#_x0000_t202" style="position:absolute;margin-left:47.549999999999997pt;margin-top:1.pt;width:309.60000000000002pt;height:31.449999999999999pt;z-index:251657729;mso-wrap-distance-left:0;mso-wrap-distance-right:0;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rPr>
                        <w:t>地域医療介護総合確保基金の構造</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(介護施設・事業所内保育施設の整備・開設・運営の一体的支援)</w:t>
                      </w:r>
                    </w:p>
                  </w:txbxContent>
                </v:textbox>
                <w10:wrap anchorx="page"/>
              </v:shape>
            </w:pict>
          </mc:Fallback>
        </mc:AlternateContent>
      </w:r>
      <w:r>
        <w:drawing>
          <wp:anchor distT="0" distB="0" distL="114300" distR="114300" simplePos="0" relativeHeight="125829380" behindDoc="0" locked="0" layoutInCell="1" allowOverlap="1">
            <wp:simplePos x="0" y="0"/>
            <wp:positionH relativeFrom="page">
              <wp:posOffset>2578735</wp:posOffset>
            </wp:positionH>
            <wp:positionV relativeFrom="paragraph">
              <wp:posOffset>1637030</wp:posOffset>
            </wp:positionV>
            <wp:extent cx="914400" cy="186055"/>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914400" cy="186055"/>
                    </a:xfrm>
                    <a:prstGeom prst="rect"/>
                  </pic:spPr>
                </pic:pic>
              </a:graphicData>
            </a:graphic>
          </wp:anchor>
        </w:drawing>
      </w:r>
      <w:r>
        <w:drawing>
          <wp:anchor distT="0" distB="0" distL="114300" distR="114300" simplePos="0" relativeHeight="125829381" behindDoc="0" locked="0" layoutInCell="1" allowOverlap="1">
            <wp:simplePos x="0" y="0"/>
            <wp:positionH relativeFrom="page">
              <wp:posOffset>2587625</wp:posOffset>
            </wp:positionH>
            <wp:positionV relativeFrom="paragraph">
              <wp:posOffset>2892425</wp:posOffset>
            </wp:positionV>
            <wp:extent cx="911225" cy="186055"/>
            <wp:wrapSquare wrapText="bothSides"/>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911225" cy="186055"/>
                    </a:xfrm>
                    <a:prstGeom prst="rect"/>
                  </pic:spPr>
                </pic:pic>
              </a:graphicData>
            </a:graphic>
          </wp:anchor>
        </w:drawing>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60" w:firstLine="0"/>
        <w:jc w:val="center"/>
        <w:rPr>
          <w:sz w:val="28"/>
          <w:szCs w:val="28"/>
        </w:rPr>
      </w:pPr>
      <w:r>
        <w:rPr>
          <w:b/>
          <w:bCs/>
          <w:color w:val="000000"/>
          <w:spacing w:val="0"/>
          <w:w w:val="100"/>
          <w:position w:val="0"/>
          <w:sz w:val="28"/>
          <w:szCs w:val="28"/>
          <w:shd w:val="clear" w:color="auto" w:fill="auto"/>
        </w:rPr>
        <w:t>基金を活用した事業の考え方</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介護事業所内保育所の支援については本日現在、主として次</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140" w:right="0" w:firstLine="0"/>
        <w:jc w:val="left"/>
      </w:pPr>
      <w:r>
        <w:rPr>
          <w:color w:val="000000"/>
          <w:spacing w:val="0"/>
          <w:w w:val="100"/>
          <w:position w:val="0"/>
          <w:shd w:val="clear" w:color="auto" w:fill="auto"/>
          <w:lang w:val="en-US" w:eastAsia="en-US" w:bidi="en-US"/>
        </w:rPr>
        <w:t>の４つの手法があり、本事業は④に該当</w:t>
      </w:r>
    </w:p>
    <w:p>
      <w:pPr>
        <w:pStyle w:val="Style22"/>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719" w:val="left"/>
        </w:tabs>
        <w:bidi w:val="0"/>
        <w:spacing w:before="0" w:line="240" w:lineRule="auto"/>
        <w:ind w:left="200" w:right="0"/>
        <w:jc w:val="left"/>
      </w:pPr>
      <w:r>
        <w:rPr>
          <w:color w:val="000000"/>
          <w:spacing w:val="0"/>
          <w:w w:val="100"/>
          <w:position w:val="0"/>
          <w:shd w:val="clear" w:color="auto" w:fill="auto"/>
        </w:rPr>
        <w:t>子ども・子育て支援新制度における事業所内保育事業(市町</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40" w:right="0" w:firstLine="0"/>
        <w:jc w:val="left"/>
      </w:pPr>
      <w:r>
        <w:rPr>
          <w:color w:val="000000"/>
          <w:spacing w:val="0"/>
          <w:w w:val="100"/>
          <w:position w:val="0"/>
          <w:shd w:val="clear" w:color="auto" w:fill="auto"/>
        </w:rPr>
        <w:t>村認可事業)に対する給付</w:t>
      </w:r>
    </w:p>
    <w:p>
      <w:pPr>
        <w:pStyle w:val="Style22"/>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719" w:val="left"/>
        </w:tabs>
        <w:bidi w:val="0"/>
        <w:spacing w:before="0" w:line="240" w:lineRule="auto"/>
        <w:ind w:left="200" w:right="0"/>
        <w:jc w:val="left"/>
      </w:pPr>
      <w:r>
        <w:rPr>
          <w:color w:val="000000"/>
          <w:spacing w:val="0"/>
          <w:w w:val="100"/>
          <w:position w:val="0"/>
          <w:shd w:val="clear" w:color="auto" w:fill="auto"/>
        </w:rPr>
        <w:t>事業所内保育施設設置・運営等支援助成金(雇用保険を財</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540" w:right="0" w:firstLine="0"/>
        <w:jc w:val="left"/>
      </w:pPr>
      <w:r>
        <w:rPr>
          <w:color w:val="000000"/>
          <w:spacing w:val="0"/>
          <w:w w:val="100"/>
          <w:position w:val="0"/>
          <w:shd w:val="clear" w:color="auto" w:fill="auto"/>
        </w:rPr>
        <w:t>源)による都道府県労働局による助成</w:t>
      </w:r>
    </w:p>
    <w:p>
      <w:pPr>
        <w:pStyle w:val="Style22"/>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719" w:val="left"/>
        </w:tabs>
        <w:bidi w:val="0"/>
        <w:spacing w:before="0" w:line="240" w:lineRule="auto"/>
        <w:ind w:left="200" w:right="0"/>
        <w:jc w:val="left"/>
      </w:pPr>
      <w:r>
        <w:rPr>
          <w:color w:val="000000"/>
          <w:spacing w:val="0"/>
          <w:w w:val="100"/>
          <w:position w:val="0"/>
          <w:shd w:val="clear" w:color="auto" w:fill="auto"/>
        </w:rPr>
        <w:t>企業主導型保育事業に対する助成金</w:t>
      </w:r>
    </w:p>
    <w:p>
      <w:pPr>
        <w:pStyle w:val="Style22"/>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719" w:val="left"/>
        </w:tabs>
        <w:bidi w:val="0"/>
        <w:spacing w:before="0" w:after="200" w:line="240" w:lineRule="auto"/>
        <w:ind w:left="200" w:right="0"/>
        <w:jc w:val="left"/>
      </w:pPr>
      <w:r>
        <w:rPr>
          <w:color w:val="000000"/>
          <w:spacing w:val="0"/>
          <w:w w:val="100"/>
          <w:position w:val="0"/>
          <w:shd w:val="clear" w:color="auto" w:fill="auto"/>
        </w:rPr>
        <w:t>地域医療介護総合確保基金を活用した都道府県による補助</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基金を活用した事業のメリット等については、</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lang w:val="en-US" w:eastAsia="en-US" w:bidi="en-US"/>
        </w:rPr>
        <w:t>①とは異なり、市町村の認可や地域枠の定員設定が必要なく、</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lang w:val="en-US" w:eastAsia="en-US" w:bidi="en-US"/>
        </w:rPr>
        <w:t>②、③とは異なり、職員の配置や設備の基準等の細かい要件が</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200" w:right="0"/>
        <w:jc w:val="left"/>
      </w:pPr>
      <w:r>
        <w:rPr>
          <w:color w:val="000000"/>
          <w:spacing w:val="0"/>
          <w:w w:val="100"/>
          <w:position w:val="0"/>
          <w:shd w:val="clear" w:color="auto" w:fill="auto"/>
        </w:rPr>
        <w:t>なく、都道府県の判断で柔軟な事業の実施が可能であるほか、</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rPr>
        <w:t>地域の中核となる介護施設・事業所に一定規模以上の保育施</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rPr>
        <w:t>設を整備し、地域(近隣)の介護職員専用の受入れを行う事業</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lang w:val="en-US" w:eastAsia="en-US" w:bidi="en-US"/>
        </w:rPr>
        <w:t>・ 小規模な地域密着型介護サービス事業所等の１スペースを活</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rPr>
        <w:t>用し、高齢者とのふれあうことのできる空間で介護職員の子ども</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rPr>
        <w:t>を受け入れる</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200" w:right="0"/>
        <w:jc w:val="left"/>
      </w:pPr>
      <w:r>
        <w:rPr>
          <w:color w:val="000000"/>
          <w:spacing w:val="0"/>
          <w:w w:val="100"/>
          <w:position w:val="0"/>
          <w:shd w:val="clear" w:color="auto" w:fill="auto"/>
        </w:rPr>
        <w:t>など、地域の実情に応じた柔軟な事業展開が可能となること等が</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00" w:right="0"/>
        <w:jc w:val="left"/>
        <w:sectPr>
          <w:footnotePr>
            <w:pos w:val="pageBottom"/>
            <w:numFmt w:val="decimal"/>
            <w:numRestart w:val="continuous"/>
          </w:footnotePr>
          <w:type w:val="continuous"/>
          <w:pgSz w:w="15595" w:h="10800" w:orient="landscape"/>
          <w:pgMar w:top="288" w:left="7622" w:right="724" w:bottom="35" w:header="0" w:footer="3" w:gutter="0"/>
          <w:cols w:space="720"/>
          <w:noEndnote/>
          <w:rtlGutter w:val="0"/>
          <w:docGrid w:linePitch="360"/>
        </w:sectPr>
      </w:pPr>
      <w:r>
        <w:rPr>
          <w:color w:val="000000"/>
          <w:spacing w:val="0"/>
          <w:w w:val="100"/>
          <w:position w:val="0"/>
          <w:shd w:val="clear" w:color="auto" w:fill="auto"/>
        </w:rPr>
        <w:t>挙げられる。</w:t>
      </w:r>
    </w:p>
    <w:p>
      <w:pPr>
        <w:widowControl w:val="0"/>
        <w:spacing w:line="41" w:lineRule="exact"/>
        <w:rPr>
          <w:sz w:val="3"/>
          <w:szCs w:val="3"/>
        </w:rPr>
      </w:pPr>
    </w:p>
    <w:p>
      <w:pPr>
        <w:widowControl w:val="0"/>
        <w:spacing w:line="1" w:lineRule="exact"/>
        <w:sectPr>
          <w:footnotePr>
            <w:pos w:val="pageBottom"/>
            <w:numFmt w:val="decimal"/>
            <w:numRestart w:val="continuous"/>
          </w:footnotePr>
          <w:type w:val="continuous"/>
          <w:pgSz w:w="15595" w:h="10800" w:orient="landscape"/>
          <w:pgMar w:top="288" w:left="0" w:right="0" w:bottom="35" w:header="0" w:footer="3" w:gutter="0"/>
          <w:cols w:space="720"/>
          <w:noEndnote/>
          <w:rtlGutter w:val="0"/>
          <w:docGrid w:linePitch="360"/>
        </w:sectPr>
      </w:pPr>
    </w:p>
    <w:p>
      <w:pPr>
        <w:pStyle w:val="Style25"/>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ja-JP" w:eastAsia="ja-JP" w:bidi="ja-JP"/>
        </w:rPr>
        <w:t>(注) 配分基礎単価の( )</w:t>
      </w:r>
      <w:r>
        <w:rPr>
          <w:color w:val="000000"/>
          <w:spacing w:val="0"/>
          <w:w w:val="100"/>
          <w:position w:val="0"/>
          <w:shd w:val="clear" w:color="auto" w:fill="auto"/>
          <w:lang w:val="en-US" w:eastAsia="en-US" w:bidi="en-US"/>
        </w:rPr>
        <w:t>内は、</w:t>
      </w:r>
      <w:r>
        <w:rPr>
          <w:rFonts w:ascii="Calibri" w:eastAsia="Calibri" w:hAnsi="Calibri" w:cs="Calibri"/>
          <w:color w:val="000000"/>
          <w:spacing w:val="0"/>
          <w:w w:val="100"/>
          <w:position w:val="0"/>
          <w:shd w:val="clear" w:color="auto" w:fill="auto"/>
          <w:lang w:val="en-US" w:eastAsia="en-US" w:bidi="en-US"/>
        </w:rPr>
        <w:t>2019</w:t>
      </w:r>
      <w:r>
        <w:rPr>
          <w:color w:val="000000"/>
          <w:spacing w:val="0"/>
          <w:w w:val="100"/>
          <w:position w:val="0"/>
          <w:shd w:val="clear" w:color="auto" w:fill="auto"/>
          <w:lang w:val="en-US" w:eastAsia="en-US" w:bidi="en-US"/>
        </w:rPr>
        <w:t>年</w:t>
      </w:r>
      <w:r>
        <w:rPr>
          <w:rFonts w:ascii="Calibri" w:eastAsia="Calibri" w:hAnsi="Calibri" w:cs="Calibri"/>
          <w:color w:val="000000"/>
          <w:spacing w:val="0"/>
          <w:w w:val="100"/>
          <w:position w:val="0"/>
          <w:shd w:val="clear" w:color="auto" w:fill="auto"/>
          <w:lang w:val="en-US" w:eastAsia="en-US" w:bidi="en-US"/>
        </w:rPr>
        <w:t>10</w:t>
      </w:r>
      <w:r>
        <w:rPr>
          <w:color w:val="000000"/>
          <w:spacing w:val="0"/>
          <w:w w:val="100"/>
          <w:position w:val="0"/>
          <w:shd w:val="clear" w:color="auto" w:fill="auto"/>
          <w:lang w:val="en-US" w:eastAsia="en-US" w:bidi="en-US"/>
        </w:rPr>
        <w:t>月～の消費税率の引上げを前提とした＋２％の増額</w:t>
      </w:r>
    </w:p>
    <w:sectPr>
      <w:footnotePr>
        <w:pos w:val="pageBottom"/>
        <w:numFmt w:val="decimal"/>
        <w:numRestart w:val="continuous"/>
      </w:footnotePr>
      <w:type w:val="continuous"/>
      <w:pgSz w:w="15595" w:h="10800" w:orient="landscape"/>
      <w:pgMar w:top="288" w:left="437" w:right="725" w:bottom="35"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EnclosedCircle"/>
      <w:lvlText w:val="%1"/>
      <w:rPr>
        <w:rFonts w:ascii="MS PGothic" w:eastAsia="MS PGothic" w:hAnsi="MS PGothic" w:cs="MS PGothic"/>
        <w:b w:val="0"/>
        <w:bCs w:val="0"/>
        <w:i w:val="0"/>
        <w:iCs w:val="0"/>
        <w:smallCaps w:val="0"/>
        <w:strike w:val="0"/>
        <w:color w:val="000000"/>
        <w:spacing w:val="0"/>
        <w:w w:val="100"/>
        <w:position w:val="0"/>
        <w:sz w:val="26"/>
        <w:szCs w:val="26"/>
        <w:u w:val="none"/>
        <w:shd w:val="clear" w:color="auto" w:fill="auto"/>
        <w:lang w:val="ja-JP" w:eastAsia="ja-JP" w:bidi="ja-JP"/>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本文|6_"/>
    <w:basedOn w:val="DefaultParagraphFont"/>
    <w:link w:val="Style2"/>
    <w:rPr>
      <w:rFonts w:ascii="MS Mincho" w:eastAsia="MS Mincho" w:hAnsi="MS Mincho" w:cs="MS Mincho"/>
      <w:b w:val="0"/>
      <w:bCs w:val="0"/>
      <w:i w:val="0"/>
      <w:iCs w:val="0"/>
      <w:smallCaps w:val="0"/>
      <w:strike w:val="0"/>
      <w:u w:val="none"/>
      <w:lang w:val="ja-JP" w:eastAsia="ja-JP" w:bidi="ja-JP"/>
    </w:rPr>
  </w:style>
  <w:style w:type="character" w:customStyle="1" w:styleId="CharStyle6">
    <w:name w:val="本文|5_"/>
    <w:basedOn w:val="DefaultParagraphFont"/>
    <w:link w:val="Style5"/>
    <w:rPr>
      <w:rFonts w:ascii="MS PGothic" w:eastAsia="MS PGothic" w:hAnsi="MS PGothic" w:cs="MS PGothic"/>
      <w:b w:val="0"/>
      <w:bCs w:val="0"/>
      <w:i w:val="0"/>
      <w:iCs w:val="0"/>
      <w:smallCaps w:val="0"/>
      <w:strike w:val="0"/>
      <w:color w:val="254061"/>
      <w:u w:val="none"/>
      <w:lang w:val="ja-JP" w:eastAsia="ja-JP" w:bidi="ja-JP"/>
    </w:rPr>
  </w:style>
  <w:style w:type="character" w:customStyle="1" w:styleId="CharStyle9">
    <w:name w:val="見出し #1|1_"/>
    <w:basedOn w:val="DefaultParagraphFont"/>
    <w:link w:val="Style8"/>
    <w:rPr>
      <w:b w:val="0"/>
      <w:bCs w:val="0"/>
      <w:i w:val="0"/>
      <w:iCs w:val="0"/>
      <w:smallCaps w:val="0"/>
      <w:strike w:val="0"/>
      <w:sz w:val="20"/>
      <w:szCs w:val="20"/>
      <w:u w:val="none"/>
      <w:lang w:val="ja-JP" w:eastAsia="ja-JP" w:bidi="ja-JP"/>
    </w:rPr>
  </w:style>
  <w:style w:type="character" w:customStyle="1" w:styleId="CharStyle12">
    <w:name w:val="本文|2_"/>
    <w:basedOn w:val="DefaultParagraphFont"/>
    <w:link w:val="Style11"/>
    <w:rPr>
      <w:rFonts w:ascii="Meiryo" w:eastAsia="Meiryo" w:hAnsi="Meiryo" w:cs="Meiryo"/>
      <w:b w:val="0"/>
      <w:bCs w:val="0"/>
      <w:i w:val="0"/>
      <w:iCs w:val="0"/>
      <w:smallCaps w:val="0"/>
      <w:strike w:val="0"/>
      <w:sz w:val="28"/>
      <w:szCs w:val="28"/>
      <w:u w:val="none"/>
      <w:lang w:val="ja-JP" w:eastAsia="ja-JP" w:bidi="ja-JP"/>
    </w:rPr>
  </w:style>
  <w:style w:type="character" w:customStyle="1" w:styleId="CharStyle14">
    <w:name w:val="その他|1_"/>
    <w:basedOn w:val="DefaultParagraphFont"/>
    <w:link w:val="Style13"/>
    <w:rPr>
      <w:rFonts w:ascii="MS Mincho" w:eastAsia="MS Mincho" w:hAnsi="MS Mincho" w:cs="MS Mincho"/>
      <w:b w:val="0"/>
      <w:bCs w:val="0"/>
      <w:i w:val="0"/>
      <w:iCs w:val="0"/>
      <w:smallCaps w:val="0"/>
      <w:strike w:val="0"/>
      <w:u w:val="none"/>
      <w:lang w:val="ja-JP" w:eastAsia="ja-JP" w:bidi="ja-JP"/>
    </w:rPr>
  </w:style>
  <w:style w:type="character" w:customStyle="1" w:styleId="CharStyle20">
    <w:name w:val="テーブルのキャプション|1_"/>
    <w:basedOn w:val="DefaultParagraphFont"/>
    <w:link w:val="Style19"/>
    <w:rPr>
      <w:rFonts w:ascii="MS PGothic" w:eastAsia="MS PGothic" w:hAnsi="MS PGothic" w:cs="MS PGothic"/>
      <w:b/>
      <w:bCs/>
      <w:i w:val="0"/>
      <w:iCs w:val="0"/>
      <w:smallCaps w:val="0"/>
      <w:strike w:val="0"/>
      <w:sz w:val="22"/>
      <w:szCs w:val="22"/>
      <w:u w:val="none"/>
      <w:lang w:val="ja-JP" w:eastAsia="ja-JP" w:bidi="ja-JP"/>
    </w:rPr>
  </w:style>
  <w:style w:type="character" w:customStyle="1" w:styleId="CharStyle23">
    <w:name w:val="本文|1_"/>
    <w:basedOn w:val="DefaultParagraphFont"/>
    <w:link w:val="Style22"/>
    <w:rPr>
      <w:rFonts w:ascii="MS PGothic" w:eastAsia="MS PGothic" w:hAnsi="MS PGothic" w:cs="MS PGothic"/>
      <w:b w:val="0"/>
      <w:bCs w:val="0"/>
      <w:i w:val="0"/>
      <w:iCs w:val="0"/>
      <w:smallCaps w:val="0"/>
      <w:strike w:val="0"/>
      <w:sz w:val="26"/>
      <w:szCs w:val="26"/>
      <w:u w:val="none"/>
      <w:lang w:val="ja-JP" w:eastAsia="ja-JP" w:bidi="ja-JP"/>
    </w:rPr>
  </w:style>
  <w:style w:type="character" w:customStyle="1" w:styleId="CharStyle26">
    <w:name w:val="本文|3_"/>
    <w:basedOn w:val="DefaultParagraphFont"/>
    <w:link w:val="Style25"/>
    <w:rPr>
      <w:rFonts w:ascii="MS PGothic" w:eastAsia="MS PGothic" w:hAnsi="MS PGothic" w:cs="MS PGothic"/>
      <w:b w:val="0"/>
      <w:bCs w:val="0"/>
      <w:i w:val="0"/>
      <w:iCs w:val="0"/>
      <w:smallCaps w:val="0"/>
      <w:strike w:val="0"/>
      <w:sz w:val="18"/>
      <w:szCs w:val="18"/>
      <w:u w:val="none"/>
    </w:rPr>
  </w:style>
  <w:style w:type="paragraph" w:customStyle="1" w:styleId="Style2">
    <w:name w:val="本文|6"/>
    <w:basedOn w:val="Normal"/>
    <w:link w:val="CharStyle3"/>
    <w:pPr>
      <w:widowControl w:val="0"/>
      <w:shd w:val="clear" w:color="auto" w:fill="FFFFFF"/>
      <w:spacing w:after="120"/>
      <w:jc w:val="right"/>
    </w:pPr>
    <w:rPr>
      <w:rFonts w:ascii="MS Mincho" w:eastAsia="MS Mincho" w:hAnsi="MS Mincho" w:cs="MS Mincho"/>
      <w:b w:val="0"/>
      <w:bCs w:val="0"/>
      <w:i w:val="0"/>
      <w:iCs w:val="0"/>
      <w:smallCaps w:val="0"/>
      <w:strike w:val="0"/>
      <w:u w:val="none"/>
      <w:lang w:val="ja-JP" w:eastAsia="ja-JP" w:bidi="ja-JP"/>
    </w:rPr>
  </w:style>
  <w:style w:type="paragraph" w:customStyle="1" w:styleId="Style5">
    <w:name w:val="本文|5"/>
    <w:basedOn w:val="Normal"/>
    <w:link w:val="CharStyle6"/>
    <w:pPr>
      <w:widowControl w:val="0"/>
      <w:shd w:val="clear" w:color="auto" w:fill="FFFFFF"/>
      <w:spacing w:after="300"/>
    </w:pPr>
    <w:rPr>
      <w:rFonts w:ascii="MS PGothic" w:eastAsia="MS PGothic" w:hAnsi="MS PGothic" w:cs="MS PGothic"/>
      <w:b w:val="0"/>
      <w:bCs w:val="0"/>
      <w:i w:val="0"/>
      <w:iCs w:val="0"/>
      <w:smallCaps w:val="0"/>
      <w:strike w:val="0"/>
      <w:color w:val="254061"/>
      <w:u w:val="none"/>
      <w:lang w:val="ja-JP" w:eastAsia="ja-JP" w:bidi="ja-JP"/>
    </w:rPr>
  </w:style>
  <w:style w:type="paragraph" w:customStyle="1" w:styleId="Style8">
    <w:name w:val="見出し #1|1"/>
    <w:basedOn w:val="Normal"/>
    <w:link w:val="CharStyle9"/>
    <w:pPr>
      <w:widowControl w:val="0"/>
      <w:shd w:val="clear" w:color="auto" w:fill="FFFFFF"/>
      <w:outlineLvl w:val="0"/>
    </w:pPr>
    <w:rPr>
      <w:b w:val="0"/>
      <w:bCs w:val="0"/>
      <w:i w:val="0"/>
      <w:iCs w:val="0"/>
      <w:smallCaps w:val="0"/>
      <w:strike w:val="0"/>
      <w:sz w:val="20"/>
      <w:szCs w:val="20"/>
      <w:u w:val="none"/>
      <w:lang w:val="ja-JP" w:eastAsia="ja-JP" w:bidi="ja-JP"/>
    </w:rPr>
  </w:style>
  <w:style w:type="paragraph" w:customStyle="1" w:styleId="Style11">
    <w:name w:val="本文|2"/>
    <w:basedOn w:val="Normal"/>
    <w:link w:val="CharStyle12"/>
    <w:pPr>
      <w:widowControl w:val="0"/>
      <w:shd w:val="clear" w:color="auto" w:fill="FFFFFF"/>
      <w:ind w:left="310"/>
    </w:pPr>
    <w:rPr>
      <w:rFonts w:ascii="Meiryo" w:eastAsia="Meiryo" w:hAnsi="Meiryo" w:cs="Meiryo"/>
      <w:b w:val="0"/>
      <w:bCs w:val="0"/>
      <w:i w:val="0"/>
      <w:iCs w:val="0"/>
      <w:smallCaps w:val="0"/>
      <w:strike w:val="0"/>
      <w:sz w:val="28"/>
      <w:szCs w:val="28"/>
      <w:u w:val="none"/>
      <w:lang w:val="ja-JP" w:eastAsia="ja-JP" w:bidi="ja-JP"/>
    </w:rPr>
  </w:style>
  <w:style w:type="paragraph" w:customStyle="1" w:styleId="Style13">
    <w:name w:val="その他|1"/>
    <w:basedOn w:val="Normal"/>
    <w:link w:val="CharStyle14"/>
    <w:pPr>
      <w:widowControl w:val="0"/>
      <w:shd w:val="clear" w:color="auto" w:fill="FFFFFF"/>
      <w:spacing w:after="120"/>
      <w:jc w:val="right"/>
    </w:pPr>
    <w:rPr>
      <w:rFonts w:ascii="MS Mincho" w:eastAsia="MS Mincho" w:hAnsi="MS Mincho" w:cs="MS Mincho"/>
      <w:b w:val="0"/>
      <w:bCs w:val="0"/>
      <w:i w:val="0"/>
      <w:iCs w:val="0"/>
      <w:smallCaps w:val="0"/>
      <w:strike w:val="0"/>
      <w:u w:val="none"/>
      <w:lang w:val="ja-JP" w:eastAsia="ja-JP" w:bidi="ja-JP"/>
    </w:rPr>
  </w:style>
  <w:style w:type="paragraph" w:customStyle="1" w:styleId="Style19">
    <w:name w:val="テーブルのキャプション|1"/>
    <w:basedOn w:val="Normal"/>
    <w:link w:val="CharStyle20"/>
    <w:pPr>
      <w:widowControl w:val="0"/>
      <w:shd w:val="clear" w:color="auto" w:fill="FFFFFF"/>
    </w:pPr>
    <w:rPr>
      <w:rFonts w:ascii="MS PGothic" w:eastAsia="MS PGothic" w:hAnsi="MS PGothic" w:cs="MS PGothic"/>
      <w:b/>
      <w:bCs/>
      <w:i w:val="0"/>
      <w:iCs w:val="0"/>
      <w:smallCaps w:val="0"/>
      <w:strike w:val="0"/>
      <w:sz w:val="22"/>
      <w:szCs w:val="22"/>
      <w:u w:val="none"/>
      <w:lang w:val="ja-JP" w:eastAsia="ja-JP" w:bidi="ja-JP"/>
    </w:rPr>
  </w:style>
  <w:style w:type="paragraph" w:customStyle="1" w:styleId="Style22">
    <w:name w:val="本文|1"/>
    <w:basedOn w:val="Normal"/>
    <w:link w:val="CharStyle23"/>
    <w:pPr>
      <w:widowControl w:val="0"/>
      <w:shd w:val="clear" w:color="auto" w:fill="FFFFFF"/>
      <w:spacing w:after="40"/>
      <w:ind w:firstLine="60"/>
    </w:pPr>
    <w:rPr>
      <w:rFonts w:ascii="MS PGothic" w:eastAsia="MS PGothic" w:hAnsi="MS PGothic" w:cs="MS PGothic"/>
      <w:b w:val="0"/>
      <w:bCs w:val="0"/>
      <w:i w:val="0"/>
      <w:iCs w:val="0"/>
      <w:smallCaps w:val="0"/>
      <w:strike w:val="0"/>
      <w:sz w:val="26"/>
      <w:szCs w:val="26"/>
      <w:u w:val="none"/>
      <w:lang w:val="ja-JP" w:eastAsia="ja-JP" w:bidi="ja-JP"/>
    </w:rPr>
  </w:style>
  <w:style w:type="paragraph" w:customStyle="1" w:styleId="Style25">
    <w:name w:val="本文|3"/>
    <w:basedOn w:val="Normal"/>
    <w:link w:val="CharStyle26"/>
    <w:pPr>
      <w:widowControl w:val="0"/>
      <w:shd w:val="clear" w:color="auto" w:fill="FFFFFF"/>
      <w:ind w:left="260"/>
    </w:pPr>
    <w:rPr>
      <w:rFonts w:ascii="MS PGothic" w:eastAsia="MS PGothic" w:hAnsi="MS PGothic" w:cs="MS PGothic"/>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スライド 1</dc:title>
  <dc:subject/>
  <dc:creator>藤岡 俊之（副長官補本室）</dc:creator>
  <cp:keywords/>
</cp:coreProperties>
</file>