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bookmarkStart w:id="0" w:name="_GoBack"/>
      <w:bookmarkEnd w:id="0"/>
      <w:r>
        <w:rPr>
          <w:rFonts w:hint="eastAsia" w:ascii="ＭＳ 明朝" w:hAnsi="ＭＳ 明朝" w:eastAsia="ＭＳ ゴシック"/>
          <w:color w:val="000000"/>
          <w:kern w:val="0"/>
          <w:sz w:val="22"/>
        </w:rPr>
        <w:t>様式第十七号の三</w:t>
      </w:r>
      <w:r>
        <w:rPr>
          <w:rFonts w:hint="eastAsia" w:ascii="Times New Roman" w:hAnsi="Times New Roman"/>
          <w:color w:val="000000"/>
          <w:kern w:val="0"/>
          <w:sz w:val="22"/>
        </w:rPr>
        <w:t>（第四条、第十条関係）</w:t>
      </w:r>
      <w:r>
        <w:rPr>
          <w:rFonts w:hint="default" w:ascii="Times New Roman" w:hAnsi="Times New Roman"/>
          <w:color w:val="000000"/>
          <w:kern w:val="0"/>
          <w:sz w:val="22"/>
        </w:rPr>
        <w:t xml:space="preserve">   </w:t>
      </w:r>
      <w:r>
        <w:rPr>
          <w:rFonts w:hint="eastAsia" w:ascii="Times New Roman" w:hAnsi="Times New Roman"/>
          <w:color w:val="000000"/>
          <w:kern w:val="0"/>
          <w:sz w:val="22"/>
        </w:rPr>
        <w:t>　　　　　　</w:t>
      </w:r>
      <w:r>
        <w:rPr>
          <w:rFonts w:hint="default" w:ascii="Times New Roman" w:hAnsi="Times New Roman"/>
          <w:color w:val="000000"/>
          <w:kern w:val="0"/>
          <w:sz w:val="22"/>
        </w:rPr>
        <w:t xml:space="preserve">                </w:t>
      </w:r>
      <w:r>
        <w:rPr>
          <w:rFonts w:hint="eastAsia" w:ascii="Times New Roman" w:hAnsi="Times New Roman"/>
          <w:color w:val="000000"/>
          <w:kern w:val="0"/>
          <w:sz w:val="22"/>
        </w:rPr>
        <w:t>　　　　（用紙Ａ４）</w:t>
      </w:r>
    </w:p>
    <w:p>
      <w:pPr>
        <w:pStyle w:val="0"/>
        <w:suppressAutoHyphens w:val="1"/>
        <w:wordWrap w:val="0"/>
        <w:overflowPunct w:val="0"/>
        <w:autoSpaceDE w:val="0"/>
        <w:autoSpaceDN w:val="0"/>
        <w:jc w:val="center"/>
        <w:textAlignment w:val="baseline"/>
        <w:rPr>
          <w:rFonts w:hint="default" w:ascii="ＭＳ 明朝" w:hAnsi="ＭＳ 明朝"/>
          <w:color w:val="000000"/>
          <w:spacing w:val="4"/>
          <w:kern w:val="0"/>
          <w:sz w:val="22"/>
        </w:rPr>
      </w:pPr>
    </w:p>
    <w:p>
      <w:pPr>
        <w:pStyle w:val="0"/>
        <w:suppressAutoHyphens w:val="1"/>
        <w:wordWrap w:val="0"/>
        <w:overflowPunct w:val="0"/>
        <w:autoSpaceDE w:val="0"/>
        <w:autoSpaceDN w:val="0"/>
        <w:jc w:val="center"/>
        <w:textAlignment w:val="baseline"/>
        <w:rPr>
          <w:rFonts w:hint="default" w:ascii="ＭＳ 明朝" w:hAnsi="ＭＳ 明朝"/>
          <w:color w:val="000000"/>
          <w:spacing w:val="4"/>
          <w:kern w:val="0"/>
          <w:sz w:val="22"/>
        </w:rPr>
      </w:pPr>
      <w:r>
        <w:rPr>
          <w:rFonts w:hint="eastAsia" w:ascii="ＭＳ 明朝" w:hAnsi="ＭＳ 明朝"/>
          <w:b w:val="1"/>
          <w:color w:val="000000"/>
          <w:kern w:val="0"/>
          <w:sz w:val="22"/>
        </w:rPr>
        <w:t>附　属　明　細　表</w:t>
      </w:r>
    </w:p>
    <w:p>
      <w:pPr>
        <w:pStyle w:val="0"/>
        <w:suppressAutoHyphens w:val="1"/>
        <w:wordWrap w:val="0"/>
        <w:overflowPunct w:val="0"/>
        <w:autoSpaceDE w:val="0"/>
        <w:autoSpaceDN w:val="0"/>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令和　　</w:t>
      </w:r>
      <w:r>
        <w:rPr>
          <w:rFonts w:hint="default" w:ascii="Times New Roman" w:hAnsi="Times New Roman"/>
          <w:color w:val="000000"/>
          <w:kern w:val="0"/>
          <w:sz w:val="22"/>
        </w:rPr>
        <w:t xml:space="preserve"> </w:t>
      </w:r>
      <w:r>
        <w:rPr>
          <w:rFonts w:hint="eastAsia" w:ascii="Times New Roman" w:hAnsi="Times New Roman"/>
          <w:color w:val="000000"/>
          <w:kern w:val="0"/>
          <w:sz w:val="22"/>
        </w:rPr>
        <w:t>年　　</w:t>
      </w:r>
      <w:r>
        <w:rPr>
          <w:rFonts w:hint="default" w:ascii="Times New Roman" w:hAnsi="Times New Roman"/>
          <w:color w:val="000000"/>
          <w:kern w:val="0"/>
          <w:sz w:val="22"/>
        </w:rPr>
        <w:t xml:space="preserve"> </w:t>
      </w:r>
      <w:r>
        <w:rPr>
          <w:rFonts w:hint="eastAsia" w:ascii="Times New Roman" w:hAnsi="Times New Roman"/>
          <w:color w:val="000000"/>
          <w:kern w:val="0"/>
          <w:sz w:val="22"/>
        </w:rPr>
        <w:t>月　　</w:t>
      </w:r>
      <w:r>
        <w:rPr>
          <w:rFonts w:hint="default" w:ascii="Times New Roman" w:hAnsi="Times New Roman"/>
          <w:color w:val="000000"/>
          <w:kern w:val="0"/>
          <w:sz w:val="22"/>
        </w:rPr>
        <w:t xml:space="preserve"> </w:t>
      </w:r>
      <w:r>
        <w:rPr>
          <w:rFonts w:hint="eastAsia" w:ascii="Times New Roman" w:hAnsi="Times New Roman"/>
          <w:color w:val="000000"/>
          <w:kern w:val="0"/>
          <w:sz w:val="22"/>
        </w:rPr>
        <w:t>日現在</w:t>
      </w:r>
    </w:p>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p>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１　完成工事未収入金の詳細</w:t>
      </w:r>
    </w:p>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　　相手先別内訳</w:t>
      </w:r>
      <w:r>
        <w:rPr>
          <w:rFonts w:hint="default" w:ascii="Times New Roman" w:hAnsi="Times New Roman"/>
          <w:color w:val="000000"/>
          <w:kern w:val="0"/>
          <w:sz w:val="22"/>
        </w:rPr>
        <w:t xml:space="preserve">  </w:t>
      </w:r>
      <w:r>
        <w:rPr>
          <w:rFonts w:hint="eastAsia" w:ascii="Times New Roman" w:hAnsi="Times New Roman"/>
          <w:color w:val="000000"/>
          <w:kern w:val="0"/>
          <w:sz w:val="22"/>
        </w:rPr>
        <w:t>　　</w:t>
      </w:r>
      <w:r>
        <w:rPr>
          <w:rFonts w:hint="default" w:ascii="Times New Roman" w:hAnsi="Times New Roman"/>
          <w:color w:val="000000"/>
          <w:kern w:val="0"/>
          <w:sz w:val="22"/>
        </w:rPr>
        <w:t xml:space="preserve">                          </w:t>
      </w:r>
      <w:r>
        <w:rPr>
          <w:rFonts w:hint="eastAsia" w:ascii="Times New Roman" w:hAnsi="Times New Roman"/>
          <w:color w:val="000000"/>
          <w:kern w:val="0"/>
          <w:sz w:val="22"/>
        </w:rPr>
        <w:t>滞留状況</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88"/>
        <w:gridCol w:w="2947"/>
        <w:gridCol w:w="454"/>
        <w:gridCol w:w="1814"/>
        <w:gridCol w:w="2948"/>
        <w:gridCol w:w="227"/>
      </w:tblGrid>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相　手　先</w:t>
            </w: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金　　　　　　　額</w:t>
            </w:r>
          </w:p>
        </w:tc>
        <w:tc>
          <w:tcPr>
            <w:tcW w:w="45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8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発　生　時</w:t>
            </w:r>
          </w:p>
        </w:tc>
        <w:tc>
          <w:tcPr>
            <w:tcW w:w="29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完成工事未収入金</w:t>
            </w:r>
          </w:p>
        </w:tc>
        <w:tc>
          <w:tcPr>
            <w:tcW w:w="227" w:type="dxa"/>
            <w:vMerge w:val="restart"/>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18"/>
              </w:rPr>
              <w:t>千円</w:t>
            </w:r>
          </w:p>
        </w:tc>
        <w:tc>
          <w:tcPr>
            <w:tcW w:w="4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18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r>
              <w:rPr>
                <w:rFonts w:hint="eastAsia" w:ascii="Times New Roman" w:hAnsi="Times New Roman"/>
                <w:color w:val="000000"/>
                <w:kern w:val="0"/>
                <w:sz w:val="22"/>
              </w:rPr>
              <w:t>当期計上分</w:t>
            </w:r>
          </w:p>
        </w:tc>
        <w:tc>
          <w:tcPr>
            <w:tcW w:w="29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227" w:type="dxa"/>
            <w:vMerge w:val="continue"/>
            <w:tcBorders>
              <w:top w:val="nil"/>
              <w:left w:val="single" w:color="000000" w:sz="4" w:space="0"/>
              <w:bottom w:val="nil"/>
              <w:right w:val="nil"/>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4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18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r>
              <w:rPr>
                <w:rFonts w:hint="eastAsia" w:ascii="Times New Roman" w:hAnsi="Times New Roman"/>
                <w:color w:val="000000"/>
                <w:kern w:val="0"/>
                <w:sz w:val="22"/>
              </w:rPr>
              <w:t>前期以前計上分</w:t>
            </w:r>
          </w:p>
        </w:tc>
        <w:tc>
          <w:tcPr>
            <w:tcW w:w="29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27" w:type="dxa"/>
            <w:vMerge w:val="continue"/>
            <w:tcBorders>
              <w:top w:val="nil"/>
              <w:left w:val="single" w:color="000000" w:sz="4" w:space="0"/>
              <w:bottom w:val="nil"/>
              <w:right w:val="nil"/>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4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18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29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27" w:type="dxa"/>
            <w:vMerge w:val="continue"/>
            <w:tcBorders>
              <w:top w:val="nil"/>
              <w:left w:val="single" w:color="000000" w:sz="4" w:space="0"/>
              <w:bottom w:val="nil"/>
              <w:right w:val="nil"/>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5443" w:type="dxa"/>
            <w:gridSpan w:val="4"/>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bl>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２　短期貸付金明細表</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88"/>
        <w:gridCol w:w="2947"/>
      </w:tblGrid>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相　手　先</w:t>
            </w: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金　　　　　　　額</w:t>
            </w: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bl>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３　長期貸付金明細表</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88"/>
        <w:gridCol w:w="2947"/>
      </w:tblGrid>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相　手　先</w:t>
            </w: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金　　　　　　　額</w:t>
            </w: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29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bl>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４　関係会社貸付金明細表</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88"/>
        <w:gridCol w:w="1587"/>
        <w:gridCol w:w="1587"/>
        <w:gridCol w:w="1587"/>
        <w:gridCol w:w="1588"/>
        <w:gridCol w:w="1587"/>
      </w:tblGrid>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関係会社名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期首残高</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当期増加額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当期減少額</w:t>
            </w: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期末残高</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摘　　　要</w:t>
            </w: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r>
              <w:rPr>
                <w:rFonts w:hint="default" w:ascii="Times New Roman" w:hAnsi="Times New Roman"/>
                <w:color w:val="000000"/>
                <w:kern w:val="0"/>
                <w:sz w:val="22"/>
              </w:rPr>
              <w:t xml:space="preserve">          </w:t>
            </w:r>
            <w:r>
              <w:rPr>
                <w:rFonts w:hint="eastAsia" w:ascii="Times New Roman" w:hAnsi="Times New Roman"/>
                <w:color w:val="000000"/>
                <w:kern w:val="0"/>
                <w:sz w:val="22"/>
              </w:rPr>
              <w:t>　</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w:t>
            </w:r>
          </w:p>
        </w:tc>
      </w:tr>
    </w:tbl>
    <w:p>
      <w:pPr>
        <w:pStyle w:val="0"/>
        <w:suppressAutoHyphens w:val="1"/>
        <w:wordWrap w:val="0"/>
        <w:overflowPunct w:val="0"/>
        <w:autoSpaceDE w:val="0"/>
        <w:autoSpaceDN w:val="0"/>
        <w:spacing w:line="282" w:lineRule="exact"/>
        <w:textAlignment w:val="baseline"/>
        <w:rPr>
          <w:rFonts w:hint="default" w:ascii="ＭＳ 明朝" w:hAnsi="ＭＳ 明朝"/>
          <w:color w:val="000000"/>
          <w:spacing w:val="4"/>
          <w:kern w:val="0"/>
          <w:sz w:val="22"/>
        </w:rPr>
      </w:pPr>
      <w:r>
        <w:rPr>
          <w:rFonts w:hint="default" w:ascii="ＭＳ 明朝" w:hAnsi="ＭＳ 明朝"/>
          <w:kern w:val="0"/>
          <w:sz w:val="24"/>
        </w:rPr>
        <w:br w:type="page"/>
      </w:r>
      <w:r>
        <w:rPr>
          <w:rFonts w:hint="eastAsia" w:ascii="Times New Roman" w:hAnsi="Times New Roman"/>
          <w:color w:val="000000"/>
          <w:kern w:val="0"/>
          <w:sz w:val="22"/>
        </w:rPr>
        <w:t>５　関係会社有価証券明細表</w:t>
      </w:r>
    </w:p>
    <w:tbl>
      <w:tblPr>
        <w:tblStyle w:val="11"/>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16"/>
        <w:gridCol w:w="454"/>
        <w:gridCol w:w="567"/>
        <w:gridCol w:w="567"/>
        <w:gridCol w:w="340"/>
        <w:gridCol w:w="453"/>
        <w:gridCol w:w="907"/>
        <w:gridCol w:w="156"/>
        <w:gridCol w:w="660"/>
        <w:gridCol w:w="550"/>
        <w:gridCol w:w="108"/>
        <w:gridCol w:w="567"/>
        <w:gridCol w:w="645"/>
        <w:gridCol w:w="149"/>
        <w:gridCol w:w="567"/>
        <w:gridCol w:w="453"/>
        <w:gridCol w:w="340"/>
        <w:gridCol w:w="1241"/>
        <w:gridCol w:w="660"/>
      </w:tblGrid>
      <w:tr>
        <w:trPr>
          <w:trHeight w:val="846" w:hRule="atLeast"/>
        </w:trPr>
        <w:tc>
          <w:tcPr>
            <w:tcW w:w="5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株</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式</w:t>
            </w:r>
          </w:p>
        </w:tc>
        <w:tc>
          <w:tcPr>
            <w:tcW w:w="4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銘</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柄</w:t>
            </w:r>
          </w:p>
        </w:tc>
        <w:tc>
          <w:tcPr>
            <w:tcW w:w="5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一</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株</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の</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金</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額</w:t>
            </w:r>
          </w:p>
        </w:tc>
        <w:tc>
          <w:tcPr>
            <w:tcW w:w="242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期　首　残　高</w:t>
            </w:r>
          </w:p>
        </w:tc>
        <w:tc>
          <w:tcPr>
            <w:tcW w:w="13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当期増加額</w:t>
            </w:r>
          </w:p>
        </w:tc>
        <w:tc>
          <w:tcPr>
            <w:tcW w:w="13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当期減少額</w:t>
            </w:r>
          </w:p>
        </w:tc>
        <w:tc>
          <w:tcPr>
            <w:tcW w:w="260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期　末　残　高</w:t>
            </w:r>
          </w:p>
        </w:tc>
        <w:tc>
          <w:tcPr>
            <w:tcW w:w="6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摘要</w:t>
            </w:r>
          </w:p>
        </w:tc>
      </w:tr>
      <w:tr>
        <w:trPr>
          <w:trHeight w:val="564" w:hRule="atLeast"/>
        </w:trPr>
        <w:tc>
          <w:tcPr>
            <w:tcW w:w="51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5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株式</w:t>
            </w: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r>
              <w:rPr>
                <w:rFonts w:hint="eastAsia" w:ascii="Times New Roman" w:hAnsi="Times New Roman"/>
                <w:color w:val="000000"/>
                <w:kern w:val="0"/>
                <w:sz w:val="22"/>
              </w:rPr>
              <w:t>数</w:t>
            </w:r>
          </w:p>
        </w:tc>
        <w:tc>
          <w:tcPr>
            <w:tcW w:w="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取得</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価額</w:t>
            </w:r>
          </w:p>
        </w:tc>
        <w:tc>
          <w:tcPr>
            <w:tcW w:w="106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貸借対照</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表計上額</w:t>
            </w: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株式</w:t>
            </w: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r>
              <w:rPr>
                <w:rFonts w:hint="eastAsia" w:ascii="Times New Roman" w:hAnsi="Times New Roman"/>
                <w:color w:val="000000"/>
                <w:kern w:val="0"/>
                <w:sz w:val="22"/>
              </w:rPr>
              <w:t>数</w:t>
            </w:r>
          </w:p>
        </w:tc>
        <w:tc>
          <w:tcPr>
            <w:tcW w:w="6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金額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株式</w:t>
            </w: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r>
              <w:rPr>
                <w:rFonts w:hint="eastAsia" w:ascii="Times New Roman" w:hAnsi="Times New Roman"/>
                <w:color w:val="000000"/>
                <w:kern w:val="0"/>
                <w:sz w:val="22"/>
              </w:rPr>
              <w:t>数</w:t>
            </w:r>
          </w:p>
        </w:tc>
        <w:tc>
          <w:tcPr>
            <w:tcW w:w="7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金額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株式</w:t>
            </w: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r>
              <w:rPr>
                <w:rFonts w:hint="eastAsia" w:ascii="Times New Roman" w:hAnsi="Times New Roman"/>
                <w:color w:val="000000"/>
                <w:kern w:val="0"/>
                <w:sz w:val="22"/>
              </w:rPr>
              <w:t>数</w:t>
            </w:r>
          </w:p>
        </w:tc>
        <w:tc>
          <w:tcPr>
            <w:tcW w:w="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取得</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価額</w:t>
            </w:r>
          </w:p>
        </w:tc>
        <w:tc>
          <w:tcPr>
            <w:tcW w:w="1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貸借対照</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表計上額</w:t>
            </w:r>
          </w:p>
        </w:tc>
        <w:tc>
          <w:tcPr>
            <w:tcW w:w="6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r>
      <w:tr>
        <w:trPr>
          <w:trHeight w:val="846" w:hRule="atLeast"/>
        </w:trPr>
        <w:tc>
          <w:tcPr>
            <w:tcW w:w="51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u w:val="single" w:color="auto"/>
              </w:rPr>
            </w:pPr>
            <w:r>
              <w:rPr>
                <w:rFonts w:hint="eastAsia" w:ascii="Times New Roman" w:hAnsi="Times New Roman"/>
                <w:kern w:val="0"/>
                <w:sz w:val="20"/>
              </w:rPr>
              <w:t>千円</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p>
        </w:tc>
        <w:tc>
          <w:tcPr>
            <w:tcW w:w="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06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p>
        </w:tc>
        <w:tc>
          <w:tcPr>
            <w:tcW w:w="6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p>
        </w:tc>
        <w:tc>
          <w:tcPr>
            <w:tcW w:w="7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p>
        </w:tc>
        <w:tc>
          <w:tcPr>
            <w:tcW w:w="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r>
      <w:tr>
        <w:trPr>
          <w:trHeight w:val="846" w:hRule="atLeast"/>
        </w:trPr>
        <w:tc>
          <w:tcPr>
            <w:tcW w:w="51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06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7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r>
      <w:tr>
        <w:trPr>
          <w:trHeight w:val="846" w:hRule="atLeast"/>
        </w:trPr>
        <w:tc>
          <w:tcPr>
            <w:tcW w:w="51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06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7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r>
      <w:tr>
        <w:trPr>
          <w:trHeight w:val="282" w:hRule="atLeast"/>
        </w:trPr>
        <w:tc>
          <w:tcPr>
            <w:tcW w:w="5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p>
        </w:tc>
        <w:tc>
          <w:tcPr>
            <w:tcW w:w="4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銘</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柄</w:t>
            </w:r>
          </w:p>
        </w:tc>
        <w:tc>
          <w:tcPr>
            <w:tcW w:w="283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期　首　残　高</w:t>
            </w:r>
          </w:p>
        </w:tc>
        <w:tc>
          <w:tcPr>
            <w:tcW w:w="1366"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当期増加額</w:t>
            </w:r>
          </w:p>
        </w:tc>
        <w:tc>
          <w:tcPr>
            <w:tcW w:w="132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当期減少額</w:t>
            </w:r>
          </w:p>
        </w:tc>
        <w:tc>
          <w:tcPr>
            <w:tcW w:w="275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期　末　残　高</w:t>
            </w:r>
          </w:p>
        </w:tc>
        <w:tc>
          <w:tcPr>
            <w:tcW w:w="6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摘要</w:t>
            </w:r>
          </w:p>
        </w:tc>
      </w:tr>
      <w:tr>
        <w:trPr>
          <w:trHeight w:val="564" w:hRule="atLeast"/>
        </w:trPr>
        <w:tc>
          <w:tcPr>
            <w:tcW w:w="51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1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取得価額</w:t>
            </w:r>
          </w:p>
        </w:tc>
        <w:tc>
          <w:tcPr>
            <w:tcW w:w="13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貸借対照</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表計上額</w:t>
            </w:r>
          </w:p>
        </w:tc>
        <w:tc>
          <w:tcPr>
            <w:tcW w:w="1366"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132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11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取得価額</w:t>
            </w:r>
          </w:p>
        </w:tc>
        <w:tc>
          <w:tcPr>
            <w:tcW w:w="15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貸借対照</w:t>
            </w: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表計上額</w:t>
            </w:r>
          </w:p>
        </w:tc>
        <w:tc>
          <w:tcPr>
            <w:tcW w:w="6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r>
      <w:tr>
        <w:trPr>
          <w:trHeight w:val="846" w:hRule="atLeast"/>
        </w:trPr>
        <w:tc>
          <w:tcPr>
            <w:tcW w:w="5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社</w:t>
            </w: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債</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3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3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1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r>
      <w:tr>
        <w:trPr>
          <w:trHeight w:val="846" w:hRule="atLeast"/>
        </w:trPr>
        <w:tc>
          <w:tcPr>
            <w:tcW w:w="51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1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5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r>
      <w:tr>
        <w:trPr>
          <w:trHeight w:val="846" w:hRule="atLeast"/>
        </w:trPr>
        <w:tc>
          <w:tcPr>
            <w:tcW w:w="51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1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1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5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r>
      <w:tr>
        <w:trPr>
          <w:trHeight w:val="704" w:hRule="atLeast"/>
        </w:trPr>
        <w:tc>
          <w:tcPr>
            <w:tcW w:w="5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center"/>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そ</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の</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他の</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有</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価</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証</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券</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left"/>
              <w:textAlignment w:val="baseline"/>
              <w:rPr>
                <w:rFonts w:hint="default" w:ascii="ＭＳ 明朝" w:hAnsi="ＭＳ 明朝"/>
                <w:kern w:val="0"/>
                <w:sz w:val="24"/>
              </w:rPr>
            </w:pPr>
          </w:p>
        </w:tc>
        <w:tc>
          <w:tcPr>
            <w:tcW w:w="1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left"/>
              <w:textAlignment w:val="baseline"/>
              <w:rPr>
                <w:rFonts w:hint="default" w:ascii="ＭＳ 明朝" w:hAnsi="ＭＳ 明朝"/>
                <w:kern w:val="0"/>
                <w:sz w:val="24"/>
              </w:rPr>
            </w:pPr>
          </w:p>
        </w:tc>
        <w:tc>
          <w:tcPr>
            <w:tcW w:w="13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left"/>
              <w:textAlignment w:val="baseline"/>
              <w:rPr>
                <w:rFonts w:hint="default" w:ascii="ＭＳ 明朝" w:hAnsi="ＭＳ 明朝"/>
                <w:kern w:val="0"/>
                <w:sz w:val="24"/>
              </w:rPr>
            </w:pPr>
          </w:p>
        </w:tc>
        <w:tc>
          <w:tcPr>
            <w:tcW w:w="13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left"/>
              <w:textAlignment w:val="baseline"/>
              <w:rPr>
                <w:rFonts w:hint="default" w:ascii="ＭＳ 明朝" w:hAnsi="ＭＳ 明朝"/>
                <w:kern w:val="0"/>
                <w:sz w:val="24"/>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left"/>
              <w:textAlignment w:val="baseline"/>
              <w:rPr>
                <w:rFonts w:hint="default" w:ascii="ＭＳ 明朝" w:hAnsi="ＭＳ 明朝"/>
                <w:kern w:val="0"/>
                <w:sz w:val="24"/>
              </w:rPr>
            </w:pPr>
          </w:p>
        </w:tc>
        <w:tc>
          <w:tcPr>
            <w:tcW w:w="11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left"/>
              <w:textAlignment w:val="baseline"/>
              <w:rPr>
                <w:rFonts w:hint="default" w:ascii="ＭＳ 明朝" w:hAnsi="ＭＳ 明朝"/>
                <w:kern w:val="0"/>
                <w:sz w:val="24"/>
              </w:rPr>
            </w:pPr>
          </w:p>
        </w:tc>
        <w:tc>
          <w:tcPr>
            <w:tcW w:w="15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40" w:lineRule="exact"/>
              <w:jc w:val="left"/>
              <w:textAlignment w:val="baseline"/>
              <w:rPr>
                <w:rFonts w:hint="default" w:ascii="ＭＳ 明朝" w:hAnsi="ＭＳ 明朝"/>
                <w:kern w:val="0"/>
                <w:sz w:val="24"/>
              </w:rPr>
            </w:pPr>
          </w:p>
        </w:tc>
      </w:tr>
      <w:tr>
        <w:trPr>
          <w:trHeight w:val="846" w:hRule="atLeast"/>
        </w:trPr>
        <w:tc>
          <w:tcPr>
            <w:tcW w:w="51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1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5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r>
      <w:tr>
        <w:trPr>
          <w:trHeight w:val="986" w:hRule="atLeast"/>
        </w:trPr>
        <w:tc>
          <w:tcPr>
            <w:tcW w:w="51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4"/>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color w:val="000000"/>
                <w:spacing w:val="4"/>
                <w:kern w:val="0"/>
                <w:sz w:val="22"/>
              </w:rPr>
            </w:pPr>
          </w:p>
          <w:p>
            <w:pPr>
              <w:pStyle w:val="0"/>
              <w:suppressAutoHyphens w:val="1"/>
              <w:kinsoku w:val="0"/>
              <w:wordWrap w:val="0"/>
              <w:overflowPunct w:val="0"/>
              <w:autoSpaceDE w:val="0"/>
              <w:autoSpaceDN w:val="0"/>
              <w:adjustRightInd w:val="0"/>
              <w:spacing w:line="282" w:lineRule="exac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147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1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15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2" w:lineRule="exact"/>
              <w:jc w:val="left"/>
              <w:textAlignment w:val="baseline"/>
              <w:rPr>
                <w:rFonts w:hint="default" w:ascii="ＭＳ 明朝" w:hAnsi="ＭＳ 明朝"/>
                <w:kern w:val="0"/>
                <w:sz w:val="24"/>
              </w:rPr>
            </w:pPr>
          </w:p>
        </w:tc>
      </w:tr>
    </w:tbl>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６　関係会社出資金明細表</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587"/>
        <w:gridCol w:w="1588"/>
        <w:gridCol w:w="1587"/>
        <w:gridCol w:w="1587"/>
        <w:gridCol w:w="1587"/>
      </w:tblGrid>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関係会社名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期首残高</w:t>
            </w: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当期増加額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当期減少額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期末残高</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摘　　　要</w:t>
            </w: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r>
              <w:rPr>
                <w:rFonts w:hint="default" w:ascii="Times New Roman" w:hAnsi="Times New Roman"/>
                <w:color w:val="000000"/>
                <w:kern w:val="0"/>
                <w:sz w:val="22"/>
              </w:rPr>
              <w:t xml:space="preserve">          </w:t>
            </w:r>
            <w:r>
              <w:rPr>
                <w:rFonts w:hint="eastAsia" w:ascii="Times New Roman" w:hAnsi="Times New Roman"/>
                <w:color w:val="000000"/>
                <w:kern w:val="0"/>
                <w:sz w:val="22"/>
              </w:rPr>
              <w:t>　</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w:t>
            </w:r>
          </w:p>
        </w:tc>
      </w:tr>
    </w:tbl>
    <w:p>
      <w:pPr>
        <w:pStyle w:val="0"/>
        <w:autoSpaceDE w:val="0"/>
        <w:autoSpaceDN w:val="0"/>
        <w:adjustRightInd w:val="0"/>
        <w:jc w:val="left"/>
        <w:rPr>
          <w:rFonts w:hint="default" w:ascii="ＭＳ 明朝" w:hAnsi="ＭＳ 明朝"/>
          <w:color w:val="000000"/>
          <w:spacing w:val="4"/>
          <w:kern w:val="0"/>
          <w:sz w:val="22"/>
        </w:rPr>
      </w:pPr>
      <w:r>
        <w:rPr>
          <w:rFonts w:hint="default" w:ascii="ＭＳ 明朝" w:hAnsi="ＭＳ 明朝"/>
          <w:kern w:val="0"/>
          <w:sz w:val="24"/>
        </w:rPr>
        <w:br w:type="page"/>
      </w:r>
    </w:p>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７　短期借入金明細表</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95"/>
        <w:gridCol w:w="2381"/>
        <w:gridCol w:w="2380"/>
        <w:gridCol w:w="2381"/>
      </w:tblGrid>
      <w:tr>
        <w:trPr>
          <w:trHeight w:val="422" w:hRule="atLeast"/>
        </w:trPr>
        <w:tc>
          <w:tcPr>
            <w:tcW w:w="2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借　　入　　先</w:t>
            </w: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金　　　　額</w:t>
            </w:r>
          </w:p>
        </w:tc>
        <w:tc>
          <w:tcPr>
            <w:tcW w:w="2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返　済　期　日</w:t>
            </w: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摘　　　　要</w:t>
            </w:r>
          </w:p>
        </w:tc>
      </w:tr>
      <w:tr>
        <w:trPr>
          <w:trHeight w:val="422" w:hRule="atLeast"/>
        </w:trPr>
        <w:tc>
          <w:tcPr>
            <w:tcW w:w="2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2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2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2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2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w:t>
            </w:r>
          </w:p>
        </w:tc>
      </w:tr>
    </w:tbl>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８　長期借入金明細表</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587"/>
        <w:gridCol w:w="1588"/>
        <w:gridCol w:w="1587"/>
        <w:gridCol w:w="1587"/>
        <w:gridCol w:w="1587"/>
      </w:tblGrid>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借　入　先</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期首残高</w:t>
            </w: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当期増加額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当期減少額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期末残高</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摘　　　要</w:t>
            </w: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r>
              <w:rPr>
                <w:rFonts w:hint="default" w:ascii="Times New Roman" w:hAnsi="Times New Roman"/>
                <w:color w:val="000000"/>
                <w:kern w:val="0"/>
                <w:sz w:val="22"/>
              </w:rPr>
              <w:t xml:space="preserve">          </w:t>
            </w:r>
            <w:r>
              <w:rPr>
                <w:rFonts w:hint="eastAsia" w:ascii="Times New Roman" w:hAnsi="Times New Roman"/>
                <w:color w:val="000000"/>
                <w:kern w:val="0"/>
                <w:sz w:val="22"/>
              </w:rPr>
              <w:t>　</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w:t>
            </w:r>
          </w:p>
        </w:tc>
      </w:tr>
    </w:tbl>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９　関係会社借入金明細表</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587"/>
        <w:gridCol w:w="1588"/>
        <w:gridCol w:w="1587"/>
        <w:gridCol w:w="1587"/>
        <w:gridCol w:w="1587"/>
      </w:tblGrid>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関係会社名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期首残高</w:t>
            </w: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当期増加額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当期減少額</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期末残高</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摘　　　要</w:t>
            </w: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r>
              <w:rPr>
                <w:rFonts w:hint="default" w:ascii="Times New Roman" w:hAnsi="Times New Roman"/>
                <w:color w:val="000000"/>
                <w:kern w:val="0"/>
                <w:sz w:val="22"/>
              </w:rPr>
              <w:t xml:space="preserve">          </w:t>
            </w:r>
            <w:r>
              <w:rPr>
                <w:rFonts w:hint="eastAsia" w:ascii="Times New Roman" w:hAnsi="Times New Roman"/>
                <w:color w:val="000000"/>
                <w:kern w:val="0"/>
                <w:sz w:val="22"/>
              </w:rPr>
              <w:t>　</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15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w:t>
            </w:r>
          </w:p>
        </w:tc>
      </w:tr>
    </w:tbl>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default" w:ascii="Times New Roman" w:hAnsi="Times New Roman"/>
          <w:color w:val="000000"/>
          <w:kern w:val="0"/>
          <w:sz w:val="22"/>
        </w:rPr>
        <w:t>10</w:t>
      </w:r>
      <w:r>
        <w:rPr>
          <w:rFonts w:hint="eastAsia" w:ascii="Times New Roman" w:hAnsi="Times New Roman"/>
          <w:color w:val="000000"/>
          <w:kern w:val="0"/>
          <w:sz w:val="22"/>
        </w:rPr>
        <w:t>　保証債務明細表</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81"/>
        <w:gridCol w:w="2268"/>
      </w:tblGrid>
      <w:tr>
        <w:trPr>
          <w:trHeight w:val="422" w:hRule="atLeas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相　　手　　先</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金　　　　額</w:t>
            </w:r>
          </w:p>
        </w:tc>
      </w:tr>
      <w:tr>
        <w:trPr>
          <w:trHeight w:val="422" w:hRule="atLeas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right"/>
              <w:textAlignment w:val="baseline"/>
              <w:rPr>
                <w:rFonts w:hint="default" w:ascii="ＭＳ 明朝" w:hAnsi="ＭＳ 明朝"/>
                <w:kern w:val="0"/>
                <w:sz w:val="24"/>
              </w:rPr>
            </w:pPr>
            <w:r>
              <w:rPr>
                <w:rFonts w:hint="eastAsia" w:ascii="Times New Roman" w:hAnsi="Times New Roman"/>
                <w:color w:val="000000"/>
                <w:kern w:val="0"/>
                <w:sz w:val="20"/>
              </w:rPr>
              <w:t>千円</w:t>
            </w:r>
          </w:p>
        </w:tc>
      </w:tr>
      <w:tr>
        <w:trPr>
          <w:trHeight w:val="422" w:hRule="atLeas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r>
        <w:trPr>
          <w:trHeight w:val="422" w:hRule="atLeas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center"/>
              <w:textAlignment w:val="baseline"/>
              <w:rPr>
                <w:rFonts w:hint="default" w:ascii="ＭＳ 明朝" w:hAnsi="ＭＳ 明朝"/>
                <w:kern w:val="0"/>
                <w:sz w:val="24"/>
              </w:rPr>
            </w:pPr>
            <w:r>
              <w:rPr>
                <w:rFonts w:hint="eastAsia" w:ascii="Times New Roman" w:hAnsi="Times New Roman"/>
                <w:color w:val="000000"/>
                <w:kern w:val="0"/>
                <w:sz w:val="22"/>
              </w:rPr>
              <w:t>計</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22" w:lineRule="atLeast"/>
              <w:jc w:val="left"/>
              <w:textAlignment w:val="baseline"/>
              <w:rPr>
                <w:rFonts w:hint="default" w:ascii="ＭＳ 明朝" w:hAnsi="ＭＳ 明朝"/>
                <w:kern w:val="0"/>
                <w:sz w:val="24"/>
              </w:rPr>
            </w:pPr>
          </w:p>
        </w:tc>
      </w:tr>
    </w:tbl>
    <w:p>
      <w:pPr>
        <w:pStyle w:val="0"/>
        <w:suppressAutoHyphens w:val="1"/>
        <w:wordWrap w:val="0"/>
        <w:overflowPunct w:val="0"/>
        <w:autoSpaceDE w:val="0"/>
        <w:autoSpaceDN w:val="0"/>
        <w:spacing w:line="380" w:lineRule="exact"/>
        <w:textAlignment w:val="baseline"/>
        <w:rPr>
          <w:rFonts w:hint="default" w:ascii="ＭＳ 明朝" w:hAnsi="ＭＳ 明朝"/>
          <w:color w:val="000000"/>
          <w:spacing w:val="4"/>
          <w:kern w:val="0"/>
          <w:sz w:val="22"/>
        </w:rPr>
      </w:pPr>
    </w:p>
    <w:p>
      <w:pPr>
        <w:pStyle w:val="0"/>
        <w:suppressAutoHyphens w:val="1"/>
        <w:wordWrap w:val="0"/>
        <w:overflowPunct w:val="0"/>
        <w:autoSpaceDE w:val="0"/>
        <w:autoSpaceDN w:val="0"/>
        <w:spacing w:line="380" w:lineRule="exact"/>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記載要領</w:t>
      </w:r>
    </w:p>
    <w:p>
      <w:pPr>
        <w:pStyle w:val="0"/>
        <w:suppressAutoHyphens w:val="1"/>
        <w:wordWrap w:val="0"/>
        <w:overflowPunct w:val="0"/>
        <w:autoSpaceDE w:val="0"/>
        <w:autoSpaceDN w:val="0"/>
        <w:spacing w:line="380" w:lineRule="exact"/>
        <w:textAlignment w:val="baseline"/>
        <w:rPr>
          <w:rFonts w:hint="default" w:ascii="ＭＳ 明朝" w:hAnsi="ＭＳ 明朝"/>
          <w:color w:val="000000"/>
          <w:spacing w:val="4"/>
          <w:kern w:val="0"/>
          <w:sz w:val="22"/>
        </w:rPr>
      </w:pPr>
      <w:r>
        <w:rPr>
          <w:rFonts w:hint="eastAsia" w:ascii="ＭＳ 明朝" w:hAnsi="ＭＳ 明朝"/>
          <w:color w:val="000000"/>
          <w:kern w:val="0"/>
          <w:sz w:val="22"/>
        </w:rPr>
        <w:t>第１　一般的事項</w:t>
      </w:r>
    </w:p>
    <w:p>
      <w:pPr>
        <w:pStyle w:val="0"/>
        <w:suppressAutoHyphens w:val="1"/>
        <w:wordWrap w:val="0"/>
        <w:overflowPunct w:val="0"/>
        <w:autoSpaceDE w:val="0"/>
        <w:autoSpaceDN w:val="0"/>
        <w:spacing w:line="380" w:lineRule="exact"/>
        <w:ind w:left="454" w:hanging="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１　「親会社」とは、会社法（平成</w:t>
      </w:r>
      <w:r>
        <w:rPr>
          <w:rFonts w:hint="default" w:ascii="Times New Roman" w:hAnsi="Times New Roman"/>
          <w:color w:val="000000"/>
          <w:kern w:val="0"/>
          <w:sz w:val="22"/>
        </w:rPr>
        <w:t>17</w:t>
      </w:r>
      <w:r>
        <w:rPr>
          <w:rFonts w:hint="eastAsia" w:ascii="Times New Roman" w:hAnsi="Times New Roman"/>
          <w:color w:val="000000"/>
          <w:kern w:val="0"/>
          <w:sz w:val="22"/>
        </w:rPr>
        <w:t>年法律第</w:t>
      </w:r>
      <w:r>
        <w:rPr>
          <w:rFonts w:hint="default" w:ascii="Times New Roman" w:hAnsi="Times New Roman"/>
          <w:color w:val="000000"/>
          <w:kern w:val="0"/>
          <w:sz w:val="22"/>
        </w:rPr>
        <w:t>86</w:t>
      </w:r>
      <w:r>
        <w:rPr>
          <w:rFonts w:hint="eastAsia" w:ascii="Times New Roman" w:hAnsi="Times New Roman"/>
          <w:color w:val="000000"/>
          <w:kern w:val="0"/>
          <w:sz w:val="22"/>
        </w:rPr>
        <w:t>号）第</w:t>
      </w:r>
      <w:r>
        <w:rPr>
          <w:rFonts w:hint="default" w:ascii="Times New Roman" w:hAnsi="Times New Roman"/>
          <w:color w:val="000000"/>
          <w:kern w:val="0"/>
          <w:sz w:val="22"/>
        </w:rPr>
        <w:t>2</w:t>
      </w:r>
      <w:r>
        <w:rPr>
          <w:rFonts w:hint="eastAsia" w:ascii="Times New Roman" w:hAnsi="Times New Roman"/>
          <w:color w:val="000000"/>
          <w:kern w:val="0"/>
          <w:sz w:val="22"/>
        </w:rPr>
        <w:t>条第</w:t>
      </w:r>
      <w:r>
        <w:rPr>
          <w:rFonts w:hint="default" w:ascii="Times New Roman" w:hAnsi="Times New Roman"/>
          <w:color w:val="000000"/>
          <w:kern w:val="0"/>
          <w:sz w:val="22"/>
        </w:rPr>
        <w:t>4</w:t>
      </w:r>
      <w:r>
        <w:rPr>
          <w:rFonts w:hint="eastAsia" w:ascii="Times New Roman" w:hAnsi="Times New Roman"/>
          <w:color w:val="000000"/>
          <w:kern w:val="0"/>
          <w:sz w:val="22"/>
        </w:rPr>
        <w:t>号に定める会社をいい、「子会社」とは、会社法第２条第３号に定める会社をいう。</w:t>
      </w:r>
    </w:p>
    <w:p>
      <w:pPr>
        <w:pStyle w:val="0"/>
        <w:suppressAutoHyphens w:val="1"/>
        <w:wordWrap w:val="0"/>
        <w:overflowPunct w:val="0"/>
        <w:autoSpaceDE w:val="0"/>
        <w:autoSpaceDN w:val="0"/>
        <w:spacing w:line="380" w:lineRule="exact"/>
        <w:ind w:left="454" w:hanging="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２　「関連会社」とは、会社計算規則（平成</w:t>
      </w:r>
      <w:r>
        <w:rPr>
          <w:rFonts w:hint="default" w:ascii="Times New Roman" w:hAnsi="Times New Roman"/>
          <w:color w:val="000000"/>
          <w:kern w:val="0"/>
          <w:sz w:val="22"/>
        </w:rPr>
        <w:t>18</w:t>
      </w:r>
      <w:r>
        <w:rPr>
          <w:rFonts w:hint="eastAsia" w:ascii="Times New Roman" w:hAnsi="Times New Roman"/>
          <w:color w:val="000000"/>
          <w:kern w:val="0"/>
          <w:sz w:val="22"/>
        </w:rPr>
        <w:t>年法務省令第</w:t>
      </w:r>
      <w:r>
        <w:rPr>
          <w:rFonts w:hint="default" w:ascii="Times New Roman" w:hAnsi="Times New Roman"/>
          <w:color w:val="000000"/>
          <w:kern w:val="0"/>
          <w:sz w:val="22"/>
        </w:rPr>
        <w:t>13</w:t>
      </w:r>
      <w:r>
        <w:rPr>
          <w:rFonts w:hint="eastAsia" w:ascii="Times New Roman" w:hAnsi="Times New Roman"/>
          <w:color w:val="000000"/>
          <w:kern w:val="0"/>
          <w:sz w:val="22"/>
        </w:rPr>
        <w:t>号）第２条第３項第</w:t>
      </w:r>
      <w:r>
        <w:rPr>
          <w:rFonts w:hint="default" w:ascii="Times New Roman" w:hAnsi="Times New Roman"/>
          <w:color w:val="000000"/>
          <w:kern w:val="0"/>
          <w:sz w:val="22"/>
        </w:rPr>
        <w:t>19</w:t>
      </w:r>
      <w:r>
        <w:rPr>
          <w:rFonts w:hint="eastAsia" w:ascii="Times New Roman" w:hAnsi="Times New Roman"/>
          <w:color w:val="000000"/>
          <w:kern w:val="0"/>
          <w:sz w:val="22"/>
        </w:rPr>
        <w:t>号に定める会社をいう。</w:t>
      </w:r>
    </w:p>
    <w:p>
      <w:pPr>
        <w:pStyle w:val="0"/>
        <w:suppressAutoHyphens w:val="1"/>
        <w:wordWrap w:val="0"/>
        <w:overflowPunct w:val="0"/>
        <w:autoSpaceDE w:val="0"/>
        <w:autoSpaceDN w:val="0"/>
        <w:ind w:left="454" w:hanging="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３　「関係会社」とは、会社計算規則第２条第３項第</w:t>
      </w:r>
      <w:r>
        <w:rPr>
          <w:rFonts w:hint="default" w:ascii="Times New Roman" w:hAnsi="Times New Roman"/>
          <w:color w:val="000000"/>
          <w:kern w:val="0"/>
          <w:sz w:val="22"/>
        </w:rPr>
        <w:t>23</w:t>
      </w:r>
      <w:r>
        <w:rPr>
          <w:rFonts w:hint="eastAsia" w:ascii="Times New Roman" w:hAnsi="Times New Roman"/>
          <w:color w:val="000000"/>
          <w:kern w:val="0"/>
          <w:sz w:val="22"/>
        </w:rPr>
        <w:t>号に定める会社をいう。</w:t>
      </w:r>
    </w:p>
    <w:p>
      <w:pPr>
        <w:pStyle w:val="0"/>
        <w:suppressAutoHyphens w:val="1"/>
        <w:wordWrap w:val="0"/>
        <w:overflowPunct w:val="0"/>
        <w:autoSpaceDE w:val="0"/>
        <w:autoSpaceDN w:val="0"/>
        <w:ind w:left="454" w:hanging="226"/>
        <w:textAlignment w:val="baseline"/>
        <w:rPr>
          <w:rFonts w:hint="eastAsia" w:ascii="ＭＳ 明朝" w:hAnsi="ＭＳ 明朝"/>
          <w:color w:val="000000"/>
          <w:spacing w:val="4"/>
          <w:kern w:val="0"/>
          <w:sz w:val="22"/>
        </w:rPr>
      </w:pPr>
      <w:r>
        <w:rPr>
          <w:rFonts w:hint="eastAsia" w:ascii="Times New Roman" w:hAnsi="Times New Roman"/>
          <w:color w:val="000000"/>
          <w:kern w:val="0"/>
          <w:sz w:val="22"/>
        </w:rPr>
        <w:t>４　金融商品取引法（昭和</w:t>
      </w:r>
      <w:r>
        <w:rPr>
          <w:rFonts w:hint="eastAsia" w:ascii="Times New Roman" w:hAnsi="Times New Roman"/>
          <w:color w:val="000000"/>
          <w:kern w:val="0"/>
          <w:sz w:val="22"/>
        </w:rPr>
        <w:t>23</w:t>
      </w:r>
      <w:r>
        <w:rPr>
          <w:rFonts w:hint="eastAsia" w:ascii="Times New Roman" w:hAnsi="Times New Roman"/>
          <w:color w:val="000000"/>
          <w:kern w:val="0"/>
          <w:sz w:val="22"/>
        </w:rPr>
        <w:t>年法律第</w:t>
      </w:r>
      <w:r>
        <w:rPr>
          <w:rFonts w:hint="eastAsia" w:ascii="Times New Roman" w:hAnsi="Times New Roman"/>
          <w:color w:val="000000"/>
          <w:kern w:val="0"/>
          <w:sz w:val="22"/>
        </w:rPr>
        <w:t>25</w:t>
      </w:r>
      <w:r>
        <w:rPr>
          <w:rFonts w:hint="eastAsia" w:ascii="Times New Roman" w:hAnsi="Times New Roman"/>
          <w:color w:val="000000"/>
          <w:kern w:val="0"/>
          <w:sz w:val="22"/>
        </w:rPr>
        <w:t>号）第</w:t>
      </w:r>
      <w:r>
        <w:rPr>
          <w:rFonts w:hint="default" w:ascii="Times New Roman" w:hAnsi="Times New Roman"/>
          <w:color w:val="000000"/>
          <w:kern w:val="0"/>
          <w:sz w:val="22"/>
        </w:rPr>
        <w:t>24</w:t>
      </w:r>
      <w:r>
        <w:rPr>
          <w:rFonts w:hint="eastAsia" w:ascii="Times New Roman" w:hAnsi="Times New Roman"/>
          <w:color w:val="000000"/>
          <w:kern w:val="0"/>
          <w:sz w:val="22"/>
        </w:rPr>
        <w:t>条の規定により、有価証券報告書を内閣総理大臣に提出しなければならない者については、附属明細表の４、５、６及び９の記載を省略することができる。この場合、同条の規定により提出された有価証券報告書に記載された連結貸借対照表の写しを添付しなければならない。</w:t>
      </w:r>
    </w:p>
    <w:p>
      <w:pPr>
        <w:pStyle w:val="0"/>
        <w:suppressAutoHyphens w:val="1"/>
        <w:wordWrap w:val="0"/>
        <w:overflowPunct w:val="0"/>
        <w:autoSpaceDE w:val="0"/>
        <w:autoSpaceDN w:val="0"/>
        <w:ind w:left="454" w:hanging="226"/>
        <w:textAlignment w:val="baseline"/>
        <w:rPr>
          <w:rFonts w:hint="default" w:ascii="ＭＳ 明朝" w:hAnsi="ＭＳ 明朝"/>
          <w:color w:val="000000"/>
          <w:spacing w:val="4"/>
          <w:kern w:val="0"/>
          <w:sz w:val="22"/>
        </w:rPr>
      </w:pPr>
      <w:r>
        <w:rPr>
          <w:rFonts w:hint="eastAsia" w:ascii="Times New Roman" w:hAnsi="Times New Roman"/>
          <w:kern w:val="0"/>
          <w:sz w:val="22"/>
        </w:rPr>
        <w:t>５</w:t>
      </w:r>
      <w:r>
        <w:rPr>
          <w:rFonts w:hint="eastAsia" w:ascii="Times New Roman" w:hAnsi="Times New Roman"/>
          <w:color w:val="000000"/>
          <w:kern w:val="0"/>
          <w:sz w:val="22"/>
        </w:rPr>
        <w:t>　記載すべき金額は、千円単位をもって表示すること。</w:t>
      </w:r>
    </w:p>
    <w:p>
      <w:pPr>
        <w:pStyle w:val="0"/>
        <w:suppressAutoHyphens w:val="1"/>
        <w:wordWrap w:val="0"/>
        <w:overflowPunct w:val="0"/>
        <w:autoSpaceDE w:val="0"/>
        <w:autoSpaceDN w:val="0"/>
        <w:ind w:left="454"/>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　ただし、会社法第２条第６号に規定する大会社にあっては、百万円単位をもって表示することができる。この場合、「千円」とあるのは、「百万円」として記載すること。</w:t>
      </w:r>
    </w:p>
    <w:p>
      <w:pPr>
        <w:pStyle w:val="0"/>
        <w:suppressAutoHyphens w:val="1"/>
        <w:wordWrap w:val="0"/>
        <w:overflowPunct w:val="0"/>
        <w:autoSpaceDE w:val="0"/>
        <w:autoSpaceDN w:val="0"/>
        <w:textAlignment w:val="baseline"/>
        <w:rPr>
          <w:rFonts w:hint="default" w:ascii="ＭＳ 明朝" w:hAnsi="ＭＳ 明朝"/>
          <w:color w:val="000000"/>
          <w:spacing w:val="4"/>
          <w:kern w:val="0"/>
          <w:sz w:val="22"/>
        </w:rPr>
      </w:pPr>
      <w:r>
        <w:rPr>
          <w:rFonts w:hint="eastAsia" w:ascii="ＭＳ 明朝" w:hAnsi="ＭＳ 明朝"/>
          <w:color w:val="000000"/>
          <w:kern w:val="0"/>
          <w:sz w:val="22"/>
        </w:rPr>
        <w:t>第２　個別事項</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１　完成工事未収入金の詳細</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別記様式第十五号による貸借対照表（以下単に「貸借対照表」という。）の流動資産の完成工事未収入金について、その主な相手先及び相手先ごとの額を記載すること。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同一の相手先について契約口数が多数ある場合には、相手先別に一括して記載することができる。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滞留状況については、当期計上分（１年未満）及び前期以前計上分（１年以上）に分け、各々の合計額を記載すること。</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２　短期貸付金明細表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貸借対照表の流動資産の短期貸付金について、その主な相手先及び相手先ごとの額を記載すること。ただし、当該科目の額が資産総額の</w:t>
      </w:r>
      <w:r>
        <w:rPr>
          <w:rFonts w:hint="default" w:ascii="Times New Roman" w:hAnsi="Times New Roman"/>
          <w:color w:val="000000"/>
          <w:kern w:val="0"/>
          <w:sz w:val="22"/>
        </w:rPr>
        <w:t>100</w:t>
      </w:r>
      <w:r>
        <w:rPr>
          <w:rFonts w:hint="eastAsia" w:ascii="Times New Roman" w:hAnsi="Times New Roman"/>
          <w:color w:val="000000"/>
          <w:kern w:val="0"/>
          <w:sz w:val="22"/>
        </w:rPr>
        <w:t>分の５以下である時は記載を省略することができる。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同一の相手先について契約口数が多数ある場合には、相手先別に一括して記載することができる。</w:t>
      </w:r>
    </w:p>
    <w:p>
      <w:pPr>
        <w:pStyle w:val="0"/>
        <w:suppressAutoHyphens w:val="1"/>
        <w:wordWrap w:val="0"/>
        <w:overflowPunct w:val="0"/>
        <w:autoSpaceDE w:val="0"/>
        <w:autoSpaceDN w:val="0"/>
        <w:ind w:left="680" w:hanging="226"/>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関係会社に対するものはまとめて記載することができる。</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３　長期貸付金明細表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貸借対照表の固定資産の長期貸付金について、その主な相手先及び相手先ごとの額を記載すること。ただし、当該科目の額が資産総額の</w:t>
      </w:r>
      <w:r>
        <w:rPr>
          <w:rFonts w:hint="default" w:ascii="Times New Roman" w:hAnsi="Times New Roman"/>
          <w:color w:val="000000"/>
          <w:kern w:val="0"/>
          <w:sz w:val="22"/>
        </w:rPr>
        <w:t>100</w:t>
      </w:r>
      <w:r>
        <w:rPr>
          <w:rFonts w:hint="eastAsia" w:ascii="Times New Roman" w:hAnsi="Times New Roman"/>
          <w:color w:val="000000"/>
          <w:kern w:val="0"/>
          <w:sz w:val="22"/>
        </w:rPr>
        <w:t>分の５以下である時は記載を省略することができる。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同一の相手先について契約口数が多数ある場合には、相手先別に一括して記載することができる。</w:t>
      </w:r>
    </w:p>
    <w:p>
      <w:pPr>
        <w:pStyle w:val="0"/>
        <w:suppressAutoHyphens w:val="1"/>
        <w:wordWrap w:val="0"/>
        <w:overflowPunct w:val="0"/>
        <w:autoSpaceDE w:val="0"/>
        <w:autoSpaceDN w:val="0"/>
        <w:ind w:left="680" w:hanging="226"/>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関係会社に対するものはまとめて記載することができる。</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４　関係会社貸付金明細表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貸借対照表の短期貸付金、長期貸付金その他資産に含まれる関係会社貸付金について、その関係会社名及び関係会社ごとの額を記載すること。ただし、当該科目の額が資産総額の</w:t>
      </w:r>
      <w:r>
        <w:rPr>
          <w:rFonts w:hint="default" w:ascii="Times New Roman" w:hAnsi="Times New Roman"/>
          <w:color w:val="000000"/>
          <w:kern w:val="0"/>
          <w:sz w:val="22"/>
        </w:rPr>
        <w:t>100</w:t>
      </w:r>
      <w:r>
        <w:rPr>
          <w:rFonts w:hint="eastAsia" w:ascii="Times New Roman" w:hAnsi="Times New Roman"/>
          <w:color w:val="000000"/>
          <w:kern w:val="0"/>
          <w:sz w:val="22"/>
        </w:rPr>
        <w:t>分の５以下である時は記載を省略することができる。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関係会社貸付金は貸借対照表の勘定科目ごとに区別して記載し、親会社、子会社、関連会社及びその他</w:t>
      </w:r>
      <w:r>
        <w:rPr>
          <w:rFonts w:hint="eastAsia" w:ascii="Times New Roman" w:hAnsi="Times New Roman"/>
          <w:kern w:val="0"/>
          <w:sz w:val="22"/>
        </w:rPr>
        <w:t>の関係会</w:t>
      </w:r>
      <w:r>
        <w:rPr>
          <w:rFonts w:hint="eastAsia" w:ascii="Times New Roman" w:hAnsi="Times New Roman"/>
          <w:color w:val="000000"/>
          <w:kern w:val="0"/>
          <w:sz w:val="22"/>
        </w:rPr>
        <w:t>社について各々の合計額を記載すること。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摘要の欄には、貸付の条件（返済期限（分割返済条件のある場合にはその条件）及び担保物件の種類）について記載すること。重要な貸付金で無利息又は特別の条件による利率が約定されているものについては、その旨及び当該利率について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4</w:t>
      </w:r>
      <w:r>
        <w:rPr>
          <w:rFonts w:hint="default" w:ascii="ＭＳ 明朝" w:hAnsi="ＭＳ 明朝"/>
          <w:color w:val="000000"/>
          <w:kern w:val="0"/>
          <w:sz w:val="22"/>
        </w:rPr>
        <w:t>)</w:t>
      </w:r>
      <w:r>
        <w:rPr>
          <w:rFonts w:hint="eastAsia" w:ascii="Times New Roman" w:hAnsi="Times New Roman"/>
          <w:color w:val="000000"/>
          <w:kern w:val="0"/>
          <w:sz w:val="22"/>
        </w:rPr>
        <w:t>　同一の関係会社について契約口数が多数ある場合には、関係会社別に一括し、担保及び返済期限について要約して記載することができる。</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５　関係会社有価証券明細表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貸借対照表の有価証券、流動資産の「その他」、投資有価証券、関係会社株式・関係会社出資金及び投資その他の資産の「その他」に含まれる関係会社有価証券について、その銘柄及び銘柄ごとの額を記載すること。ただし、当該科目の額が資産総額の</w:t>
      </w:r>
      <w:r>
        <w:rPr>
          <w:rFonts w:hint="default" w:ascii="Times New Roman" w:hAnsi="Times New Roman"/>
          <w:color w:val="000000"/>
          <w:kern w:val="0"/>
          <w:sz w:val="22"/>
        </w:rPr>
        <w:t>100</w:t>
      </w:r>
      <w:r>
        <w:rPr>
          <w:rFonts w:hint="eastAsia" w:ascii="Times New Roman" w:hAnsi="Times New Roman"/>
          <w:color w:val="000000"/>
          <w:kern w:val="0"/>
          <w:sz w:val="22"/>
        </w:rPr>
        <w:t>分の５以下である時は記載を省略することができる。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当該有価証券の発行会社について、附属明細表提出会社との関係（親会社、子会社等の関係）を摘要欄に記載すること。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社債の銘柄は、「何会社物上担保付社債」のように記載すること。なお、新株予約権が付与されている場合には、その旨を付記すること。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4</w:t>
      </w:r>
      <w:r>
        <w:rPr>
          <w:rFonts w:hint="default" w:ascii="ＭＳ 明朝" w:hAnsi="ＭＳ 明朝"/>
          <w:color w:val="000000"/>
          <w:kern w:val="0"/>
          <w:sz w:val="22"/>
        </w:rPr>
        <w:t>)</w:t>
      </w:r>
      <w:r>
        <w:rPr>
          <w:rFonts w:hint="eastAsia" w:ascii="Times New Roman" w:hAnsi="Times New Roman"/>
          <w:color w:val="000000"/>
          <w:kern w:val="0"/>
          <w:sz w:val="22"/>
        </w:rPr>
        <w:t>　取得価額及び貸借対照表計上額については、その算定の基準とした評価基準及び評価方法を摘要欄に記載すること。ただし、評価基準及び評価方法が別記様式第</w:t>
      </w:r>
      <w:r>
        <w:rPr>
          <w:rFonts w:hint="default" w:ascii="Times New Roman" w:hAnsi="Times New Roman"/>
          <w:color w:val="000000"/>
          <w:kern w:val="0"/>
          <w:sz w:val="22"/>
        </w:rPr>
        <w:t>17</w:t>
      </w:r>
      <w:r>
        <w:rPr>
          <w:rFonts w:hint="eastAsia" w:ascii="Times New Roman" w:hAnsi="Times New Roman"/>
          <w:color w:val="000000"/>
          <w:kern w:val="0"/>
          <w:sz w:val="22"/>
        </w:rPr>
        <w:t>号の</w:t>
      </w:r>
      <w:r>
        <w:rPr>
          <w:rFonts w:hint="default" w:ascii="Times New Roman" w:hAnsi="Times New Roman"/>
          <w:color w:val="000000"/>
          <w:kern w:val="0"/>
          <w:sz w:val="22"/>
        </w:rPr>
        <w:t>2</w:t>
      </w:r>
      <w:r>
        <w:rPr>
          <w:rFonts w:hint="eastAsia" w:ascii="Times New Roman" w:hAnsi="Times New Roman"/>
          <w:color w:val="000000"/>
          <w:kern w:val="0"/>
          <w:sz w:val="22"/>
        </w:rPr>
        <w:t>による注記表（以下単に「注記表」という。）の２により記載されている場合には、その記載を省略することができる。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5</w:t>
      </w:r>
      <w:r>
        <w:rPr>
          <w:rFonts w:hint="default" w:ascii="ＭＳ 明朝" w:hAnsi="ＭＳ 明朝"/>
          <w:color w:val="000000"/>
          <w:kern w:val="0"/>
          <w:sz w:val="22"/>
        </w:rPr>
        <w:t>)</w:t>
      </w:r>
      <w:r>
        <w:rPr>
          <w:rFonts w:hint="eastAsia" w:ascii="Times New Roman" w:hAnsi="Times New Roman"/>
          <w:color w:val="000000"/>
          <w:kern w:val="0"/>
          <w:sz w:val="22"/>
        </w:rPr>
        <w:t>　当期増加額及び当期減少額がともにない場合には、期首残高、当期増加額及び当期減少額の各欄を省略した様式に記載することができる。この場合には、その旨を摘要欄に記載すること。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6</w:t>
      </w:r>
      <w:r>
        <w:rPr>
          <w:rFonts w:hint="default" w:ascii="ＭＳ 明朝" w:hAnsi="ＭＳ 明朝"/>
          <w:color w:val="000000"/>
          <w:kern w:val="0"/>
          <w:sz w:val="22"/>
        </w:rPr>
        <w:t>)</w:t>
      </w:r>
      <w:r>
        <w:rPr>
          <w:rFonts w:hint="eastAsia" w:ascii="Times New Roman" w:hAnsi="Times New Roman"/>
          <w:color w:val="000000"/>
          <w:kern w:val="0"/>
          <w:sz w:val="22"/>
        </w:rPr>
        <w:t>　一の</w:t>
      </w:r>
      <w:r>
        <w:rPr>
          <w:rFonts w:hint="eastAsia" w:ascii="Times New Roman" w:hAnsi="Times New Roman"/>
          <w:kern w:val="0"/>
          <w:sz w:val="22"/>
        </w:rPr>
        <w:t>関係会社の有価証券の総額と当該関係会社に対する債権の総額との合計額が附属明細表提出会社の資産の総額の</w:t>
      </w:r>
      <w:r>
        <w:rPr>
          <w:rFonts w:hint="default" w:ascii="Times New Roman" w:hAnsi="Times New Roman"/>
          <w:kern w:val="0"/>
          <w:sz w:val="22"/>
        </w:rPr>
        <w:t>100</w:t>
      </w:r>
      <w:r>
        <w:rPr>
          <w:rFonts w:hint="eastAsia" w:ascii="Times New Roman" w:hAnsi="Times New Roman"/>
          <w:kern w:val="0"/>
          <w:sz w:val="22"/>
        </w:rPr>
        <w:t>分の</w:t>
      </w:r>
      <w:r>
        <w:rPr>
          <w:rFonts w:hint="eastAsia" w:ascii="Times New Roman" w:hAnsi="Times New Roman"/>
          <w:color w:val="000000"/>
          <w:kern w:val="0"/>
          <w:sz w:val="22"/>
        </w:rPr>
        <w:t>５</w:t>
      </w:r>
      <w:r>
        <w:rPr>
          <w:rFonts w:hint="eastAsia" w:ascii="Times New Roman" w:hAnsi="Times New Roman"/>
          <w:kern w:val="0"/>
          <w:sz w:val="22"/>
        </w:rPr>
        <w:t>を超える場合、一の関係会社に対する債務の総額が附属明細表提出会社の負債及び純資産の合計</w:t>
      </w:r>
      <w:r>
        <w:rPr>
          <w:rFonts w:hint="eastAsia" w:ascii="Times New Roman" w:hAnsi="Times New Roman"/>
          <w:color w:val="000000"/>
          <w:kern w:val="0"/>
          <w:sz w:val="22"/>
        </w:rPr>
        <w:t>額が</w:t>
      </w:r>
      <w:r>
        <w:rPr>
          <w:rFonts w:hint="default" w:ascii="Times New Roman" w:hAnsi="Times New Roman"/>
          <w:color w:val="000000"/>
          <w:kern w:val="0"/>
          <w:sz w:val="22"/>
        </w:rPr>
        <w:t>100</w:t>
      </w:r>
      <w:r>
        <w:rPr>
          <w:rFonts w:hint="eastAsia" w:ascii="Times New Roman" w:hAnsi="Times New Roman"/>
          <w:color w:val="000000"/>
          <w:kern w:val="0"/>
          <w:sz w:val="22"/>
        </w:rPr>
        <w:t>分の５を超える場合又は一の関係会社に対する売上高が附属明細表提出会社の売上額の総額の</w:t>
      </w:r>
      <w:r>
        <w:rPr>
          <w:rFonts w:hint="default" w:ascii="Times New Roman" w:hAnsi="Times New Roman"/>
          <w:color w:val="000000"/>
          <w:kern w:val="0"/>
          <w:sz w:val="22"/>
        </w:rPr>
        <w:t>100</w:t>
      </w:r>
      <w:r>
        <w:rPr>
          <w:rFonts w:hint="eastAsia" w:ascii="Times New Roman" w:hAnsi="Times New Roman"/>
          <w:color w:val="000000"/>
          <w:kern w:val="0"/>
          <w:sz w:val="22"/>
        </w:rPr>
        <w:t>分の</w:t>
      </w:r>
      <w:r>
        <w:rPr>
          <w:rFonts w:hint="default" w:ascii="Times New Roman" w:hAnsi="Times New Roman"/>
          <w:color w:val="000000"/>
          <w:kern w:val="0"/>
          <w:sz w:val="22"/>
        </w:rPr>
        <w:t>20</w:t>
      </w:r>
      <w:r>
        <w:rPr>
          <w:rFonts w:hint="eastAsia" w:ascii="Times New Roman" w:hAnsi="Times New Roman"/>
          <w:color w:val="000000"/>
          <w:kern w:val="0"/>
          <w:sz w:val="22"/>
        </w:rPr>
        <w:t>を超える場合には、当該関係会社の発行済株式の総数に対する所有割合、社債の未償還残高その他当該関係会社との関係内容（例えば、役員の兼任、資金援助、営業上の取引、設備の賃貸借等の関係内容）を注記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7</w:t>
      </w:r>
      <w:r>
        <w:rPr>
          <w:rFonts w:hint="default" w:ascii="ＭＳ 明朝" w:hAnsi="ＭＳ 明朝"/>
          <w:color w:val="000000"/>
          <w:kern w:val="0"/>
          <w:sz w:val="22"/>
        </w:rPr>
        <w:t>)</w:t>
      </w:r>
      <w:r>
        <w:rPr>
          <w:rFonts w:hint="eastAsia" w:ascii="Times New Roman" w:hAnsi="Times New Roman"/>
          <w:color w:val="000000"/>
          <w:kern w:val="0"/>
          <w:sz w:val="22"/>
        </w:rPr>
        <w:t>　株式のうち、会社法第</w:t>
      </w:r>
      <w:r>
        <w:rPr>
          <w:rFonts w:hint="default" w:ascii="Times New Roman" w:hAnsi="Times New Roman"/>
          <w:color w:val="000000"/>
          <w:kern w:val="0"/>
          <w:sz w:val="22"/>
        </w:rPr>
        <w:t>308</w:t>
      </w:r>
      <w:r>
        <w:rPr>
          <w:rFonts w:hint="eastAsia" w:ascii="Times New Roman" w:hAnsi="Times New Roman"/>
          <w:color w:val="000000"/>
          <w:kern w:val="0"/>
          <w:sz w:val="22"/>
        </w:rPr>
        <w:t>条第１項の規定により議決権を有しないものについては、その旨を摘要欄に記載すること。</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６　関係会社出資金明細表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貸借対照表の関係会社株式・関係会社出資金及び投資その他の資産の「その他」に含まれる関係会社出資金について、その関係会社名及び関係会社ごとの額を記載すること。ただし、当該科目の額が資産総額の</w:t>
      </w:r>
      <w:r>
        <w:rPr>
          <w:rFonts w:hint="default" w:ascii="Times New Roman" w:hAnsi="Times New Roman"/>
          <w:color w:val="000000"/>
          <w:kern w:val="0"/>
          <w:sz w:val="22"/>
        </w:rPr>
        <w:t>100</w:t>
      </w:r>
      <w:r>
        <w:rPr>
          <w:rFonts w:hint="eastAsia" w:ascii="Times New Roman" w:hAnsi="Times New Roman"/>
          <w:color w:val="000000"/>
          <w:kern w:val="0"/>
          <w:sz w:val="22"/>
        </w:rPr>
        <w:t>分の５以下である時は記載を省略することができる。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出資金額の重要なものについては、出資の条件（１口の出資金額、出資口数、譲渡制限等の諸条件）を摘要欄に記載すること。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本表に記載されている会社であって、第２の５の</w:t>
      </w:r>
      <w:r>
        <w:rPr>
          <w:rFonts w:hint="default" w:ascii="ＭＳ 明朝" w:hAnsi="ＭＳ 明朝"/>
          <w:color w:val="000000"/>
          <w:kern w:val="0"/>
          <w:sz w:val="22"/>
        </w:rPr>
        <w:t>(</w:t>
      </w:r>
      <w:r>
        <w:rPr>
          <w:rFonts w:hint="eastAsia" w:ascii="Times New Roman" w:hAnsi="Times New Roman"/>
          <w:color w:val="000000"/>
          <w:kern w:val="0"/>
          <w:sz w:val="22"/>
        </w:rPr>
        <w:t>６</w:t>
      </w:r>
      <w:r>
        <w:rPr>
          <w:rFonts w:hint="default" w:ascii="ＭＳ 明朝" w:hAnsi="ＭＳ 明朝"/>
          <w:color w:val="000000"/>
          <w:kern w:val="0"/>
          <w:sz w:val="22"/>
        </w:rPr>
        <w:t>)</w:t>
      </w:r>
      <w:r>
        <w:rPr>
          <w:rFonts w:hint="eastAsia" w:ascii="Times New Roman" w:hAnsi="Times New Roman"/>
          <w:color w:val="000000"/>
          <w:kern w:val="0"/>
          <w:sz w:val="22"/>
        </w:rPr>
        <w:t>に定められた会社と同一の条件のものがある場合には、当該関係会社に対してはこれに準じて注記すること。</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７　短期借入金明細表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貸借対照表の流動負債の短期借入金について、その借入先及び借入先ごとの額を記載すること。ただし、比較的借入額が少額なものについては、無利息又は特別な利率が約定されている場合を除き、まとめて記載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設備資金と運転資金に分けて記載すること。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摘要の欄には、資金使途、借入の条件（担保、無利息の場合にはその旨、特別の利率が約定されている場合には当該利率）等について記載すること。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4</w:t>
      </w:r>
      <w:r>
        <w:rPr>
          <w:rFonts w:hint="default" w:ascii="ＭＳ 明朝" w:hAnsi="ＭＳ 明朝"/>
          <w:color w:val="000000"/>
          <w:kern w:val="0"/>
          <w:sz w:val="22"/>
        </w:rPr>
        <w:t>)</w:t>
      </w:r>
      <w:r>
        <w:rPr>
          <w:rFonts w:hint="eastAsia" w:ascii="Times New Roman" w:hAnsi="Times New Roman"/>
          <w:color w:val="000000"/>
          <w:kern w:val="0"/>
          <w:sz w:val="22"/>
        </w:rPr>
        <w:t>　同一の借入先について契約口数が多数ある場合には、借入先別に一括し、返済期限、資金使途及び借入の条件について要約して記載することができる。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5</w:t>
      </w:r>
      <w:r>
        <w:rPr>
          <w:rFonts w:hint="default" w:ascii="ＭＳ 明朝" w:hAnsi="ＭＳ 明朝"/>
          <w:color w:val="000000"/>
          <w:kern w:val="0"/>
          <w:sz w:val="22"/>
        </w:rPr>
        <w:t>)</w:t>
      </w:r>
      <w:r>
        <w:rPr>
          <w:rFonts w:hint="eastAsia" w:ascii="Times New Roman" w:hAnsi="Times New Roman"/>
          <w:color w:val="000000"/>
          <w:kern w:val="0"/>
          <w:sz w:val="22"/>
        </w:rPr>
        <w:t>　関係会社からのものはまとめて記載することができる。</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８　長期借入金明細表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貸借対照表の固定負債の長期借入金及び契約期間が１年を超える借入金で最終の返済期限が１年内に到来するもの又は最終の返済期限が１年後に到来するもののうち１年内の分割返済予定額で貸借対照表において流動負債として掲げられているものについて、その借入先及び借入先ごとの額を記載すること。ただし、比較的借入額が少額なものについては、無利息又は特別な利率が約定されているものを除き、まとめて記載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契約期間が１年を超える借入金で最終の返済期限が１年内に到来するもの又は最終の返済期限が１年後に到来するもののうち１年内の分割返済予定額で貸借対照表において流動負債として掲げられているものについては、当期減少額として記載せず、期末残高に含めて記載すること。この場合においては、期末残高欄に内書（括弧書）として記載し、その旨を注記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摘要の欄には、借入金の使途及び借入の条件（返済期限（分割返済条件のある場合にはその条件）及び担保物件の種類）について記載すること。重要な借入金で無利息又は特別の条件による利率が約定されているものについては、その旨及び当該利率について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4</w:t>
      </w:r>
      <w:r>
        <w:rPr>
          <w:rFonts w:hint="default" w:ascii="ＭＳ 明朝" w:hAnsi="ＭＳ 明朝"/>
          <w:color w:val="000000"/>
          <w:kern w:val="0"/>
          <w:sz w:val="22"/>
        </w:rPr>
        <w:t>)</w:t>
      </w:r>
      <w:r>
        <w:rPr>
          <w:rFonts w:hint="eastAsia" w:ascii="Times New Roman" w:hAnsi="Times New Roman"/>
          <w:color w:val="000000"/>
          <w:kern w:val="0"/>
          <w:sz w:val="22"/>
        </w:rPr>
        <w:t>　同一の借入先について契約口数が多数ある場合には、借入先別に一括し、使途、担保及び返済期限について要約して記載することができる。この場合においては、借入先別に一括されたすべての借入金について当該貸借対照表日以後３年間における１年ごとの返済予定額を注記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5</w:t>
      </w:r>
      <w:r>
        <w:rPr>
          <w:rFonts w:hint="default" w:ascii="ＭＳ 明朝" w:hAnsi="ＭＳ 明朝"/>
          <w:color w:val="000000"/>
          <w:kern w:val="0"/>
          <w:sz w:val="22"/>
        </w:rPr>
        <w:t>)</w:t>
      </w:r>
      <w:r>
        <w:rPr>
          <w:rFonts w:hint="eastAsia" w:ascii="Times New Roman" w:hAnsi="Times New Roman"/>
          <w:color w:val="000000"/>
          <w:kern w:val="0"/>
          <w:sz w:val="22"/>
        </w:rPr>
        <w:t>　関係会社からのものはまとめて記載することができる。</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eastAsia" w:ascii="Times New Roman" w:hAnsi="Times New Roman"/>
          <w:color w:val="000000"/>
          <w:kern w:val="0"/>
          <w:sz w:val="22"/>
        </w:rPr>
        <w:t>９　関係会社借入金明細表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貸借対照表の短期借入金、長期借入金その他負債に含まれる関係会社借入金について、その関係会社名及び関係会社ごとの額を記載すること。ただし、当該科目の額が資産総額の</w:t>
      </w:r>
      <w:r>
        <w:rPr>
          <w:rFonts w:hint="default" w:ascii="Times New Roman" w:hAnsi="Times New Roman"/>
          <w:color w:val="000000"/>
          <w:kern w:val="0"/>
          <w:sz w:val="22"/>
        </w:rPr>
        <w:t>100</w:t>
      </w:r>
      <w:r>
        <w:rPr>
          <w:rFonts w:hint="eastAsia" w:ascii="Times New Roman" w:hAnsi="Times New Roman"/>
          <w:color w:val="000000"/>
          <w:kern w:val="0"/>
          <w:sz w:val="22"/>
        </w:rPr>
        <w:t>分の５以下である時は記載を省略することができる。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関係会社借入金は貸借対照表の勘定科目ごとに区別して記載し、親会社、子会社、関連会社及びその他の関係会社について各々の合計額を記載すること。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短期借入金については、第２の７の</w:t>
      </w: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及び</w:t>
      </w:r>
      <w:r>
        <w:rPr>
          <w:rFonts w:hint="default" w:ascii="ＭＳ 明朝" w:hAnsi="ＭＳ 明朝"/>
          <w:color w:val="000000"/>
          <w:kern w:val="0"/>
          <w:sz w:val="22"/>
        </w:rPr>
        <w:t>(</w:t>
      </w:r>
      <w:r>
        <w:rPr>
          <w:rFonts w:hint="default" w:ascii="Times New Roman" w:hAnsi="Times New Roman"/>
          <w:color w:val="000000"/>
          <w:kern w:val="0"/>
          <w:sz w:val="22"/>
        </w:rPr>
        <w:t>4</w:t>
      </w:r>
      <w:r>
        <w:rPr>
          <w:rFonts w:hint="default" w:ascii="ＭＳ 明朝" w:hAnsi="ＭＳ 明朝"/>
          <w:color w:val="000000"/>
          <w:kern w:val="0"/>
          <w:sz w:val="22"/>
        </w:rPr>
        <w:t>)</w:t>
      </w:r>
      <w:r>
        <w:rPr>
          <w:rFonts w:hint="eastAsia" w:ascii="Times New Roman" w:hAnsi="Times New Roman"/>
          <w:color w:val="000000"/>
          <w:kern w:val="0"/>
          <w:sz w:val="22"/>
        </w:rPr>
        <w:t>に準じて記載し、長期借入金については、第２の８の</w:t>
      </w: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w:t>
      </w: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及び</w:t>
      </w:r>
      <w:r>
        <w:rPr>
          <w:rFonts w:hint="default" w:ascii="ＭＳ 明朝" w:hAnsi="ＭＳ 明朝"/>
          <w:color w:val="000000"/>
          <w:kern w:val="0"/>
          <w:sz w:val="22"/>
        </w:rPr>
        <w:t>(</w:t>
      </w:r>
      <w:r>
        <w:rPr>
          <w:rFonts w:hint="default" w:ascii="Times New Roman" w:hAnsi="Times New Roman"/>
          <w:color w:val="000000"/>
          <w:kern w:val="0"/>
          <w:sz w:val="22"/>
        </w:rPr>
        <w:t>4</w:t>
      </w:r>
      <w:r>
        <w:rPr>
          <w:rFonts w:hint="default" w:ascii="ＭＳ 明朝" w:hAnsi="ＭＳ 明朝"/>
          <w:color w:val="000000"/>
          <w:kern w:val="0"/>
          <w:sz w:val="22"/>
        </w:rPr>
        <w:t>)</w:t>
      </w:r>
      <w:r>
        <w:rPr>
          <w:rFonts w:hint="eastAsia" w:ascii="Times New Roman" w:hAnsi="Times New Roman"/>
          <w:color w:val="000000"/>
          <w:kern w:val="0"/>
          <w:sz w:val="22"/>
        </w:rPr>
        <w:t>に準じて記載すること。</w:t>
      </w:r>
    </w:p>
    <w:p>
      <w:pPr>
        <w:pStyle w:val="0"/>
        <w:suppressAutoHyphens w:val="1"/>
        <w:wordWrap w:val="0"/>
        <w:overflowPunct w:val="0"/>
        <w:autoSpaceDE w:val="0"/>
        <w:autoSpaceDN w:val="0"/>
        <w:ind w:left="226"/>
        <w:textAlignment w:val="baseline"/>
        <w:rPr>
          <w:rFonts w:hint="default" w:ascii="ＭＳ 明朝" w:hAnsi="ＭＳ 明朝"/>
          <w:color w:val="000000"/>
          <w:spacing w:val="4"/>
          <w:kern w:val="0"/>
          <w:sz w:val="22"/>
        </w:rPr>
      </w:pPr>
      <w:r>
        <w:rPr>
          <w:rFonts w:hint="default" w:ascii="Times New Roman" w:hAnsi="Times New Roman"/>
          <w:color w:val="000000"/>
          <w:kern w:val="0"/>
          <w:sz w:val="22"/>
        </w:rPr>
        <w:t>10</w:t>
      </w:r>
      <w:r>
        <w:rPr>
          <w:rFonts w:hint="eastAsia" w:ascii="Times New Roman" w:hAnsi="Times New Roman"/>
          <w:color w:val="000000"/>
          <w:kern w:val="0"/>
          <w:sz w:val="22"/>
        </w:rPr>
        <w:t>　保証債務明細表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1</w:t>
      </w:r>
      <w:r>
        <w:rPr>
          <w:rFonts w:hint="default" w:ascii="ＭＳ 明朝" w:hAnsi="ＭＳ 明朝"/>
          <w:color w:val="000000"/>
          <w:kern w:val="0"/>
          <w:sz w:val="22"/>
        </w:rPr>
        <w:t>)</w:t>
      </w:r>
      <w:r>
        <w:rPr>
          <w:rFonts w:hint="eastAsia" w:ascii="Times New Roman" w:hAnsi="Times New Roman"/>
          <w:color w:val="000000"/>
          <w:kern w:val="0"/>
          <w:sz w:val="22"/>
        </w:rPr>
        <w:t>　注記表の３の</w:t>
      </w: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の保証債務額について、その相手先及び相手先ごとの額を記載すること。</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　注記表の３の</w:t>
      </w:r>
      <w:r>
        <w:rPr>
          <w:rFonts w:hint="default" w:ascii="ＭＳ 明朝" w:hAnsi="ＭＳ 明朝"/>
          <w:color w:val="000000"/>
          <w:kern w:val="0"/>
          <w:sz w:val="22"/>
        </w:rPr>
        <w:t>(</w:t>
      </w:r>
      <w:r>
        <w:rPr>
          <w:rFonts w:hint="default" w:ascii="Times New Roman" w:hAnsi="Times New Roman"/>
          <w:color w:val="000000"/>
          <w:kern w:val="0"/>
          <w:sz w:val="22"/>
        </w:rPr>
        <w:t>2</w:t>
      </w:r>
      <w:r>
        <w:rPr>
          <w:rFonts w:hint="default" w:ascii="ＭＳ 明朝" w:hAnsi="ＭＳ 明朝"/>
          <w:color w:val="000000"/>
          <w:kern w:val="0"/>
          <w:sz w:val="22"/>
        </w:rPr>
        <w:t>)</w:t>
      </w:r>
      <w:r>
        <w:rPr>
          <w:rFonts w:hint="eastAsia" w:ascii="Times New Roman" w:hAnsi="Times New Roman"/>
          <w:color w:val="000000"/>
          <w:kern w:val="0"/>
          <w:sz w:val="22"/>
        </w:rPr>
        <w:t>において、相手先及び相手</w:t>
      </w:r>
      <w:r>
        <w:rPr>
          <w:rFonts w:hint="eastAsia" w:ascii="Times New Roman" w:hAnsi="Times New Roman"/>
          <w:kern w:val="0"/>
          <w:sz w:val="22"/>
        </w:rPr>
        <w:t>先ごとの</w:t>
      </w:r>
      <w:r>
        <w:rPr>
          <w:rFonts w:hint="eastAsia" w:ascii="Times New Roman" w:hAnsi="Times New Roman"/>
          <w:color w:val="000000"/>
          <w:kern w:val="0"/>
          <w:sz w:val="22"/>
        </w:rPr>
        <w:t>額が記載されている時は記載を省略することができる。</w:t>
      </w:r>
    </w:p>
    <w:p>
      <w:pPr>
        <w:pStyle w:val="0"/>
        <w:suppressAutoHyphens w:val="1"/>
        <w:wordWrap w:val="0"/>
        <w:overflowPunct w:val="0"/>
        <w:autoSpaceDE w:val="0"/>
        <w:autoSpaceDN w:val="0"/>
        <w:ind w:left="794" w:hanging="340"/>
        <w:textAlignment w:val="baseline"/>
        <w:rPr>
          <w:rFonts w:hint="default" w:ascii="ＭＳ 明朝" w:hAnsi="ＭＳ 明朝"/>
          <w:color w:val="000000"/>
          <w:spacing w:val="4"/>
          <w:kern w:val="0"/>
          <w:sz w:val="22"/>
        </w:rPr>
      </w:pPr>
      <w:r>
        <w:rPr>
          <w:rFonts w:hint="default" w:ascii="ＭＳ 明朝" w:hAnsi="ＭＳ 明朝"/>
          <w:color w:val="000000"/>
          <w:kern w:val="0"/>
          <w:sz w:val="22"/>
        </w:rPr>
        <w:t>(</w:t>
      </w:r>
      <w:r>
        <w:rPr>
          <w:rFonts w:hint="default" w:ascii="Times New Roman" w:hAnsi="Times New Roman"/>
          <w:color w:val="000000"/>
          <w:kern w:val="0"/>
          <w:sz w:val="22"/>
        </w:rPr>
        <w:t>3</w:t>
      </w:r>
      <w:r>
        <w:rPr>
          <w:rFonts w:hint="default" w:ascii="ＭＳ 明朝" w:hAnsi="ＭＳ 明朝"/>
          <w:color w:val="000000"/>
          <w:kern w:val="0"/>
          <w:sz w:val="22"/>
        </w:rPr>
        <w:t>)</w:t>
      </w:r>
      <w:r>
        <w:rPr>
          <w:rFonts w:hint="eastAsia" w:ascii="Times New Roman" w:hAnsi="Times New Roman"/>
          <w:color w:val="000000"/>
          <w:kern w:val="0"/>
          <w:sz w:val="22"/>
        </w:rPr>
        <w:t>　同一の相手先について契約口数が多数ある場合には、相手先別に一括して記載することができる。</w:t>
      </w:r>
    </w:p>
    <w:p>
      <w:pPr>
        <w:pStyle w:val="0"/>
        <w:rPr>
          <w:rFonts w:hint="default"/>
        </w:rPr>
      </w:pPr>
    </w:p>
    <w:sectPr>
      <w:headerReference r:id="rId5" w:type="default"/>
      <w:footerReference r:id="rId6" w:type="default"/>
      <w:pgSz w:w="11906" w:h="16838"/>
      <w:pgMar w:top="1190" w:right="850" w:bottom="850" w:left="850" w:header="720" w:footer="720" w:gutter="0"/>
      <w:pgNumType w:start="1"/>
      <w:cols w:space="720"/>
      <w:noEndnote w:val="1"/>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ＭＳ 明朝" w:hAnsi="ＭＳ 明朝"/>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72</Words>
  <Characters>4341</Characters>
  <Application>JUST Note</Application>
  <Lines>3677</Lines>
  <Paragraphs>223</Paragraphs>
  <CharactersWithSpaces>4604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様式第十七号の三（第四条、第十条関係）   　　　　　　                　　　　（用紙Ａ４）</dc:title>
  <dc:creator>ＣＩＩＣ</dc:creator>
  <cp:lastModifiedBy>Z19368</cp:lastModifiedBy>
  <cp:lastPrinted>2007-12-14T11:01:00Z</cp:lastPrinted>
  <dcterms:created xsi:type="dcterms:W3CDTF">2019-07-08T05:56:00Z</dcterms:created>
  <dcterms:modified xsi:type="dcterms:W3CDTF">2024-03-07T07:23:26Z</dcterms:modified>
  <cp:revision>2</cp:revision>
</cp:coreProperties>
</file>