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高知県養殖業デジタル化促進事業費補助金交付要綱</w:t>
      </w:r>
    </w:p>
    <w:p>
      <w:pPr>
        <w:pStyle w:val="0"/>
        <w:spacing w:line="360" w:lineRule="exact"/>
        <w:rPr>
          <w:rFonts w:hint="eastAsia" w:ascii="ＭＳ 明朝" w:hAnsi="ＭＳ 明朝" w:eastAsia="ＭＳ 明朝"/>
          <w:color w:val="auto"/>
          <w:sz w:val="22"/>
          <w:highlight w:val="none"/>
        </w:rPr>
      </w:pPr>
    </w:p>
    <w:p>
      <w:pPr>
        <w:pStyle w:val="0"/>
        <w:spacing w:line="360" w:lineRule="exact"/>
        <w:ind w:firstLine="24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（趣旨）</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第１条　この要綱は、高知県補助金等交付規則（昭和</w:t>
      </w:r>
      <w:r>
        <w:rPr>
          <w:rFonts w:hint="eastAsia" w:ascii="ＭＳ 明朝" w:hAnsi="ＭＳ 明朝" w:eastAsia="ＭＳ 明朝"/>
          <w:color w:val="auto"/>
          <w:sz w:val="22"/>
          <w:highlight w:val="none"/>
        </w:rPr>
        <w:t>43</w:t>
      </w:r>
      <w:r>
        <w:rPr>
          <w:rFonts w:hint="eastAsia" w:ascii="ＭＳ 明朝" w:hAnsi="ＭＳ 明朝" w:eastAsia="ＭＳ 明朝"/>
          <w:color w:val="auto"/>
          <w:sz w:val="22"/>
          <w:highlight w:val="none"/>
        </w:rPr>
        <w:t>年高知県規則第７号。以下「規則」という。）第</w:t>
      </w:r>
      <w:r>
        <w:rPr>
          <w:rFonts w:hint="eastAsia" w:ascii="ＭＳ 明朝" w:hAnsi="ＭＳ 明朝" w:eastAsia="ＭＳ 明朝"/>
          <w:color w:val="auto"/>
          <w:sz w:val="22"/>
          <w:highlight w:val="none"/>
        </w:rPr>
        <w:t>24</w:t>
      </w:r>
      <w:r>
        <w:rPr>
          <w:rFonts w:hint="eastAsia" w:ascii="ＭＳ 明朝" w:hAnsi="ＭＳ 明朝" w:eastAsia="ＭＳ 明朝"/>
          <w:color w:val="auto"/>
          <w:sz w:val="22"/>
          <w:highlight w:val="none"/>
        </w:rPr>
        <w:t>条の規定に基づき、養殖業デジタル化促進事業費補助金（以下「補助金」という。）の交付に関し必要な事項を定めるものとする。</w:t>
      </w:r>
    </w:p>
    <w:p>
      <w:pPr>
        <w:pStyle w:val="0"/>
        <w:spacing w:line="360" w:lineRule="exact"/>
        <w:rPr>
          <w:rFonts w:hint="eastAsia" w:ascii="ＭＳ 明朝" w:hAnsi="ＭＳ 明朝" w:eastAsia="ＭＳ 明朝"/>
          <w:color w:val="auto"/>
          <w:sz w:val="22"/>
          <w:highlight w:val="none"/>
        </w:rPr>
      </w:pPr>
    </w:p>
    <w:p>
      <w:pPr>
        <w:pStyle w:val="0"/>
        <w:spacing w:line="360" w:lineRule="exact"/>
        <w:ind w:firstLine="24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（補助目的及び補助事業）</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第２条　県は、</w:t>
      </w:r>
      <w:r>
        <w:rPr>
          <w:rFonts w:hint="eastAsia" w:ascii="ＭＳ 明朝" w:hAnsi="ＭＳ 明朝" w:eastAsia="ＭＳ 明朝"/>
          <w:color w:val="auto"/>
          <w:sz w:val="22"/>
          <w:highlight w:val="none"/>
          <w:u w:val="none" w:color="auto"/>
        </w:rPr>
        <w:t>養殖魚の安定生産を図るため、</w:t>
      </w:r>
      <w:r>
        <w:rPr>
          <w:rFonts w:hint="eastAsia" w:ascii="ＭＳ 明朝" w:hAnsi="ＭＳ 明朝" w:eastAsia="ＭＳ 明朝"/>
          <w:color w:val="auto"/>
          <w:sz w:val="22"/>
          <w:highlight w:val="none"/>
        </w:rPr>
        <w:t>養殖業者</w:t>
      </w:r>
      <w:r>
        <w:rPr>
          <w:rFonts w:hint="eastAsia" w:ascii="ＭＳ 明朝" w:hAnsi="ＭＳ 明朝" w:eastAsia="ＭＳ 明朝"/>
          <w:color w:val="auto"/>
          <w:sz w:val="22"/>
          <w:highlight w:val="none"/>
          <w:u w:val="none" w:color="auto"/>
        </w:rPr>
        <w:t>が生産体制及び品質管理の効率化のために行うデジタル機器等の導入に要する</w:t>
      </w:r>
      <w:r>
        <w:rPr>
          <w:rFonts w:hint="eastAsia" w:ascii="ＭＳ 明朝" w:hAnsi="ＭＳ 明朝" w:eastAsia="ＭＳ 明朝"/>
          <w:color w:val="auto"/>
          <w:sz w:val="22"/>
          <w:highlight w:val="none"/>
        </w:rPr>
        <w:t>経費に対し、予算の範囲内において補助する。</w:t>
      </w:r>
    </w:p>
    <w:p>
      <w:pPr>
        <w:pStyle w:val="0"/>
        <w:spacing w:line="360" w:lineRule="exact"/>
        <w:rPr>
          <w:rFonts w:hint="eastAsia" w:ascii="ＭＳ 明朝" w:hAnsi="ＭＳ 明朝" w:eastAsia="ＭＳ 明朝"/>
          <w:color w:val="auto"/>
          <w:sz w:val="22"/>
          <w:highlight w:val="none"/>
        </w:rPr>
      </w:pPr>
    </w:p>
    <w:p>
      <w:pPr>
        <w:pStyle w:val="0"/>
        <w:spacing w:line="360" w:lineRule="exact"/>
        <w:ind w:firstLine="24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rPr>
        <w:t>補助事業者、補助対象経費等</w:t>
      </w:r>
      <w:r>
        <w:rPr>
          <w:rFonts w:hint="eastAsia" w:ascii="ＭＳ 明朝" w:hAnsi="ＭＳ 明朝" w:eastAsia="ＭＳ 明朝"/>
          <w:color w:val="auto"/>
          <w:sz w:val="22"/>
          <w:highlight w:val="none"/>
        </w:rPr>
        <w:t>）</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第３条　補助事業者、補助対象経費、補助率及び補助上限額は、別表第１に定めるとおりとする。ただし、算出された補助金の額に</w:t>
      </w:r>
      <w:r>
        <w:rPr>
          <w:rFonts w:hint="eastAsia" w:ascii="ＭＳ 明朝" w:hAnsi="ＭＳ 明朝" w:eastAsia="ＭＳ 明朝"/>
          <w:color w:val="auto"/>
          <w:sz w:val="22"/>
          <w:highlight w:val="none"/>
        </w:rPr>
        <w:t>1,000</w:t>
      </w:r>
      <w:r>
        <w:rPr>
          <w:rFonts w:hint="eastAsia" w:ascii="ＭＳ 明朝" w:hAnsi="ＭＳ 明朝" w:eastAsia="ＭＳ 明朝"/>
          <w:color w:val="auto"/>
          <w:sz w:val="22"/>
          <w:highlight w:val="none"/>
        </w:rPr>
        <w:t>円未満の端数を生じた場合は、当該端数を切り捨てた額とする。</w:t>
      </w:r>
    </w:p>
    <w:p>
      <w:pPr>
        <w:pStyle w:val="0"/>
        <w:spacing w:line="360" w:lineRule="exact"/>
        <w:rPr>
          <w:rFonts w:hint="eastAsia" w:ascii="ＭＳ 明朝" w:hAnsi="ＭＳ 明朝" w:eastAsia="ＭＳ 明朝"/>
          <w:color w:val="auto"/>
          <w:sz w:val="22"/>
          <w:highlight w:val="none"/>
        </w:rPr>
      </w:pPr>
    </w:p>
    <w:p>
      <w:pPr>
        <w:pStyle w:val="0"/>
        <w:spacing w:line="360" w:lineRule="exact"/>
        <w:ind w:firstLine="24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（補助金の交付申請）</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第４条　補助事業者が補助金の交付を受けようとするときは、別記第１号様式による補助金交付申請書を知事に提出しなければならない。</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前項の補助金交付申請書の提出に当たって、当該補助金に係る消費税仕入控除税額等（補助対象経費に含まれる消費税及び地方消費税の相当額のうち、消費税法（昭和</w:t>
      </w:r>
      <w:r>
        <w:rPr>
          <w:rFonts w:hint="eastAsia" w:ascii="ＭＳ 明朝" w:hAnsi="ＭＳ 明朝" w:eastAsia="ＭＳ 明朝"/>
          <w:color w:val="auto"/>
          <w:sz w:val="22"/>
          <w:highlight w:val="none"/>
        </w:rPr>
        <w:t>63</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108</w:t>
      </w:r>
      <w:r>
        <w:rPr>
          <w:rFonts w:hint="eastAsia" w:ascii="ＭＳ 明朝" w:hAnsi="ＭＳ 明朝" w:eastAsia="ＭＳ 明朝"/>
          <w:color w:val="auto"/>
          <w:sz w:val="22"/>
          <w:highlight w:val="none"/>
        </w:rPr>
        <w:t>号）に規定する仕入れに係る消費税額として控除することができる部分の金額及び当該金額に地方税法（昭和</w:t>
      </w:r>
      <w:r>
        <w:rPr>
          <w:rFonts w:hint="eastAsia" w:ascii="ＭＳ 明朝" w:hAnsi="ＭＳ 明朝" w:eastAsia="ＭＳ 明朝"/>
          <w:color w:val="auto"/>
          <w:sz w:val="22"/>
          <w:highlight w:val="none"/>
        </w:rPr>
        <w:t>25</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226</w:t>
      </w:r>
      <w:r>
        <w:rPr>
          <w:rFonts w:hint="eastAsia" w:ascii="ＭＳ 明朝" w:hAnsi="ＭＳ 明朝" w:eastAsia="ＭＳ 明朝"/>
          <w:color w:val="auto"/>
          <w:sz w:val="22"/>
          <w:highlight w:val="none"/>
        </w:rPr>
        <w:t>号）に規定する地方消費税の税率を乗じて得た金額をいう。以下同じ。）がある場合には、これを減額して申請しなければならない。ただし、申請時において当該補助金に係る消費税仕入控除税額等が明らかでない場合については、この限りでない。</w:t>
      </w:r>
    </w:p>
    <w:p>
      <w:pPr>
        <w:pStyle w:val="0"/>
        <w:spacing w:line="360" w:lineRule="exact"/>
        <w:ind w:left="240" w:hanging="240" w:hangingChars="100"/>
        <w:rPr>
          <w:rFonts w:hint="eastAsia" w:ascii="ＭＳ 明朝" w:hAnsi="ＭＳ 明朝" w:eastAsia="ＭＳ 明朝"/>
          <w:color w:val="auto"/>
          <w:sz w:val="22"/>
          <w:highlight w:val="none"/>
        </w:rPr>
      </w:pP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（補助の条件）</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第５条　補助事業者は、補助金の交付の目的を達成するため、次に掲げる事項を遵守しなければならない。</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交付の決定を受けた補助事業について、次に掲げる場合に該当する変更をするときは、事前に別記第２号様式による変更（中止・廃止）承認申請書を速やかに知事に提出し、知事の承認を受けなければならない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ア　補助金額の増額又は</w:t>
      </w:r>
      <w:r>
        <w:rPr>
          <w:rFonts w:hint="eastAsia" w:ascii="ＭＳ 明朝" w:hAnsi="ＭＳ 明朝" w:eastAsia="ＭＳ 明朝"/>
          <w:color w:val="auto"/>
          <w:sz w:val="22"/>
          <w:highlight w:val="none"/>
        </w:rPr>
        <w:t>20</w:t>
      </w:r>
      <w:r>
        <w:rPr>
          <w:rFonts w:hint="eastAsia" w:ascii="ＭＳ 明朝" w:hAnsi="ＭＳ 明朝" w:eastAsia="ＭＳ 明朝"/>
          <w:color w:val="auto"/>
          <w:sz w:val="22"/>
          <w:highlight w:val="none"/>
        </w:rPr>
        <w:t>パーセントを超える減額</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イ　補助事業の中止又は廃止</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ウ　ア及びイに掲げるもののほか、補助事業の内容の重要な部分の変更</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（２）補助事業が予定の期間に完了しない場合又は補助事業の遂行が困難となった場合は、速やかに知事に報告し、その指示を受けなければならないこと。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（３）補助金に係る収入及び支出を明らかにした帳簿を備え、かつ、当該収入及び支出についての証拠書類を補助事業の終了の翌年度から起算して５年間保管すること。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（４）補助事業により取得し、又は効用の増加した財産については、補助事業の完了後においても善良な管理者の注意をもって管理するとともに、補助金の交付の目的に従ってその効率的な運用を図ること。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（５）補助事業により取得し、又は効用の増加した財産（取得価格又は効用の増加価格が</w:t>
      </w:r>
      <w:r>
        <w:rPr>
          <w:rFonts w:hint="eastAsia" w:ascii="ＭＳ 明朝" w:hAnsi="ＭＳ 明朝" w:eastAsia="ＭＳ 明朝"/>
          <w:color w:val="auto"/>
          <w:sz w:val="22"/>
          <w:highlight w:val="none"/>
        </w:rPr>
        <w:t>50</w:t>
      </w:r>
      <w:r>
        <w:rPr>
          <w:rFonts w:hint="eastAsia" w:ascii="ＭＳ 明朝" w:hAnsi="ＭＳ 明朝" w:eastAsia="ＭＳ 明朝"/>
          <w:color w:val="auto"/>
          <w:sz w:val="22"/>
          <w:highlight w:val="none"/>
        </w:rPr>
        <w:t>万円を超えるものに限る。）については、減価償却資産の耐用年数等に関する省令（昭和</w:t>
      </w:r>
      <w:r>
        <w:rPr>
          <w:rFonts w:hint="eastAsia" w:ascii="ＭＳ 明朝" w:hAnsi="ＭＳ 明朝" w:eastAsia="ＭＳ 明朝"/>
          <w:color w:val="auto"/>
          <w:sz w:val="22"/>
          <w:highlight w:val="none"/>
        </w:rPr>
        <w:t>40</w:t>
      </w:r>
      <w:r>
        <w:rPr>
          <w:rFonts w:hint="eastAsia" w:ascii="ＭＳ 明朝" w:hAnsi="ＭＳ 明朝" w:eastAsia="ＭＳ 明朝"/>
          <w:color w:val="auto"/>
          <w:sz w:val="22"/>
          <w:highlight w:val="none"/>
        </w:rPr>
        <w:t>年大蔵省令第</w:t>
      </w:r>
      <w:r>
        <w:rPr>
          <w:rFonts w:hint="eastAsia" w:ascii="ＭＳ 明朝" w:hAnsi="ＭＳ 明朝" w:eastAsia="ＭＳ 明朝"/>
          <w:color w:val="auto"/>
          <w:sz w:val="22"/>
          <w:highlight w:val="none"/>
        </w:rPr>
        <w:t>15</w:t>
      </w:r>
      <w:r>
        <w:rPr>
          <w:rFonts w:hint="eastAsia" w:ascii="ＭＳ 明朝" w:hAnsi="ＭＳ 明朝" w:eastAsia="ＭＳ 明朝"/>
          <w:color w:val="auto"/>
          <w:sz w:val="22"/>
          <w:highlight w:val="none"/>
        </w:rPr>
        <w:t>号）に規定する耐用年数に相当する期間内において、補助金の交付の目的に反して使用し、譲渡し、交換し、廃棄し、貸し付け、又は担保に供する場合は、事前に知事の承認を受けなければならないこと。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（６）前号の規定により知事の承認を得て財産を処分したことによる収入があった場合は、当該収入の全部又は一部を県に納付しなければならないこと。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（７）補助事業を行うために締結する契約については、県が行う契約手続の取扱いに準じて適切に行わなければならないこと。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（８）補助事業の実施に当たっては、別表第２に掲げるいずれかに該当すると認められる者を契約の相手方としない等の暴力団等の排除に係る県の取扱いに準じて行わなければならないこと。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（９）県税及び県に対する税外未収金債務の滞納がないこと。</w:t>
      </w: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）事業終了後において、消費税の申告により、当該補助金に係る消費税仕入控除税額等が確定した場合は、その金額を速やかに県に報告するとともに、当該金額を県に返還しなければならないこと。</w:t>
      </w:r>
    </w:p>
    <w:p>
      <w:pPr>
        <w:pStyle w:val="0"/>
        <w:spacing w:line="360" w:lineRule="exact"/>
        <w:ind w:left="480" w:hanging="480" w:hangingChars="200"/>
        <w:rPr>
          <w:rFonts w:hint="eastAsia" w:ascii="ＭＳ 明朝" w:hAnsi="ＭＳ 明朝" w:eastAsia="ＭＳ 明朝"/>
          <w:color w:val="auto"/>
          <w:sz w:val="22"/>
          <w:highlight w:val="none"/>
        </w:rPr>
      </w:pPr>
    </w:p>
    <w:p>
      <w:pPr>
        <w:pStyle w:val="0"/>
        <w:spacing w:line="360" w:lineRule="exact"/>
        <w:ind w:left="48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（補助金の交付の決定）</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第６条　知事は、第４条第１項の規定による補助金の交付の申請が適当であると認めたときは、補助金の交付を決定し、当該補助事業者に通知するものとする。ただし、当該申請をした者が別表第２に掲げるいずれかに該当すると認められるときを除く。</w:t>
      </w:r>
    </w:p>
    <w:p>
      <w:pPr>
        <w:pStyle w:val="0"/>
        <w:spacing w:line="360" w:lineRule="exact"/>
        <w:ind w:left="0" w:leftChars="0" w:hanging="240" w:hangingChars="100"/>
        <w:rPr>
          <w:rFonts w:hint="eastAsia" w:ascii="ＭＳ 明朝" w:hAnsi="ＭＳ 明朝" w:eastAsia="ＭＳ 明朝"/>
          <w:color w:val="auto"/>
          <w:sz w:val="22"/>
          <w:highlight w:val="none"/>
        </w:rPr>
      </w:pP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（補助金の交付の決定の取消し）</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第７条　知事は、補助事業者が別表第２に掲げるいずれかに該当すると認めたときは、補助金の交付の決定の全部又は一部を取り消すことができる。</w:t>
      </w:r>
    </w:p>
    <w:p>
      <w:pPr>
        <w:pStyle w:val="0"/>
        <w:spacing w:line="360" w:lineRule="exact"/>
        <w:ind w:left="0" w:leftChars="0" w:hanging="240" w:hangingChars="100"/>
        <w:rPr>
          <w:rFonts w:hint="eastAsia" w:ascii="ＭＳ 明朝" w:hAnsi="ＭＳ 明朝" w:eastAsia="ＭＳ 明朝"/>
          <w:color w:val="auto"/>
          <w:sz w:val="22"/>
          <w:highlight w:val="none"/>
        </w:rPr>
      </w:pP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（実績報告等）</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第８条　補助事業者は、補助事業の完了の日若しくは廃止の承認を受けた日から起算して</w:t>
      </w:r>
      <w:r>
        <w:rPr>
          <w:rFonts w:hint="eastAsia" w:ascii="ＭＳ 明朝" w:hAnsi="ＭＳ 明朝" w:eastAsia="ＭＳ 明朝"/>
          <w:color w:val="auto"/>
          <w:sz w:val="22"/>
          <w:highlight w:val="none"/>
        </w:rPr>
        <w:t>30</w:t>
      </w:r>
      <w:r>
        <w:rPr>
          <w:rFonts w:hint="eastAsia" w:ascii="ＭＳ 明朝" w:hAnsi="ＭＳ 明朝" w:eastAsia="ＭＳ 明朝"/>
          <w:color w:val="auto"/>
          <w:sz w:val="22"/>
          <w:highlight w:val="none"/>
        </w:rPr>
        <w:t>日を経過した日又は補助事業の実施年度の２月</w:t>
      </w:r>
      <w:r>
        <w:rPr>
          <w:rFonts w:hint="eastAsia" w:ascii="ＭＳ 明朝" w:hAnsi="ＭＳ 明朝" w:eastAsia="ＭＳ 明朝"/>
          <w:color w:val="auto"/>
          <w:sz w:val="22"/>
          <w:highlight w:val="none"/>
        </w:rPr>
        <w:t>28</w:t>
      </w:r>
      <w:r>
        <w:rPr>
          <w:rFonts w:hint="eastAsia" w:ascii="ＭＳ 明朝" w:hAnsi="ＭＳ 明朝" w:eastAsia="ＭＳ 明朝"/>
          <w:color w:val="auto"/>
          <w:sz w:val="22"/>
          <w:highlight w:val="none"/>
        </w:rPr>
        <w:t>日のいずれか早い期日までに、別記第３号様式による実績報告書を知事に提出しなければならない。</w:t>
      </w:r>
      <w:r>
        <w:rPr>
          <w:rFonts w:hint="eastAsia" w:ascii="ＭＳ 明朝" w:hAnsi="ＭＳ 明朝" w:eastAsia="ＭＳ 明朝"/>
          <w:color w:val="auto"/>
          <w:sz w:val="22"/>
        </w:rPr>
        <w:t>ただし、これにより難い場合は、速やかに知事にその旨を報告し、その指示を受けなければならない。</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第４条第２項ただし書の規定により補助金の交付を申請した補助事業者は、前項に規定する実績報告書の提出に当たって当該補助金に係る消費税仕入控除税額等が明らかになった場合は、これを補助金額から減額して報告しなければならない。</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　第４条第２項ただし書の規定により補助金の交付を申請した補助事業者は、第１項に規定する実績報告書を提出した後において、消費税及び地方消費税の申告により当該補助金に係る消費税仕入控除税額等が確定した場合は、その金額（前項の規定により減額した補助事業者にあっては、その金額が減じた額を上回る部分の金額）を別記第４号様式により速やかに知事に報告するとともに、知事の返還命令を受けて、これを返還しなければならない。</w:t>
      </w:r>
    </w:p>
    <w:p>
      <w:pPr>
        <w:pStyle w:val="0"/>
        <w:spacing w:line="360" w:lineRule="exact"/>
        <w:ind w:left="0" w:leftChars="0" w:hanging="240" w:hangingChars="100"/>
        <w:rPr>
          <w:rFonts w:hint="eastAsia" w:ascii="ＭＳ 明朝" w:hAnsi="ＭＳ 明朝" w:eastAsia="ＭＳ 明朝"/>
          <w:color w:val="auto"/>
          <w:sz w:val="22"/>
          <w:highlight w:val="none"/>
        </w:rPr>
      </w:pP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（実施状況に関する報告）</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第９条　知事は、必要があると認めるときは、補助事業者に対し、補助事業の遂行状況の報告を求め、又は必要な調査を行うことができる。</w:t>
      </w:r>
    </w:p>
    <w:p>
      <w:pPr>
        <w:pStyle w:val="0"/>
        <w:spacing w:line="360" w:lineRule="exact"/>
        <w:ind w:left="0" w:leftChars="0" w:hanging="240" w:hangingChars="100"/>
        <w:rPr>
          <w:rFonts w:hint="eastAsia" w:ascii="ＭＳ 明朝" w:hAnsi="ＭＳ 明朝" w:eastAsia="ＭＳ 明朝"/>
          <w:color w:val="auto"/>
          <w:sz w:val="22"/>
          <w:highlight w:val="none"/>
        </w:rPr>
      </w:pP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（補助金の返還）</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条　知事は、補助事業者が次の各号のいずれかに該当すると認めるときは、補助金の交付の決定を変更し、若しくは取り消し、又は交付した補助金の全部若しくは一部を返還させるものとする。</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（１）不正に補助金の交付の決定又は補助金の交付を受けたとき。</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（２）補助金を補助対象事業以外に使用したとき。</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（３）規則又はこの要綱の規定に違反したとき。</w:t>
      </w:r>
    </w:p>
    <w:p>
      <w:pPr>
        <w:pStyle w:val="0"/>
        <w:spacing w:line="360" w:lineRule="exact"/>
        <w:ind w:left="0" w:leftChars="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（４）補助事業により購入し、又は取得した設備を、耐用年数を過ぎる以前に処分したとき。</w:t>
      </w:r>
    </w:p>
    <w:p>
      <w:pPr>
        <w:pStyle w:val="0"/>
        <w:spacing w:line="360" w:lineRule="exact"/>
        <w:ind w:left="0" w:leftChars="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（５）補助目的に沿った使用をしなくなった又は事業の存続が困難となったとき。</w:t>
      </w:r>
    </w:p>
    <w:p>
      <w:pPr>
        <w:pStyle w:val="0"/>
        <w:spacing w:line="360" w:lineRule="exact"/>
        <w:ind w:left="0" w:leftChars="0" w:hanging="480" w:hangingChars="200"/>
        <w:rPr>
          <w:rFonts w:hint="eastAsia" w:ascii="ＭＳ 明朝" w:hAnsi="ＭＳ 明朝" w:eastAsia="ＭＳ 明朝"/>
          <w:color w:val="auto"/>
          <w:sz w:val="22"/>
          <w:highlight w:val="none"/>
        </w:rPr>
      </w:pPr>
    </w:p>
    <w:p>
      <w:pPr>
        <w:pStyle w:val="0"/>
        <w:spacing w:line="360" w:lineRule="exact"/>
        <w:ind w:left="0" w:leftChars="0" w:hanging="48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（グリーン購入）</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条　補助事業者は、補助事業の実施において物品等を調達する場合は、県が定める「高知県グリーン購入基本方針」に基づき環境物品等の調達に努めるものとする。</w:t>
      </w:r>
    </w:p>
    <w:p>
      <w:pPr>
        <w:pStyle w:val="0"/>
        <w:spacing w:line="360" w:lineRule="exact"/>
        <w:ind w:leftChars="0" w:firstLineChars="0"/>
        <w:rPr>
          <w:rFonts w:hint="eastAsia" w:ascii="ＭＳ 明朝" w:hAnsi="ＭＳ 明朝" w:eastAsia="ＭＳ 明朝"/>
          <w:color w:val="auto"/>
          <w:sz w:val="22"/>
          <w:highlight w:val="none"/>
        </w:rPr>
      </w:pPr>
    </w:p>
    <w:p>
      <w:pPr>
        <w:pStyle w:val="0"/>
        <w:spacing w:line="360" w:lineRule="exact"/>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（情報の開示）</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spacing w:line="360" w:lineRule="exact"/>
        <w:ind w:left="0" w:leftChars="0" w:hanging="240" w:hangingChars="100"/>
        <w:rPr>
          <w:rFonts w:hint="eastAsia" w:ascii="ＭＳ 明朝" w:hAnsi="ＭＳ 明朝" w:eastAsia="ＭＳ 明朝"/>
          <w:color w:val="auto"/>
          <w:sz w:val="22"/>
          <w:highlight w:val="none"/>
        </w:rPr>
      </w:pP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（委任）</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w:t>
      </w:r>
      <w:r>
        <w:rPr>
          <w:rFonts w:hint="eastAsia" w:ascii="ＭＳ 明朝" w:hAnsi="ＭＳ 明朝" w:eastAsia="ＭＳ 明朝"/>
          <w:color w:val="auto"/>
          <w:sz w:val="22"/>
          <w:highlight w:val="none"/>
        </w:rPr>
        <w:t>13</w:t>
      </w:r>
      <w:r>
        <w:rPr>
          <w:rFonts w:hint="eastAsia" w:ascii="ＭＳ 明朝" w:hAnsi="ＭＳ 明朝" w:eastAsia="ＭＳ 明朝"/>
          <w:color w:val="auto"/>
          <w:sz w:val="22"/>
          <w:highlight w:val="none"/>
        </w:rPr>
        <w:t>条　この要綱に定めるもののほか、補助金の交付に関し必要な事項は、知事が別に定める。</w:t>
      </w:r>
    </w:p>
    <w:p>
      <w:pPr>
        <w:pStyle w:val="0"/>
        <w:spacing w:line="360" w:lineRule="exact"/>
        <w:ind w:left="0" w:leftChars="0" w:hanging="240" w:hangingChars="100"/>
        <w:rPr>
          <w:rFonts w:hint="eastAsia" w:ascii="ＭＳ 明朝" w:hAnsi="ＭＳ 明朝" w:eastAsia="ＭＳ 明朝"/>
          <w:color w:val="auto"/>
          <w:sz w:val="22"/>
          <w:highlight w:val="none"/>
        </w:rPr>
      </w:pP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附則</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この要綱は、</w:t>
      </w:r>
      <w:r>
        <w:rPr>
          <w:rFonts w:hint="eastAsia" w:ascii="ＭＳ 明朝" w:hAnsi="ＭＳ 明朝" w:eastAsia="ＭＳ 明朝"/>
          <w:strike w:val="0"/>
          <w:dstrike w:val="0"/>
          <w:color w:val="auto"/>
          <w:sz w:val="22"/>
          <w:highlight w:val="none"/>
        </w:rPr>
        <w:t>令和３年</w:t>
      </w:r>
      <w:r>
        <w:rPr>
          <w:rFonts w:hint="eastAsia" w:ascii="ＭＳ 明朝" w:hAnsi="ＭＳ 明朝" w:eastAsia="ＭＳ 明朝"/>
          <w:strike w:val="0"/>
          <w:dstrike w:val="0"/>
          <w:color w:val="auto"/>
          <w:sz w:val="22"/>
          <w:highlight w:val="none"/>
        </w:rPr>
        <w:t>10</w:t>
      </w:r>
      <w:r>
        <w:rPr>
          <w:rFonts w:hint="eastAsia" w:ascii="ＭＳ 明朝" w:hAnsi="ＭＳ 明朝" w:eastAsia="ＭＳ 明朝"/>
          <w:strike w:val="0"/>
          <w:dstrike w:val="0"/>
          <w:color w:val="auto"/>
          <w:sz w:val="22"/>
          <w:highlight w:val="none"/>
        </w:rPr>
        <w:t>月</w:t>
      </w:r>
      <w:r>
        <w:rPr>
          <w:rFonts w:hint="eastAsia" w:ascii="ＭＳ 明朝" w:hAnsi="ＭＳ 明朝" w:eastAsia="ＭＳ 明朝"/>
          <w:strike w:val="0"/>
          <w:dstrike w:val="0"/>
          <w:color w:val="auto"/>
          <w:sz w:val="22"/>
          <w:highlight w:val="none"/>
        </w:rPr>
        <w:t>19</w:t>
      </w:r>
      <w:r>
        <w:rPr>
          <w:rFonts w:hint="eastAsia" w:ascii="ＭＳ 明朝" w:hAnsi="ＭＳ 明朝" w:eastAsia="ＭＳ 明朝"/>
          <w:strike w:val="0"/>
          <w:dstrike w:val="0"/>
          <w:color w:val="auto"/>
          <w:sz w:val="22"/>
          <w:highlight w:val="none"/>
        </w:rPr>
        <w:t>日</w:t>
      </w:r>
      <w:r>
        <w:rPr>
          <w:rFonts w:hint="eastAsia" w:ascii="ＭＳ 明朝" w:hAnsi="ＭＳ 明朝" w:eastAsia="ＭＳ 明朝"/>
          <w:color w:val="auto"/>
          <w:sz w:val="22"/>
          <w:highlight w:val="none"/>
        </w:rPr>
        <w:t>から施行するものとする。</w:t>
      </w:r>
    </w:p>
    <w:p>
      <w:pPr>
        <w:pStyle w:val="0"/>
        <w:spacing w:line="360" w:lineRule="exact"/>
        <w:ind w:left="0" w:leftChars="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この要綱は、令和</w:t>
      </w:r>
      <w:r>
        <w:rPr>
          <w:rFonts w:hint="eastAsia" w:ascii="ＭＳ 明朝" w:hAnsi="ＭＳ 明朝" w:eastAsia="ＭＳ 明朝"/>
          <w:strike w:val="0"/>
          <w:dstrike w:val="0"/>
          <w:color w:val="auto"/>
          <w:sz w:val="22"/>
          <w:highlight w:val="none"/>
        </w:rPr>
        <w:t>４</w:t>
      </w:r>
      <w:r>
        <w:rPr>
          <w:rFonts w:hint="eastAsia" w:ascii="ＭＳ 明朝" w:hAnsi="ＭＳ 明朝" w:eastAsia="ＭＳ 明朝"/>
          <w:color w:val="auto"/>
          <w:sz w:val="22"/>
          <w:highlight w:val="none"/>
        </w:rPr>
        <w:t>年５月</w:t>
      </w:r>
      <w:r>
        <w:rPr>
          <w:rFonts w:hint="eastAsia" w:ascii="ＭＳ 明朝" w:hAnsi="ＭＳ 明朝" w:eastAsia="ＭＳ 明朝"/>
          <w:color w:val="auto"/>
          <w:sz w:val="22"/>
          <w:highlight w:val="none"/>
        </w:rPr>
        <w:t>31</w:t>
      </w:r>
      <w:r>
        <w:rPr>
          <w:rFonts w:hint="eastAsia" w:ascii="ＭＳ 明朝" w:hAnsi="ＭＳ 明朝" w:eastAsia="ＭＳ 明朝"/>
          <w:color w:val="auto"/>
          <w:sz w:val="22"/>
          <w:highlight w:val="none"/>
        </w:rPr>
        <w:t>日限り、その効力を失う。ただし、この要綱に基づき交付された補助金については、第５条第３号から第６号まで及び第</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号、第７条、第８条第３項、第９条、第</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条並びに第</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条の規定は、同日以降もなおその効力を有する。</w:t>
      </w:r>
    </w:p>
    <w:p>
      <w:pPr>
        <w:pStyle w:val="0"/>
        <w:spacing w:line="360" w:lineRule="exac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br w:type="page"/>
      </w:r>
    </w:p>
    <w:p>
      <w:pPr>
        <w:pStyle w:val="0"/>
        <w:spacing w:line="360" w:lineRule="exac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別表第１（第３条関係）</w:t>
      </w:r>
    </w:p>
    <w:tbl>
      <w:tblPr>
        <w:tblStyle w:val="22"/>
        <w:tblW w:w="9448" w:type="dxa"/>
        <w:tblInd w:w="0" w:type="dxa"/>
        <w:tblLayout w:type="fixed"/>
        <w:tblLook w:firstRow="1" w:lastRow="0" w:firstColumn="1" w:lastColumn="0" w:noHBand="0" w:noVBand="1" w:val="04A0"/>
      </w:tblPr>
      <w:tblGrid>
        <w:gridCol w:w="3348"/>
        <w:gridCol w:w="3559"/>
        <w:gridCol w:w="1193"/>
        <w:gridCol w:w="1348"/>
      </w:tblGrid>
      <w:tr>
        <w:trPr/>
        <w:tc>
          <w:tcPr>
            <w:tcW w:w="3348" w:type="dxa"/>
            <w:shd w:val="clear" w:color="auto" w:themeFill="background1" w:themeFillTint="FF" w:themeFillShade="D9"/>
            <w:vAlign w:val="center"/>
          </w:tcPr>
          <w:p>
            <w:pPr>
              <w:pStyle w:val="0"/>
              <w:snapToGrid w:val="1"/>
              <w:spacing w:line="360" w:lineRule="exact"/>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補助事業者</w:t>
            </w:r>
          </w:p>
        </w:tc>
        <w:tc>
          <w:tcPr>
            <w:tcW w:w="3559" w:type="dxa"/>
            <w:shd w:val="clear" w:color="auto" w:themeFill="background1" w:themeFillTint="FF" w:themeFillShade="D9"/>
            <w:vAlign w:val="center"/>
          </w:tcPr>
          <w:p>
            <w:pPr>
              <w:pStyle w:val="0"/>
              <w:snapToGrid w:val="1"/>
              <w:spacing w:line="360" w:lineRule="exact"/>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補助対象経費</w:t>
            </w:r>
          </w:p>
        </w:tc>
        <w:tc>
          <w:tcPr>
            <w:tcW w:w="1193" w:type="dxa"/>
            <w:shd w:val="clear" w:color="auto" w:themeFill="background1" w:themeFillTint="FF" w:themeFillShade="D9"/>
            <w:vAlign w:val="center"/>
          </w:tcPr>
          <w:p>
            <w:pPr>
              <w:pStyle w:val="0"/>
              <w:snapToGrid w:val="1"/>
              <w:spacing w:line="360" w:lineRule="exact"/>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補助率</w:t>
            </w:r>
          </w:p>
        </w:tc>
        <w:tc>
          <w:tcPr>
            <w:tcW w:w="1348" w:type="dxa"/>
            <w:shd w:val="clear" w:color="auto" w:themeFill="background1" w:themeFillTint="FF" w:themeFillShade="D9"/>
            <w:vAlign w:val="center"/>
          </w:tcPr>
          <w:p>
            <w:pPr>
              <w:pStyle w:val="0"/>
              <w:snapToGrid w:val="1"/>
              <w:spacing w:line="360" w:lineRule="exact"/>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補助上限額</w:t>
            </w:r>
          </w:p>
        </w:tc>
      </w:tr>
      <w:tr>
        <w:trPr>
          <w:trHeight w:val="2540" w:hRule="atLeast"/>
        </w:trPr>
        <w:tc>
          <w:tcPr>
            <w:tcW w:w="3348" w:type="dxa"/>
            <w:vAlign w:val="top"/>
          </w:tcPr>
          <w:p>
            <w:pPr>
              <w:pStyle w:val="0"/>
              <w:spacing w:line="360" w:lineRule="exact"/>
              <w:ind w:left="0" w:leftChars="0" w:firstLine="217"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高知県内において魚類の養殖業を営む個人又は法人</w:t>
            </w:r>
          </w:p>
          <w:p>
            <w:pPr>
              <w:pStyle w:val="0"/>
              <w:spacing w:line="360" w:lineRule="exact"/>
              <w:ind w:left="217" w:hanging="217" w:hangingChars="100"/>
              <w:rPr>
                <w:rFonts w:hint="eastAsia" w:ascii="ＭＳ 明朝" w:hAnsi="ＭＳ 明朝" w:eastAsia="ＭＳ 明朝"/>
                <w:color w:val="auto"/>
                <w:sz w:val="22"/>
                <w:highlight w:val="none"/>
              </w:rPr>
            </w:pPr>
          </w:p>
        </w:tc>
        <w:tc>
          <w:tcPr>
            <w:tcW w:w="3559" w:type="dxa"/>
            <w:vAlign w:val="top"/>
          </w:tcPr>
          <w:p>
            <w:pPr>
              <w:pStyle w:val="0"/>
              <w:spacing w:line="360" w:lineRule="exact"/>
              <w:ind w:left="217" w:hanging="217" w:hangingChars="10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養殖生産現場において生産体制及び品質管理の効率化を行うために必要となるデジタル技術を活用した設備・機器の導入に係る経費</w:t>
            </w:r>
          </w:p>
          <w:p>
            <w:pPr>
              <w:pStyle w:val="0"/>
              <w:spacing w:line="360" w:lineRule="exact"/>
              <w:ind w:left="217" w:hanging="217" w:hangingChars="10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１と併せて導入する省力化を行うために必要となる設備・機器の導入に係る経費</w:t>
            </w:r>
          </w:p>
        </w:tc>
        <w:tc>
          <w:tcPr>
            <w:tcW w:w="1193" w:type="dxa"/>
            <w:vAlign w:val="top"/>
          </w:tcPr>
          <w:p>
            <w:pPr>
              <w:pStyle w:val="0"/>
              <w:spacing w:line="360" w:lineRule="exac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３分の２以内</w:t>
            </w:r>
          </w:p>
          <w:p>
            <w:pPr>
              <w:pStyle w:val="0"/>
              <w:spacing w:line="360" w:lineRule="exact"/>
              <w:rPr>
                <w:rFonts w:hint="eastAsia" w:ascii="ＭＳ 明朝" w:hAnsi="ＭＳ 明朝" w:eastAsia="ＭＳ 明朝"/>
                <w:color w:val="auto"/>
                <w:sz w:val="22"/>
                <w:highlight w:val="none"/>
              </w:rPr>
            </w:pPr>
          </w:p>
        </w:tc>
        <w:tc>
          <w:tcPr>
            <w:tcW w:w="1348" w:type="dxa"/>
            <w:vAlign w:val="top"/>
          </w:tcPr>
          <w:p>
            <w:pPr>
              <w:pStyle w:val="0"/>
              <w:spacing w:line="360" w:lineRule="exac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1,000</w:t>
            </w:r>
            <w:r>
              <w:rPr>
                <w:rFonts w:hint="eastAsia" w:ascii="ＭＳ 明朝" w:hAnsi="ＭＳ 明朝" w:eastAsia="ＭＳ 明朝"/>
                <w:color w:val="auto"/>
                <w:sz w:val="22"/>
                <w:highlight w:val="none"/>
              </w:rPr>
              <w:t>万円</w:t>
            </w:r>
          </w:p>
          <w:p>
            <w:pPr>
              <w:pStyle w:val="0"/>
              <w:spacing w:line="360" w:lineRule="exact"/>
              <w:rPr>
                <w:rFonts w:hint="eastAsia" w:ascii="ＭＳ 明朝" w:hAnsi="ＭＳ 明朝" w:eastAsia="ＭＳ 明朝"/>
                <w:color w:val="auto"/>
                <w:sz w:val="22"/>
                <w:highlight w:val="none"/>
              </w:rPr>
            </w:pPr>
          </w:p>
        </w:tc>
      </w:tr>
    </w:tbl>
    <w:p>
      <w:pPr>
        <w:pStyle w:val="0"/>
        <w:spacing w:line="360" w:lineRule="exact"/>
        <w:rPr>
          <w:rFonts w:hint="eastAsia" w:ascii="ＭＳ 明朝" w:hAnsi="ＭＳ 明朝" w:eastAsia="ＭＳ 明朝"/>
          <w:color w:val="auto"/>
          <w:sz w:val="22"/>
          <w:highlight w:val="none"/>
        </w:rPr>
      </w:pPr>
    </w:p>
    <w:p>
      <w:pPr>
        <w:pStyle w:val="0"/>
        <w:spacing w:line="360" w:lineRule="exact"/>
        <w:rPr>
          <w:rFonts w:hint="eastAsia" w:ascii="ＭＳ 明朝" w:hAnsi="ＭＳ 明朝" w:eastAsia="ＭＳ 明朝"/>
          <w:color w:val="auto"/>
          <w:sz w:val="22"/>
          <w:highlight w:val="none"/>
        </w:rPr>
      </w:pPr>
      <w:r>
        <w:rPr>
          <w:rFonts w:hint="eastAsia"/>
          <w:color w:val="auto"/>
        </w:rPr>
        <w:br w:type="page"/>
      </w:r>
    </w:p>
    <w:p>
      <w:pPr>
        <w:pStyle w:val="0"/>
        <w:spacing w:line="360" w:lineRule="exac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別表第２（第５条－第７条関係）</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暴力団（高知県暴力団排除条例（平成</w:t>
      </w:r>
      <w:r>
        <w:rPr>
          <w:rFonts w:hint="eastAsia" w:ascii="ＭＳ 明朝" w:hAnsi="ＭＳ 明朝" w:eastAsia="ＭＳ 明朝"/>
          <w:color w:val="auto"/>
          <w:sz w:val="22"/>
          <w:highlight w:val="none"/>
        </w:rPr>
        <w:t>22</w:t>
      </w:r>
      <w:r>
        <w:rPr>
          <w:rFonts w:hint="eastAsia" w:ascii="ＭＳ 明朝" w:hAnsi="ＭＳ 明朝" w:eastAsia="ＭＳ 明朝"/>
          <w:color w:val="auto"/>
          <w:sz w:val="22"/>
          <w:highlight w:val="none"/>
        </w:rPr>
        <w:t>年高知県条例第</w:t>
      </w:r>
      <w:r>
        <w:rPr>
          <w:rFonts w:hint="eastAsia" w:ascii="ＭＳ 明朝" w:hAnsi="ＭＳ 明朝" w:eastAsia="ＭＳ 明朝"/>
          <w:color w:val="auto"/>
          <w:sz w:val="22"/>
          <w:highlight w:val="none"/>
        </w:rPr>
        <w:t>36</w:t>
      </w:r>
      <w:r>
        <w:rPr>
          <w:rFonts w:hint="eastAsia" w:ascii="ＭＳ 明朝" w:hAnsi="ＭＳ 明朝" w:eastAsia="ＭＳ 明朝"/>
          <w:color w:val="auto"/>
          <w:sz w:val="22"/>
          <w:highlight w:val="none"/>
        </w:rPr>
        <w:t>号。以下「暴排条例」という。）第２条第１号に規定する暴力団をいう。以下同じ。）又は暴力団員等（同条第３号に規定する暴力団員等をいう。以下同じ。）であるとき。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暴排条例第</w:t>
      </w:r>
      <w:r>
        <w:rPr>
          <w:rFonts w:hint="eastAsia" w:ascii="ＭＳ 明朝" w:hAnsi="ＭＳ 明朝" w:eastAsia="ＭＳ 明朝"/>
          <w:color w:val="auto"/>
          <w:sz w:val="22"/>
          <w:highlight w:val="none"/>
        </w:rPr>
        <w:t>18</w:t>
      </w:r>
      <w:r>
        <w:rPr>
          <w:rFonts w:hint="eastAsia" w:ascii="ＭＳ 明朝" w:hAnsi="ＭＳ 明朝" w:eastAsia="ＭＳ 明朝"/>
          <w:color w:val="auto"/>
          <w:sz w:val="22"/>
          <w:highlight w:val="none"/>
        </w:rPr>
        <w:t>条又は第</w:t>
      </w:r>
      <w:r>
        <w:rPr>
          <w:rFonts w:hint="eastAsia" w:ascii="ＭＳ 明朝" w:hAnsi="ＭＳ 明朝" w:eastAsia="ＭＳ 明朝"/>
          <w:color w:val="auto"/>
          <w:sz w:val="22"/>
          <w:highlight w:val="none"/>
        </w:rPr>
        <w:t>19</w:t>
      </w:r>
      <w:r>
        <w:rPr>
          <w:rFonts w:hint="eastAsia" w:ascii="ＭＳ 明朝" w:hAnsi="ＭＳ 明朝" w:eastAsia="ＭＳ 明朝"/>
          <w:color w:val="auto"/>
          <w:sz w:val="22"/>
          <w:highlight w:val="none"/>
        </w:rPr>
        <w:t>条の規定に違反した事実があるとき。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者と認められる者を含み、法人以外の団体にあっては、代表者、理事その他これらと同等の責任を有する者をいう。以下同じ。）が暴力団員等である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　暴力団員等がその事業活動を支配しているとき。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　暴力団員等をそ業務に従事させ、又はその業務の補助者として使用しているとき。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　暴力団又は暴力団員等がその経営又は運営に実質的に関与しているとき。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　業務に関し、暴力団又は暴力団員等が経営又は運営に実質的に関与していると認められる者であることを知りながら、これを利用したとき。</w:t>
      </w:r>
    </w:p>
    <w:p>
      <w:pPr>
        <w:pStyle w:val="0"/>
        <w:spacing w:line="360" w:lineRule="exact"/>
        <w:ind w:left="240" w:hanging="240" w:hangingChars="100"/>
        <w:rPr>
          <w:rFonts w:hint="eastAsia" w:ascii="ＭＳ 明朝" w:hAnsi="ＭＳ 明朝" w:eastAsia="ＭＳ 明朝"/>
          <w:color w:val="auto"/>
          <w:sz w:val="22"/>
          <w:highlight w:val="none"/>
        </w:rPr>
      </w:pPr>
      <w:bookmarkStart w:id="0" w:name="_GoBack"/>
      <w:bookmarkEnd w:id="0"/>
      <w:r>
        <w:rPr>
          <w:rFonts w:hint="eastAsia" w:ascii="ＭＳ 明朝" w:hAnsi="ＭＳ 明朝" w:eastAsia="ＭＳ 明朝"/>
          <w:color w:val="auto"/>
          <w:sz w:val="22"/>
          <w:highlight w:val="none"/>
        </w:rPr>
        <w:t>９　その役員が、自己、その属する法人その他の団体若しくは第三者の利益を図り、又は第三者に損害を加えることを目的として、暴力団又は暴力団員等を利用したとき。</w:t>
      </w:r>
    </w:p>
    <w:p>
      <w:pPr>
        <w:pStyle w:val="0"/>
        <w:spacing w:line="360" w:lineRule="exact"/>
        <w:ind w:left="240" w:hanging="24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　その役員が暴力団又は暴力団員等と社会的に非難されるべき関係を有しているとき。</w:t>
      </w:r>
    </w:p>
    <w:p>
      <w:pPr>
        <w:pStyle w:val="0"/>
        <w:spacing w:line="360" w:lineRule="exact"/>
        <w:rPr>
          <w:rFonts w:hint="eastAsia" w:ascii="ＭＳ 明朝" w:hAnsi="ＭＳ 明朝" w:eastAsia="ＭＳ 明朝"/>
          <w:color w:val="auto"/>
          <w:sz w:val="22"/>
          <w:highlight w:val="none"/>
        </w:rPr>
      </w:pPr>
    </w:p>
    <w:sectPr>
      <w:pgSz w:w="11906" w:h="16838"/>
      <w:pgMar w:top="1417" w:right="1134" w:bottom="1134" w:left="1417" w:header="851" w:footer="992" w:gutter="0"/>
      <w:cols w:space="720"/>
      <w:textDirection w:val="lrTb"/>
      <w:docGrid w:type="linesAndChars" w:linePitch="328" w:charSpace="-6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hyphenationZone w:val="0"/>
  <w:defaultTableStyle w:val="22"/>
  <w:drawingGridHorizontalSpacing w:val="216"/>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customStyle="1">
    <w:name w:val="表（シンプル 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2904</TotalTime>
  <Pages>5</Pages>
  <Words>30</Words>
  <Characters>3908</Characters>
  <Application>JUST Note</Application>
  <Lines>159</Lines>
  <Paragraphs>73</Paragraphs>
  <CharactersWithSpaces>3961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423045</cp:lastModifiedBy>
  <cp:lastPrinted>2021-10-05T08:10:49Z</cp:lastPrinted>
  <dcterms:created xsi:type="dcterms:W3CDTF">2020-08-08T17:29:00Z</dcterms:created>
  <dcterms:modified xsi:type="dcterms:W3CDTF">2021-10-05T08:15:05Z</dcterms:modified>
  <cp:revision>204</cp:revision>
</cp:coreProperties>
</file>