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1"/>
        <w:tblW w:w="2094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>
          <w:trHeight w:val="13562" w:hRule="atLeast"/>
        </w:trPr>
        <w:tc>
          <w:tcPr>
            <w:tcW w:w="104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高知県高性能林業機械等整備事業の運用について（案）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第１　「略」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第２　運用</w:t>
            </w:r>
          </w:p>
          <w:p>
            <w:pPr>
              <w:pStyle w:val="0"/>
              <w:spacing w:line="320" w:lineRule="exact"/>
              <w:ind w:left="440" w:leftChars="200"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要綱別表第１の事業区分ごとに、以下に留意して事業の実施及び導入した機械の利用、保守管理を行うものとする。</w:t>
            </w:r>
          </w:p>
          <w:p>
            <w:pPr>
              <w:pStyle w:val="0"/>
              <w:spacing w:line="320" w:lineRule="exact"/>
              <w:ind w:left="440" w:leftChars="200" w:firstLine="220" w:firstLineChars="100"/>
              <w:jc w:val="lef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１　高性能林業機械の導入（要綱別表第１の１）</w:t>
            </w:r>
          </w:p>
          <w:p>
            <w:pPr>
              <w:pStyle w:val="0"/>
              <w:spacing w:line="320" w:lineRule="exact"/>
              <w:ind w:left="660" w:leftChars="10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  <w:color w:val="auto"/>
                <w:u w:val="none" w:color="auto"/>
              </w:rPr>
              <w:t>補助対象経費</w:t>
            </w:r>
          </w:p>
          <w:p>
            <w:pPr>
              <w:pStyle w:val="0"/>
              <w:spacing w:line="320" w:lineRule="exact"/>
              <w:ind w:left="660" w:leftChars="10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　　①～②　「略」</w:t>
            </w: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③　林業用四輪駆動ダンプトラックについては、道路法、道路交通法、その他積載物の運搬に係る法律等を遵守するとともに、次に掲げる基準を満たすものであることとする。</w:t>
            </w:r>
            <w:r>
              <w:rPr>
                <w:rFonts w:hint="eastAsia"/>
                <w:color w:val="FF0000"/>
                <w:u w:val="none" w:color="auto"/>
              </w:rPr>
              <w:t xml:space="preserve"> </w:t>
            </w:r>
          </w:p>
          <w:p>
            <w:pPr>
              <w:pStyle w:val="0"/>
              <w:spacing w:line="320" w:lineRule="exact"/>
              <w:ind w:left="949" w:leftChars="394" w:firstLine="0" w:firstLineChars="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ア</w:t>
            </w:r>
            <w:r>
              <w:rPr>
                <w:rFonts w:hint="eastAsia"/>
                <w:color w:val="FF0000"/>
                <w:u w:val="none" w:color="auto"/>
              </w:rPr>
              <w:t xml:space="preserve"> </w:t>
            </w:r>
            <w:r>
              <w:rPr>
                <w:rFonts w:hint="eastAsia"/>
                <w:color w:val="FF0000"/>
                <w:u w:val="none" w:color="auto"/>
              </w:rPr>
              <w:t>林業用四輪駆動ダンプトラックの規格については、以下の項目を全て満たすものであること。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・四輪駆動であり、トランスミッションはＭＴであること。</w:t>
            </w:r>
            <w:r>
              <w:rPr>
                <w:rFonts w:hint="eastAsia"/>
                <w:color w:val="FF0000"/>
                <w:u w:val="none" w:color="auto"/>
              </w:rPr>
              <w:t xml:space="preserve">       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・積載量は２ｔ以上４ｔ未満であること。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・排気量は</w:t>
            </w:r>
            <w:r>
              <w:rPr>
                <w:rFonts w:hint="eastAsia"/>
                <w:color w:val="FF0000"/>
                <w:u w:val="none" w:color="auto"/>
              </w:rPr>
              <w:t>4,000cc</w:t>
            </w:r>
            <w:r>
              <w:rPr>
                <w:rFonts w:hint="eastAsia"/>
                <w:color w:val="FF0000"/>
                <w:u w:val="none" w:color="auto"/>
              </w:rPr>
              <w:t>以上であること。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・補助ブレーキとして排気ブレーキを装備していること。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・最小回転半径は６</w:t>
            </w:r>
            <w:r>
              <w:rPr>
                <w:rFonts w:hint="eastAsia"/>
                <w:color w:val="FF0000"/>
                <w:u w:val="none" w:color="auto"/>
              </w:rPr>
              <w:t>m</w:t>
            </w:r>
            <w:r>
              <w:rPr>
                <w:rFonts w:hint="eastAsia"/>
                <w:color w:val="FF0000"/>
                <w:u w:val="none" w:color="auto"/>
              </w:rPr>
              <w:t>以下であること。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・ＬＳＤ（リミテッド・スリップ・デフ）又はＬＳＤと同様にタイヤが空転した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際に起こるスタックを回避するための機能を有していること。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・１速の総減速比（１速の変速比×最終減速比）が</w:t>
            </w:r>
            <w:r>
              <w:rPr>
                <w:rFonts w:hint="eastAsia"/>
                <w:color w:val="FF0000"/>
                <w:u w:val="none" w:color="auto"/>
              </w:rPr>
              <w:t>29.5</w:t>
            </w:r>
            <w:r>
              <w:rPr>
                <w:rFonts w:hint="eastAsia"/>
                <w:color w:val="FF0000"/>
                <w:u w:val="none" w:color="auto"/>
              </w:rPr>
              <w:t>以上であること。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・リヤデフまでの高さ（最低地上高）が</w:t>
            </w:r>
            <w:r>
              <w:rPr>
                <w:rFonts w:hint="eastAsia"/>
                <w:color w:val="FF0000"/>
                <w:u w:val="none" w:color="auto"/>
              </w:rPr>
              <w:t>160</w:t>
            </w:r>
            <w:r>
              <w:rPr>
                <w:rFonts w:hint="eastAsia"/>
                <w:color w:val="FF0000"/>
                <w:u w:val="none" w:color="auto"/>
              </w:rPr>
              <w:t>ｍｍ以上であること。</w:t>
            </w:r>
          </w:p>
          <w:p>
            <w:pPr>
              <w:pStyle w:val="0"/>
              <w:spacing w:line="320" w:lineRule="exact"/>
              <w:ind w:left="949" w:leftChars="394" w:firstLine="241" w:firstLineChars="1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・荷台は林業用に架装していること。</w:t>
            </w:r>
          </w:p>
          <w:p>
            <w:pPr>
              <w:pStyle w:val="0"/>
              <w:spacing w:line="320" w:lineRule="exact"/>
              <w:ind w:left="0" w:leftChars="0" w:firstLine="723" w:firstLineChars="3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 xml:space="preserve"> </w:t>
            </w:r>
            <w:r>
              <w:rPr>
                <w:rFonts w:hint="eastAsia"/>
                <w:color w:val="FF0000"/>
                <w:u w:val="none" w:color="auto"/>
              </w:rPr>
              <w:t>イ</w:t>
            </w:r>
            <w:r>
              <w:rPr>
                <w:rFonts w:hint="eastAsia"/>
                <w:color w:val="FF0000"/>
                <w:u w:val="none" w:color="auto"/>
              </w:rPr>
              <w:t xml:space="preserve"> </w:t>
            </w:r>
            <w:r>
              <w:rPr>
                <w:rFonts w:hint="eastAsia"/>
                <w:color w:val="FF0000"/>
                <w:u w:val="none" w:color="auto"/>
              </w:rPr>
              <w:t>導入後に資産計上を行い、かつ、以下のすべてを満たすものであること。</w:t>
            </w:r>
          </w:p>
          <w:p>
            <w:pPr>
              <w:pStyle w:val="0"/>
              <w:spacing w:line="320" w:lineRule="exact"/>
              <w:ind w:left="0" w:leftChars="0" w:firstLine="1205" w:firstLineChars="5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・車体に法人名等が印刷されていること。</w:t>
            </w:r>
          </w:p>
          <w:p>
            <w:pPr>
              <w:pStyle w:val="0"/>
              <w:spacing w:line="320" w:lineRule="exact"/>
              <w:ind w:left="0" w:leftChars="0" w:firstLine="1205" w:firstLineChars="5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・運行記録、業務日報が整備されていること。</w:t>
            </w:r>
          </w:p>
          <w:p>
            <w:pPr>
              <w:pStyle w:val="0"/>
              <w:spacing w:line="320" w:lineRule="exact"/>
              <w:ind w:left="0" w:leftChars="0" w:firstLine="1205" w:firstLineChars="500"/>
              <w:rPr>
                <w:rFonts w:hint="eastAsia"/>
                <w:color w:val="FF0000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・任意保険の使用目的設定が「事業使用」であること。</w:t>
            </w:r>
            <w:r>
              <w:rPr>
                <w:rFonts w:hint="eastAsia"/>
                <w:color w:val="FF0000"/>
                <w:u w:val="none" w:color="auto"/>
              </w:rPr>
              <w:t xml:space="preserve">       </w:t>
            </w:r>
          </w:p>
          <w:p>
            <w:pPr>
              <w:pStyle w:val="0"/>
              <w:spacing w:line="320" w:lineRule="exact"/>
              <w:ind w:left="708" w:leftChars="294" w:firstLine="723" w:firstLineChars="3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FF0000"/>
                <w:u w:val="none" w:color="auto"/>
              </w:rPr>
              <w:t>なお、本来の補助目的の遂行に支障を及ぼさない範囲で、他の用途に一時使用</w:t>
            </w:r>
          </w:p>
          <w:p>
            <w:pPr>
              <w:pStyle w:val="0"/>
              <w:spacing w:line="320" w:lineRule="exact"/>
              <w:ind w:left="660" w:leftChars="10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  <w:u w:val="none" w:color="auto"/>
              </w:rPr>
              <w:t>　　することについては妨げない。</w:t>
            </w:r>
          </w:p>
          <w:p>
            <w:pPr>
              <w:pStyle w:val="0"/>
              <w:spacing w:line="320" w:lineRule="exact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（２）～（４）　「略」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２　林業機械のリース（要綱別表第１の２）</w:t>
            </w:r>
          </w:p>
          <w:p>
            <w:pPr>
              <w:pStyle w:val="0"/>
              <w:spacing w:line="320" w:lineRule="exact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  <w:color w:val="auto"/>
                <w:u w:val="none" w:color="auto"/>
              </w:rPr>
              <w:t>補助対象経費</w:t>
            </w:r>
          </w:p>
          <w:p>
            <w:pPr>
              <w:pStyle w:val="0"/>
              <w:spacing w:line="320" w:lineRule="exact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　　①～②　　「略」</w:t>
            </w:r>
          </w:p>
          <w:p>
            <w:pPr>
              <w:pStyle w:val="0"/>
              <w:spacing w:line="320" w:lineRule="exact"/>
              <w:ind w:left="964" w:hanging="964" w:hangingChars="4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color w:val="FF0000"/>
                <w:u w:val="none" w:color="auto"/>
              </w:rPr>
              <w:t>③　林業用四輪駆動ダンプトラックの基準については第２の１の（１）の③に準ずる。</w:t>
            </w:r>
          </w:p>
          <w:p>
            <w:pPr>
              <w:pStyle w:val="0"/>
              <w:spacing w:line="320" w:lineRule="exact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（２）～（４）　　「略」</w:t>
            </w:r>
          </w:p>
          <w:p>
            <w:pPr>
              <w:pStyle w:val="0"/>
              <w:spacing w:line="320" w:lineRule="exact"/>
              <w:ind w:left="909" w:leftChars="-87" w:hanging="1100" w:hangingChars="5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color w:val="auto"/>
                <w:u w:val="none" w:color="auto"/>
              </w:rPr>
              <w:t>３　林業機械のレンタル（要綱別表第１の３）</w:t>
            </w:r>
          </w:p>
          <w:p>
            <w:pPr>
              <w:pStyle w:val="0"/>
              <w:spacing w:line="320" w:lineRule="exact"/>
              <w:ind w:left="909" w:leftChars="-87" w:hanging="1100" w:hangingChars="500"/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　　（１）～（５）　　「略」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（６）実績報告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color w:val="FF0000"/>
                <w:u w:val="none" w:color="auto"/>
              </w:rPr>
              <w:t>①</w:t>
            </w:r>
            <w:r>
              <w:rPr>
                <w:rFonts w:hint="eastAsia"/>
                <w:color w:val="auto"/>
                <w:u w:val="none" w:color="auto"/>
              </w:rPr>
              <w:t>　レンタル事業の実績報告書で添付する契約書は、レンタルの相手方、機種、期間、金額が確認できれば請求書でも可とする。また、添付する写真は、機種等が確認できるものとする。</w:t>
            </w:r>
            <w:r>
              <w:rPr>
                <w:rFonts w:hint="eastAsia"/>
              </w:rPr>
              <w:t>　　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color w:val="FF0000"/>
                <w:u w:val="none" w:color="auto"/>
              </w:rPr>
              <w:t>②　しゅん工年月日は、レンタル終了日もしくは搬出材積確定日とする。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（７）　　「略」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４～５　　</w:t>
            </w:r>
            <w:r>
              <w:rPr>
                <w:rFonts w:hint="eastAsia"/>
                <w:color w:val="FF0000"/>
              </w:rPr>
              <w:t>「削除」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  <w:u w:val="single" w:color="auto"/>
              </w:rPr>
              <w:t>４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color w:val="FF0000"/>
                <w:u w:val="single" w:color="auto"/>
              </w:rPr>
              <w:t>５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color w:val="FF0000"/>
                <w:u w:val="single" w:color="auto"/>
              </w:rPr>
              <w:t>「符号の再番」</w:t>
            </w:r>
          </w:p>
          <w:p>
            <w:pPr>
              <w:pStyle w:val="0"/>
              <w:spacing w:line="320" w:lineRule="exact"/>
              <w:ind w:left="1100" w:leftChars="200" w:hanging="660" w:hangingChars="300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附則　　「略」</w:t>
            </w:r>
          </w:p>
          <w:p>
            <w:pPr>
              <w:pStyle w:val="0"/>
              <w:spacing w:line="320" w:lineRule="exact"/>
              <w:ind w:left="1100" w:leftChars="200" w:hanging="660" w:hangingChars="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color w:val="FF0000"/>
                <w:u w:val="single" w:color="auto"/>
              </w:rPr>
              <w:t>附則１　この運用は、令和</w:t>
            </w:r>
            <w:r>
              <w:rPr>
                <w:rFonts w:hint="eastAsia"/>
                <w:color w:val="FF0000"/>
                <w:u w:val="single" w:color="auto"/>
              </w:rPr>
              <w:t xml:space="preserve"> </w:t>
            </w:r>
            <w:r>
              <w:rPr>
                <w:rFonts w:hint="eastAsia"/>
                <w:color w:val="FF0000"/>
                <w:u w:val="single" w:color="auto"/>
              </w:rPr>
              <w:t>４年</w:t>
            </w:r>
            <w:r>
              <w:rPr>
                <w:rFonts w:hint="eastAsia"/>
                <w:color w:val="FF0000"/>
                <w:u w:val="single" w:color="auto"/>
              </w:rPr>
              <w:t xml:space="preserve"> </w:t>
            </w:r>
            <w:r>
              <w:rPr>
                <w:rFonts w:hint="eastAsia"/>
                <w:color w:val="FF0000"/>
                <w:u w:val="single" w:color="auto"/>
              </w:rPr>
              <w:t>４月</w:t>
            </w:r>
            <w:r>
              <w:rPr>
                <w:rFonts w:hint="eastAsia"/>
                <w:color w:val="FF0000"/>
                <w:u w:val="single" w:color="auto"/>
              </w:rPr>
              <w:t xml:space="preserve"> 22</w:t>
            </w:r>
            <w:r>
              <w:rPr>
                <w:rFonts w:hint="eastAsia"/>
                <w:color w:val="FF0000"/>
                <w:u w:val="single" w:color="auto"/>
              </w:rPr>
              <w:t>日から施行する。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別紙　　「略」</w:t>
            </w:r>
          </w:p>
          <w:p>
            <w:pPr>
              <w:pStyle w:val="0"/>
              <w:spacing w:line="320" w:lineRule="exact"/>
              <w:ind w:left="647" w:hanging="647" w:hangingChars="294"/>
              <w:rPr>
                <w:rFonts w:hint="default"/>
              </w:rPr>
            </w:pPr>
          </w:p>
          <w:p>
            <w:pPr>
              <w:pStyle w:val="0"/>
              <w:spacing w:line="240" w:lineRule="atLeast"/>
              <w:ind w:firstLine="4620" w:firstLineChars="210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04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高知県高性能林業機械等整備事業の運用について（案）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第１　「略」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第２　運用</w:t>
            </w:r>
          </w:p>
          <w:p>
            <w:pPr>
              <w:pStyle w:val="0"/>
              <w:spacing w:line="320" w:lineRule="exact"/>
              <w:ind w:left="440" w:leftChars="200"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要綱別表第１の事業区分ごとに、以下に留意して事業の実施及び導入した機械の利用、保守管理を行うものとする。</w:t>
            </w:r>
          </w:p>
          <w:p>
            <w:pPr>
              <w:pStyle w:val="0"/>
              <w:spacing w:line="320" w:lineRule="exact"/>
              <w:ind w:left="440" w:leftChars="200" w:firstLine="220" w:firstLineChars="100"/>
              <w:jc w:val="lef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１　高性能林業機械の導入（要綱別表第１の１）</w:t>
            </w:r>
          </w:p>
          <w:p>
            <w:pPr>
              <w:pStyle w:val="0"/>
              <w:spacing w:line="320" w:lineRule="exact"/>
              <w:ind w:left="660" w:leftChars="10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  <w:color w:val="auto"/>
                <w:u w:val="none" w:color="auto"/>
              </w:rPr>
              <w:t>補助対象経費</w:t>
            </w:r>
          </w:p>
          <w:p>
            <w:pPr>
              <w:pStyle w:val="0"/>
              <w:spacing w:line="320" w:lineRule="exact"/>
              <w:ind w:left="660" w:leftChars="100" w:hanging="440" w:hangingChars="200"/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　　①～②　「略」</w:t>
            </w:r>
          </w:p>
          <w:p>
            <w:pPr>
              <w:pStyle w:val="0"/>
              <w:spacing w:line="320" w:lineRule="exact"/>
              <w:ind w:left="867" w:leftChars="394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　「追加」</w:t>
            </w: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949" w:leftChars="294" w:hanging="241" w:hangingChars="100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（２）～（４）　「略」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２　林業機械のリース（要綱別表第１の２）</w:t>
            </w:r>
          </w:p>
          <w:p>
            <w:pPr>
              <w:pStyle w:val="0"/>
              <w:spacing w:line="320" w:lineRule="exact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  <w:color w:val="auto"/>
                <w:u w:val="none" w:color="auto"/>
              </w:rPr>
              <w:t>補助対象経費</w:t>
            </w:r>
          </w:p>
          <w:p>
            <w:pPr>
              <w:pStyle w:val="0"/>
              <w:spacing w:line="320" w:lineRule="exact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　　①～②　　「略」</w:t>
            </w:r>
          </w:p>
          <w:p>
            <w:pPr>
              <w:pStyle w:val="0"/>
              <w:spacing w:line="320" w:lineRule="exact"/>
              <w:ind w:left="964" w:hanging="964" w:hangingChars="4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</w:rPr>
              <w:t>　　　　　　　　「追加」</w:t>
            </w:r>
          </w:p>
          <w:p>
            <w:pPr>
              <w:pStyle w:val="0"/>
              <w:spacing w:line="320" w:lineRule="exact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（２）～（４）　　「略」</w:t>
            </w:r>
          </w:p>
          <w:p>
            <w:pPr>
              <w:pStyle w:val="0"/>
              <w:spacing w:line="320" w:lineRule="exact"/>
              <w:ind w:left="909" w:leftChars="-87" w:hanging="1100" w:hangingChars="5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color w:val="auto"/>
                <w:u w:val="none" w:color="auto"/>
              </w:rPr>
              <w:t>３　林業機械のレンタル（要綱別表第１の３）</w:t>
            </w:r>
          </w:p>
          <w:p>
            <w:pPr>
              <w:pStyle w:val="0"/>
              <w:spacing w:line="320" w:lineRule="exact"/>
              <w:ind w:left="909" w:leftChars="-87" w:hanging="1100" w:hangingChars="500"/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　　（１）～（５）　　「略」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（６）実績報告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color w:val="FF0000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レンタル事業の実績報告書で添付する契約書は、レンタルの相手方、機種、期間、金額が確認できれば請求書でも可とする。また、添付する写真は、機種等が確認できるものとする。</w:t>
            </w:r>
            <w:r>
              <w:rPr>
                <w:rFonts w:hint="eastAsia"/>
              </w:rPr>
              <w:t>　　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color w:val="FF0000"/>
                <w:u w:val="none" w:color="auto"/>
              </w:rPr>
              <w:t>　　　　　</w:t>
            </w:r>
            <w:r>
              <w:rPr>
                <w:rFonts w:hint="eastAsia"/>
                <w:color w:val="auto"/>
                <w:u w:val="none" w:color="auto"/>
              </w:rPr>
              <w:t>「追加」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>（７）　　「略」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４～５　　</w:t>
            </w:r>
            <w:r>
              <w:rPr>
                <w:rFonts w:hint="eastAsia"/>
                <w:color w:val="auto"/>
              </w:rPr>
              <w:t>「略」</w:t>
            </w:r>
          </w:p>
          <w:p>
            <w:pPr>
              <w:pStyle w:val="0"/>
              <w:spacing w:line="320" w:lineRule="exact"/>
              <w:ind w:left="660" w:hanging="66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６～７　　「略」</w:t>
            </w:r>
          </w:p>
          <w:p>
            <w:pPr>
              <w:pStyle w:val="0"/>
              <w:spacing w:line="320" w:lineRule="exact"/>
              <w:ind w:left="660" w:leftChars="200" w:hanging="220" w:hangingChars="100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附則　　「略」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別紙　　「略」</w:t>
            </w:r>
          </w:p>
          <w:p>
            <w:pPr>
              <w:pStyle w:val="0"/>
              <w:spacing w:line="320" w:lineRule="exact"/>
              <w:ind w:left="1100" w:leftChars="200" w:hanging="660" w:hangingChars="300"/>
              <w:jc w:val="left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23811" w:h="16838" w:orient="landscape"/>
      <w:pgMar w:top="1701" w:right="1474" w:bottom="1077" w:left="1474" w:header="851" w:footer="992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  <w:b w:val="1"/>
        <w:sz w:val="24"/>
      </w:rPr>
    </w:pPr>
    <w:r>
      <w:rPr>
        <w:rFonts w:hint="eastAsia"/>
        <w:b w:val="1"/>
        <w:sz w:val="24"/>
      </w:rPr>
      <w:t>新　旧　対　照　表</w:t>
    </w:r>
  </w:p>
  <w:tbl>
    <w:tblPr>
      <w:tblStyle w:val="31"/>
      <w:tblW w:w="20946" w:type="dxa"/>
      <w:tblInd w:w="0" w:type="dxa"/>
      <w:tblLayout w:type="fixed"/>
      <w:tblLook w:firstRow="1" w:lastRow="0" w:firstColumn="1" w:lastColumn="0" w:noHBand="0" w:noVBand="1" w:val="04A0"/>
    </w:tblPr>
    <w:tblGrid>
      <w:gridCol w:w="10473"/>
      <w:gridCol w:w="10473"/>
    </w:tblGrid>
    <w:tr>
      <w:trPr/>
      <w:tc>
        <w:tcPr>
          <w:tcW w:w="10473" w:type="dxa"/>
          <w:vAlign w:val="top"/>
        </w:tcPr>
        <w:p>
          <w:pPr>
            <w:pStyle w:val="0"/>
            <w:jc w:val="center"/>
            <w:rPr>
              <w:rFonts w:hint="default"/>
              <w:b w:val="1"/>
              <w:sz w:val="24"/>
            </w:rPr>
          </w:pPr>
          <w:r>
            <w:rPr>
              <w:rFonts w:hint="eastAsia"/>
              <w:b w:val="1"/>
              <w:sz w:val="24"/>
            </w:rPr>
            <w:t>改正後</w:t>
          </w:r>
        </w:p>
      </w:tc>
      <w:tc>
        <w:tcPr>
          <w:tcW w:w="10473" w:type="dxa"/>
          <w:vAlign w:val="top"/>
        </w:tcPr>
        <w:p>
          <w:pPr>
            <w:pStyle w:val="0"/>
            <w:jc w:val="center"/>
            <w:rPr>
              <w:rFonts w:hint="default"/>
              <w:b w:val="1"/>
              <w:sz w:val="24"/>
            </w:rPr>
          </w:pPr>
          <w:r>
            <w:rPr>
              <w:rFonts w:hint="eastAsia"/>
              <w:b w:val="1"/>
              <w:sz w:val="24"/>
            </w:rPr>
            <w:t>改正前</w:t>
          </w:r>
        </w:p>
      </w:tc>
    </w:tr>
  </w:tbl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224" w:hanging="224" w:hangingChars="100"/>
    </w:pPr>
    <w:rPr>
      <w:rFonts w:ascii="Century" w:hAnsi="Century" w:eastAsia="ＭＳ Ｐ明朝"/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Ｐ明朝"/>
      <w:sz w:val="24"/>
    </w:rPr>
  </w:style>
  <w:style w:type="paragraph" w:styleId="23">
    <w:name w:val="Body Text 3"/>
    <w:basedOn w:val="0"/>
    <w:next w:val="23"/>
    <w:link w:val="24"/>
    <w:uiPriority w:val="0"/>
    <w:rPr>
      <w:sz w:val="16"/>
    </w:rPr>
  </w:style>
  <w:style w:type="character" w:styleId="24" w:customStyle="1">
    <w:name w:val="本文 3 (文字)"/>
    <w:basedOn w:val="10"/>
    <w:next w:val="24"/>
    <w:link w:val="23"/>
    <w:uiPriority w:val="0"/>
    <w:rPr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Body Text Indent"/>
    <w:basedOn w:val="0"/>
    <w:next w:val="27"/>
    <w:link w:val="28"/>
    <w:uiPriority w:val="0"/>
    <w:pPr>
      <w:ind w:left="851" w:leftChars="400"/>
    </w:pPr>
  </w:style>
  <w:style w:type="character" w:styleId="28" w:customStyle="1">
    <w:name w:val="本文インデント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2</Pages>
  <Words>7</Words>
  <Characters>1291</Characters>
  <Application>JUST Note</Application>
  <Lines>101</Lines>
  <Paragraphs>68</Paragraphs>
  <CharactersWithSpaces>1428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470247</cp:lastModifiedBy>
  <cp:lastPrinted>2022-04-11T00:36:51Z</cp:lastPrinted>
  <dcterms:created xsi:type="dcterms:W3CDTF">2021-06-02T06:46:00Z</dcterms:created>
  <dcterms:modified xsi:type="dcterms:W3CDTF">2022-04-25T01:44:39Z</dcterms:modified>
  <cp:revision>3</cp:revision>
</cp:coreProperties>
</file>