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default"/>
          <w:color w:val="auto"/>
          <w:u w:val="none" w:color="auto"/>
        </w:rPr>
      </w:pPr>
      <w:r>
        <w:rPr>
          <w:rFonts w:hint="eastAsia"/>
          <w:color w:val="auto"/>
          <w:u w:val="none" w:color="auto"/>
        </w:rPr>
        <w:t>高知県高性能林業機械等整備事業の運用について</w:t>
      </w:r>
    </w:p>
    <w:p>
      <w:pPr>
        <w:pStyle w:val="0"/>
        <w:spacing w:line="320" w:lineRule="exact"/>
        <w:rPr>
          <w:rFonts w:hint="default"/>
          <w:color w:val="auto"/>
          <w:u w:val="none" w:color="auto"/>
        </w:rPr>
      </w:pPr>
    </w:p>
    <w:p>
      <w:pPr>
        <w:pStyle w:val="0"/>
        <w:spacing w:line="320" w:lineRule="exact"/>
        <w:rPr>
          <w:rFonts w:hint="default"/>
          <w:color w:val="auto"/>
          <w:u w:val="none" w:color="auto"/>
        </w:rPr>
      </w:pPr>
      <w:r>
        <w:rPr>
          <w:rFonts w:hint="eastAsia"/>
          <w:color w:val="auto"/>
          <w:u w:val="none" w:color="auto"/>
        </w:rPr>
        <w:t>第１　趣旨</w:t>
      </w:r>
    </w:p>
    <w:p>
      <w:pPr>
        <w:pStyle w:val="0"/>
        <w:spacing w:line="320" w:lineRule="exact"/>
        <w:ind w:left="482" w:leftChars="200" w:firstLine="241" w:firstLineChars="100"/>
        <w:rPr>
          <w:rFonts w:hint="default"/>
          <w:color w:val="auto"/>
          <w:u w:val="none" w:color="auto"/>
        </w:rPr>
      </w:pPr>
      <w:r>
        <w:rPr>
          <w:rFonts w:hint="eastAsia"/>
          <w:color w:val="auto"/>
          <w:u w:val="none" w:color="auto"/>
        </w:rPr>
        <w:t>この運用は、高知県高性能林業機械等整備事業費補助金交付要綱</w:t>
      </w:r>
      <w:r>
        <w:rPr>
          <w:rFonts w:hint="eastAsia"/>
          <w:color w:val="auto"/>
          <w:u w:val="none" w:color="auto"/>
        </w:rPr>
        <w:t>(</w:t>
      </w:r>
      <w:r>
        <w:rPr>
          <w:rFonts w:hint="eastAsia"/>
          <w:color w:val="auto"/>
          <w:u w:val="none" w:color="auto"/>
        </w:rPr>
        <w:t>以下「要綱」と言う。</w:t>
      </w:r>
      <w:r>
        <w:rPr>
          <w:rFonts w:hint="eastAsia"/>
          <w:color w:val="auto"/>
          <w:u w:val="none" w:color="auto"/>
        </w:rPr>
        <w:t>)</w:t>
      </w:r>
      <w:r>
        <w:rPr>
          <w:rFonts w:hint="eastAsia"/>
          <w:color w:val="auto"/>
          <w:u w:val="none" w:color="auto"/>
        </w:rPr>
        <w:t>及び高知県高性能林業機械等整備事業事務取扱要領（以下「要領」と言う。）の運用について、必要な事項を定める。</w:t>
      </w:r>
    </w:p>
    <w:p>
      <w:pPr>
        <w:pStyle w:val="0"/>
        <w:spacing w:line="320" w:lineRule="exact"/>
        <w:rPr>
          <w:rFonts w:hint="default"/>
          <w:color w:val="auto"/>
          <w:u w:val="none" w:color="auto"/>
        </w:rPr>
      </w:pPr>
      <w:r>
        <w:rPr>
          <w:rFonts w:hint="eastAsia"/>
          <w:color w:val="auto"/>
          <w:u w:val="none" w:color="auto"/>
        </w:rPr>
        <w:t>第２　運用</w:t>
      </w:r>
    </w:p>
    <w:p>
      <w:pPr>
        <w:pStyle w:val="0"/>
        <w:spacing w:line="320" w:lineRule="exact"/>
        <w:ind w:left="482" w:leftChars="200" w:firstLine="241" w:firstLineChars="100"/>
        <w:rPr>
          <w:rFonts w:hint="default"/>
          <w:color w:val="auto"/>
          <w:u w:val="none" w:color="auto"/>
        </w:rPr>
      </w:pPr>
      <w:r>
        <w:rPr>
          <w:rFonts w:hint="eastAsia"/>
          <w:color w:val="auto"/>
          <w:u w:val="none" w:color="auto"/>
        </w:rPr>
        <w:t>要綱別表第１の事業区分ごとに、以下に留意して事業の実施及び導入した機械の利用、保守管理を行うものとする。</w:t>
      </w:r>
    </w:p>
    <w:p>
      <w:pPr>
        <w:pStyle w:val="0"/>
        <w:spacing w:line="320" w:lineRule="exact"/>
        <w:ind w:left="482" w:leftChars="200" w:firstLine="241" w:firstLineChars="100"/>
        <w:rPr>
          <w:rFonts w:hint="default"/>
          <w:color w:val="auto"/>
          <w:u w:val="none" w:color="auto"/>
        </w:rPr>
      </w:pPr>
    </w:p>
    <w:p>
      <w:pPr>
        <w:pStyle w:val="0"/>
        <w:spacing w:line="320" w:lineRule="exact"/>
        <w:rPr>
          <w:rFonts w:hint="default"/>
          <w:color w:val="auto"/>
          <w:u w:val="none" w:color="auto"/>
        </w:rPr>
      </w:pPr>
      <w:r>
        <w:rPr>
          <w:rFonts w:hint="eastAsia"/>
          <w:color w:val="auto"/>
          <w:u w:val="none" w:color="auto"/>
        </w:rPr>
        <w:t>　１　高性能林業機械の導入（要綱別表第１の１）</w:t>
      </w:r>
    </w:p>
    <w:p>
      <w:pPr>
        <w:pStyle w:val="0"/>
        <w:spacing w:line="320" w:lineRule="exact"/>
        <w:ind w:firstLine="241" w:firstLineChars="100"/>
        <w:rPr>
          <w:rFonts w:hint="default"/>
          <w:color w:val="auto"/>
          <w:u w:val="none" w:color="auto"/>
        </w:rPr>
      </w:pPr>
      <w:r>
        <w:rPr>
          <w:rFonts w:hint="eastAsia"/>
          <w:color w:val="auto"/>
          <w:u w:val="none" w:color="auto"/>
        </w:rPr>
        <w:t>（１）補助対象経費</w:t>
      </w:r>
    </w:p>
    <w:p>
      <w:pPr>
        <w:pStyle w:val="0"/>
        <w:spacing w:line="320" w:lineRule="exact"/>
        <w:ind w:left="949" w:leftChars="294" w:hanging="241" w:hangingChars="100"/>
        <w:rPr>
          <w:rFonts w:hint="default"/>
          <w:color w:val="auto"/>
          <w:u w:val="none" w:color="auto"/>
        </w:rPr>
      </w:pPr>
      <w:r>
        <w:rPr>
          <w:rFonts w:hint="eastAsia"/>
          <w:color w:val="auto"/>
          <w:u w:val="none" w:color="auto"/>
        </w:rPr>
        <w:t>①　補助対象機械の範囲は要綱別表第３に定める工種又は施設区分に記載されている機械本体及び附属機械器具購入費、機械本体及び附属機械器具の運送料及び定置式機械の据付料、車両購入に伴う自動車重量税、自動車税環境性能割及び自動車損害賠償責任保険料とする。ただし、現地着価格によって購入するときは、運送料を含めないものとする。</w:t>
      </w:r>
    </w:p>
    <w:p>
      <w:pPr>
        <w:pStyle w:val="0"/>
        <w:spacing w:line="320" w:lineRule="exact"/>
        <w:ind w:left="949" w:leftChars="294" w:hanging="241" w:hangingChars="100"/>
        <w:rPr>
          <w:rFonts w:hint="default"/>
          <w:color w:val="auto"/>
          <w:u w:val="none" w:color="auto"/>
        </w:rPr>
      </w:pPr>
      <w:r>
        <w:rPr>
          <w:rFonts w:hint="eastAsia"/>
          <w:color w:val="auto"/>
          <w:u w:val="none" w:color="auto"/>
        </w:rPr>
        <w:t>②　導入する機械については、労働安全衛生法（昭和</w:t>
      </w:r>
      <w:r>
        <w:rPr>
          <w:rFonts w:hint="eastAsia"/>
          <w:color w:val="auto"/>
          <w:u w:val="none" w:color="auto"/>
        </w:rPr>
        <w:t>47</w:t>
      </w:r>
      <w:r>
        <w:rPr>
          <w:rFonts w:hint="eastAsia"/>
          <w:color w:val="auto"/>
          <w:u w:val="none" w:color="auto"/>
        </w:rPr>
        <w:t>年法律第</w:t>
      </w:r>
      <w:r>
        <w:rPr>
          <w:rFonts w:hint="eastAsia"/>
          <w:color w:val="auto"/>
          <w:u w:val="none" w:color="auto"/>
        </w:rPr>
        <w:t>57</w:t>
      </w:r>
      <w:r>
        <w:rPr>
          <w:rFonts w:hint="eastAsia"/>
          <w:color w:val="auto"/>
          <w:u w:val="none" w:color="auto"/>
        </w:rPr>
        <w:t>号）等の関係法令に基づき必要となる設備を備えたものとする。</w:t>
      </w:r>
    </w:p>
    <w:p>
      <w:pPr>
        <w:pStyle w:val="0"/>
        <w:spacing w:line="320" w:lineRule="exact"/>
        <w:ind w:left="949" w:leftChars="294" w:hanging="241" w:hangingChars="100"/>
        <w:rPr>
          <w:rFonts w:hint="eastAsia"/>
          <w:color w:val="auto"/>
          <w:u w:val="none" w:color="auto"/>
        </w:rPr>
      </w:pPr>
      <w:r>
        <w:rPr>
          <w:rFonts w:hint="eastAsia"/>
          <w:color w:val="auto"/>
          <w:u w:val="none" w:color="auto"/>
        </w:rPr>
        <w:t>③　林業用四輪駆動ダンプトラックについては、道路法、道路交通法、その他積載物の運搬に係る法律等を遵守するとともに、次に掲げる基準を満たすものであることとする。</w:t>
      </w:r>
      <w:r>
        <w:rPr>
          <w:rFonts w:hint="eastAsia"/>
          <w:color w:val="auto"/>
          <w:u w:val="none" w:color="auto"/>
        </w:rPr>
        <w:t xml:space="preserve"> </w:t>
      </w:r>
    </w:p>
    <w:p>
      <w:pPr>
        <w:pStyle w:val="0"/>
        <w:spacing w:line="320" w:lineRule="exact"/>
        <w:ind w:left="949" w:leftChars="394" w:firstLine="0" w:firstLineChars="0"/>
        <w:rPr>
          <w:rFonts w:hint="eastAsia"/>
          <w:color w:val="auto"/>
          <w:u w:val="none" w:color="auto"/>
        </w:rPr>
      </w:pPr>
      <w:r>
        <w:rPr>
          <w:rFonts w:hint="eastAsia"/>
          <w:color w:val="auto"/>
          <w:u w:val="none" w:color="auto"/>
        </w:rPr>
        <w:t>ア</w:t>
      </w:r>
      <w:r>
        <w:rPr>
          <w:rFonts w:hint="eastAsia"/>
          <w:color w:val="auto"/>
          <w:u w:val="none" w:color="auto"/>
        </w:rPr>
        <w:t xml:space="preserve"> </w:t>
      </w:r>
      <w:r>
        <w:rPr>
          <w:rFonts w:hint="eastAsia"/>
          <w:color w:val="auto"/>
          <w:u w:val="none" w:color="auto"/>
        </w:rPr>
        <w:t>林業用四輪駆動ダンプトラックの規格については、以下の項目を全て満たすものであること。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・四輪駆動であり、トランスミッションはＭＴであること。</w:t>
      </w:r>
      <w:r>
        <w:rPr>
          <w:rFonts w:hint="eastAsia"/>
          <w:color w:val="auto"/>
          <w:u w:val="none" w:color="auto"/>
        </w:rPr>
        <w:t xml:space="preserve">       </w:t>
      </w:r>
    </w:p>
    <w:p>
      <w:pPr>
        <w:pStyle w:val="0"/>
        <w:spacing w:line="320" w:lineRule="exact"/>
        <w:ind w:left="949" w:leftChars="394" w:firstLine="241" w:firstLineChars="100"/>
        <w:rPr>
          <w:rFonts w:hint="eastAsia"/>
          <w:color w:val="auto"/>
          <w:u w:val="none" w:color="auto"/>
        </w:rPr>
      </w:pPr>
      <w:r>
        <w:rPr>
          <w:rFonts w:hint="eastAsia"/>
          <w:color w:val="auto"/>
          <w:u w:val="none" w:color="auto"/>
        </w:rPr>
        <w:t>・積載量は２ｔ以上４ｔ未満であること。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・排気量は</w:t>
      </w:r>
      <w:r>
        <w:rPr>
          <w:rFonts w:hint="eastAsia"/>
          <w:color w:val="auto"/>
          <w:u w:val="none" w:color="auto"/>
        </w:rPr>
        <w:t>4,000cc</w:t>
      </w:r>
      <w:r>
        <w:rPr>
          <w:rFonts w:hint="eastAsia"/>
          <w:color w:val="auto"/>
          <w:u w:val="none" w:color="auto"/>
        </w:rPr>
        <w:t>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・補助ブレーキとして排気ブレーキを装備していること。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・最小回転半径は６</w:t>
      </w:r>
      <w:r>
        <w:rPr>
          <w:rFonts w:hint="eastAsia"/>
          <w:color w:val="auto"/>
          <w:u w:val="none" w:color="auto"/>
        </w:rPr>
        <w:t>m</w:t>
      </w:r>
      <w:r>
        <w:rPr>
          <w:rFonts w:hint="eastAsia"/>
          <w:color w:val="auto"/>
          <w:u w:val="none" w:color="auto"/>
        </w:rPr>
        <w:t>以下であること。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・ＬＳＤ（リミテッド・スリップ・デフ）又はＬＳＤと同様にタイヤが空転した</w:t>
      </w:r>
    </w:p>
    <w:p>
      <w:pPr>
        <w:pStyle w:val="0"/>
        <w:spacing w:line="320" w:lineRule="exact"/>
        <w:ind w:left="949" w:leftChars="394" w:firstLine="241" w:firstLineChars="100"/>
        <w:rPr>
          <w:rFonts w:hint="eastAsia"/>
          <w:color w:val="auto"/>
          <w:u w:val="none" w:color="auto"/>
        </w:rPr>
      </w:pPr>
      <w:r>
        <w:rPr>
          <w:rFonts w:hint="eastAsia"/>
          <w:color w:val="auto"/>
          <w:u w:val="none" w:color="auto"/>
        </w:rPr>
        <w:t>際に起こるスタックを回避するための機能を有していること。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・１速の総減速比（１速の変速比×最終減速比）が</w:t>
      </w:r>
      <w:r>
        <w:rPr>
          <w:rFonts w:hint="eastAsia"/>
          <w:color w:val="auto"/>
          <w:u w:val="none" w:color="auto"/>
        </w:rPr>
        <w:t>29.5</w:t>
      </w:r>
      <w:r>
        <w:rPr>
          <w:rFonts w:hint="eastAsia"/>
          <w:color w:val="auto"/>
          <w:u w:val="none" w:color="auto"/>
        </w:rPr>
        <w:t>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・リヤデフまでの高さ（最低地上高）が</w:t>
      </w:r>
      <w:r>
        <w:rPr>
          <w:rFonts w:hint="eastAsia"/>
          <w:color w:val="auto"/>
          <w:u w:val="none" w:color="auto"/>
        </w:rPr>
        <w:t>160</w:t>
      </w:r>
      <w:r>
        <w:rPr>
          <w:rFonts w:hint="eastAsia"/>
          <w:color w:val="auto"/>
          <w:u w:val="none" w:color="auto"/>
        </w:rPr>
        <w:t>ｍｍ以上であること。</w:t>
      </w:r>
    </w:p>
    <w:p>
      <w:pPr>
        <w:pStyle w:val="0"/>
        <w:spacing w:line="320" w:lineRule="exact"/>
        <w:ind w:left="949" w:leftChars="394" w:firstLine="241" w:firstLineChars="100"/>
        <w:rPr>
          <w:rFonts w:hint="eastAsia"/>
          <w:color w:val="auto"/>
          <w:u w:val="none" w:color="auto"/>
        </w:rPr>
      </w:pPr>
      <w:r>
        <w:rPr>
          <w:rFonts w:hint="eastAsia"/>
          <w:color w:val="auto"/>
          <w:u w:val="none" w:color="auto"/>
        </w:rPr>
        <w:t>・荷台は林業用に架装していること。</w:t>
      </w:r>
    </w:p>
    <w:p>
      <w:pPr>
        <w:pStyle w:val="0"/>
        <w:spacing w:line="320" w:lineRule="exact"/>
        <w:ind w:left="0" w:leftChars="0" w:firstLine="723" w:firstLineChars="300"/>
        <w:rPr>
          <w:rFonts w:hint="eastAsia"/>
          <w:color w:val="auto"/>
          <w:u w:val="none" w:color="auto"/>
        </w:rPr>
      </w:pPr>
      <w:r>
        <w:rPr>
          <w:rFonts w:hint="eastAsia"/>
          <w:color w:val="auto"/>
          <w:u w:val="none" w:color="auto"/>
        </w:rPr>
        <w:t xml:space="preserve"> </w:t>
      </w:r>
      <w:r>
        <w:rPr>
          <w:rFonts w:hint="eastAsia"/>
          <w:color w:val="auto"/>
          <w:u w:val="none" w:color="auto"/>
        </w:rPr>
        <w:t>イ</w:t>
      </w:r>
      <w:r>
        <w:rPr>
          <w:rFonts w:hint="eastAsia"/>
          <w:color w:val="auto"/>
          <w:u w:val="none" w:color="auto"/>
        </w:rPr>
        <w:t xml:space="preserve"> </w:t>
      </w:r>
      <w:r>
        <w:rPr>
          <w:rFonts w:hint="eastAsia"/>
          <w:color w:val="auto"/>
          <w:u w:val="none" w:color="auto"/>
        </w:rPr>
        <w:t>導入後に資産計上を行い、かつ、以下のすべてを満たすものであること。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・車体に法人名等が印刷されていること。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・運行記録、業務日報が整備されていること。</w:t>
      </w:r>
    </w:p>
    <w:p>
      <w:pPr>
        <w:pStyle w:val="0"/>
        <w:spacing w:line="320" w:lineRule="exact"/>
        <w:ind w:left="0" w:leftChars="0" w:firstLine="1205" w:firstLineChars="500"/>
        <w:rPr>
          <w:rFonts w:hint="eastAsia"/>
          <w:color w:val="auto"/>
          <w:u w:val="none" w:color="auto"/>
        </w:rPr>
      </w:pPr>
      <w:r>
        <w:rPr>
          <w:rFonts w:hint="eastAsia"/>
          <w:color w:val="auto"/>
          <w:u w:val="none" w:color="auto"/>
        </w:rPr>
        <w:t>・任意保険の使用目的設定が「事業使用」であること。</w:t>
      </w:r>
      <w:r>
        <w:rPr>
          <w:rFonts w:hint="eastAsia"/>
          <w:color w:val="auto"/>
          <w:u w:val="none" w:color="auto"/>
        </w:rPr>
        <w:t xml:space="preserve">       </w:t>
      </w:r>
    </w:p>
    <w:p>
      <w:pPr>
        <w:pStyle w:val="0"/>
        <w:spacing w:line="320" w:lineRule="exact"/>
        <w:ind w:left="708" w:leftChars="294" w:firstLine="723" w:firstLineChars="300"/>
        <w:rPr>
          <w:rFonts w:hint="default"/>
          <w:color w:val="auto"/>
          <w:u w:val="none" w:color="auto"/>
        </w:rPr>
      </w:pPr>
      <w:r>
        <w:rPr>
          <w:rFonts w:hint="eastAsia"/>
          <w:color w:val="auto"/>
          <w:u w:val="none" w:color="auto"/>
        </w:rPr>
        <w:t>なお、本来の補助目的の遂行に支障を及ぼさない範囲で、他の用途に一時使用</w:t>
      </w:r>
    </w:p>
    <w:p>
      <w:pPr>
        <w:pStyle w:val="0"/>
        <w:spacing w:line="320" w:lineRule="exact"/>
        <w:ind w:left="708" w:leftChars="294" w:firstLine="0" w:firstLineChars="0"/>
        <w:rPr>
          <w:rFonts w:hint="default"/>
          <w:color w:val="auto"/>
          <w:u w:val="none" w:color="auto"/>
        </w:rPr>
      </w:pPr>
      <w:r>
        <w:rPr>
          <w:rFonts w:hint="eastAsia"/>
          <w:color w:val="auto"/>
          <w:u w:val="none" w:color="auto"/>
        </w:rPr>
        <w:t>　　することについては妨げない。</w:t>
      </w:r>
    </w:p>
    <w:p>
      <w:pPr>
        <w:pStyle w:val="0"/>
        <w:spacing w:line="320" w:lineRule="exact"/>
        <w:ind w:left="723" w:leftChars="100" w:hanging="482" w:hangingChars="200"/>
        <w:rPr>
          <w:rFonts w:hint="default"/>
          <w:color w:val="auto"/>
          <w:u w:val="none" w:color="auto"/>
        </w:rPr>
      </w:pPr>
      <w:r>
        <w:rPr>
          <w:rFonts w:hint="eastAsia"/>
          <w:color w:val="auto"/>
          <w:u w:val="none" w:color="auto"/>
        </w:rPr>
        <w:t>（２）県の目標値</w:t>
      </w:r>
    </w:p>
    <w:p>
      <w:pPr>
        <w:pStyle w:val="0"/>
        <w:spacing w:line="320" w:lineRule="exact"/>
        <w:ind w:left="723" w:leftChars="300" w:firstLine="241" w:firstLineChars="100"/>
        <w:rPr>
          <w:rFonts w:hint="default"/>
          <w:color w:val="auto"/>
          <w:u w:val="none" w:color="auto"/>
        </w:rPr>
      </w:pPr>
      <w:r>
        <w:rPr>
          <w:rFonts w:hint="eastAsia"/>
          <w:color w:val="auto"/>
          <w:u w:val="none" w:color="auto"/>
        </w:rPr>
        <w:t>要綱別表３の１の留意事項（５）及び要領第１号様式の別紙１－１－１に記載のある「素材生産量若しくは素材生産性等の目標が原則として県の目標値以上であること又は目標値の伸び率以上であること。」の「県の目標値」は別紙１のとおりとする。</w:t>
      </w:r>
    </w:p>
    <w:p>
      <w:pPr>
        <w:pStyle w:val="0"/>
        <w:spacing w:line="320" w:lineRule="exact"/>
        <w:ind w:firstLine="241" w:firstLineChars="100"/>
        <w:rPr>
          <w:rFonts w:hint="default"/>
          <w:color w:val="auto"/>
          <w:u w:val="none" w:color="auto"/>
        </w:rPr>
      </w:pPr>
      <w:r>
        <w:rPr>
          <w:rFonts w:hint="eastAsia"/>
          <w:color w:val="auto"/>
          <w:u w:val="none" w:color="auto"/>
        </w:rPr>
        <w:t>（３）機械導入後の保守・管理</w:t>
      </w:r>
    </w:p>
    <w:p>
      <w:pPr>
        <w:pStyle w:val="0"/>
        <w:spacing w:line="320" w:lineRule="exact"/>
        <w:ind w:left="723" w:leftChars="300" w:firstLine="241" w:firstLineChars="100"/>
        <w:rPr>
          <w:rFonts w:hint="default"/>
          <w:color w:val="auto"/>
          <w:u w:val="none" w:color="auto"/>
        </w:rPr>
      </w:pPr>
      <w:r>
        <w:rPr>
          <w:rFonts w:hint="eastAsia"/>
          <w:color w:val="auto"/>
          <w:u w:val="none" w:color="auto"/>
        </w:rPr>
        <w:t>機械導入事業体は作業記録簿を整備するとともに、作業前点検、定期点検を実施し、その性能を十分発揮できるように維持管理しなければならない。</w:t>
      </w:r>
    </w:p>
    <w:p>
      <w:pPr>
        <w:pStyle w:val="0"/>
        <w:spacing w:line="320" w:lineRule="exact"/>
        <w:ind w:left="995" w:leftChars="-87" w:hanging="1205" w:hangingChars="500"/>
        <w:rPr>
          <w:rFonts w:hint="default"/>
          <w:color w:val="auto"/>
          <w:u w:val="none" w:color="auto"/>
        </w:rPr>
      </w:pPr>
      <w:r>
        <w:rPr>
          <w:rFonts w:hint="eastAsia"/>
          <w:color w:val="auto"/>
          <w:u w:val="none" w:color="auto"/>
        </w:rPr>
        <w:t>　　（４）実績報告書</w:t>
      </w:r>
    </w:p>
    <w:p>
      <w:pPr>
        <w:pStyle w:val="0"/>
        <w:spacing w:line="320" w:lineRule="exact"/>
        <w:ind w:left="708" w:leftChars="294" w:firstLine="241" w:firstLineChars="100"/>
        <w:rPr>
          <w:rFonts w:hint="default"/>
          <w:color w:val="auto"/>
          <w:u w:val="none" w:color="auto"/>
        </w:rPr>
      </w:pPr>
      <w:r>
        <w:rPr>
          <w:rFonts w:hint="eastAsia"/>
          <w:color w:val="auto"/>
          <w:u w:val="none" w:color="auto"/>
        </w:rPr>
        <w:t>間接補助事業の場合、間接補助事業者（市町村）は、事業実施主体に補助金を支払った日を補助事業の完了日として、補助金交付要綱第９条に定める実績報告を行うものとする。</w:t>
      </w:r>
    </w:p>
    <w:p>
      <w:pPr>
        <w:pStyle w:val="0"/>
        <w:spacing w:line="320" w:lineRule="exact"/>
        <w:ind w:left="708" w:leftChars="294" w:firstLine="241" w:firstLineChars="100"/>
        <w:rPr>
          <w:rFonts w:hint="default"/>
          <w:color w:val="auto"/>
          <w:u w:val="none" w:color="auto"/>
        </w:rPr>
      </w:pPr>
    </w:p>
    <w:p>
      <w:pPr>
        <w:pStyle w:val="0"/>
        <w:spacing w:line="320" w:lineRule="exact"/>
        <w:rPr>
          <w:rFonts w:hint="default"/>
          <w:color w:val="auto"/>
          <w:u w:val="none" w:color="auto"/>
        </w:rPr>
      </w:pPr>
      <w:r>
        <w:rPr>
          <w:rFonts w:hint="eastAsia"/>
          <w:color w:val="auto"/>
          <w:u w:val="none" w:color="auto"/>
        </w:rPr>
        <w:t>　２　林業機械のリース（要綱別表第１の２）</w:t>
      </w:r>
    </w:p>
    <w:p>
      <w:pPr>
        <w:pStyle w:val="0"/>
        <w:spacing w:line="320" w:lineRule="exact"/>
        <w:ind w:firstLine="241" w:firstLineChars="100"/>
        <w:rPr>
          <w:rFonts w:hint="default"/>
          <w:color w:val="auto"/>
          <w:u w:val="none" w:color="auto"/>
        </w:rPr>
      </w:pPr>
      <w:r>
        <w:rPr>
          <w:rFonts w:hint="eastAsia"/>
          <w:color w:val="auto"/>
          <w:u w:val="none" w:color="auto"/>
        </w:rPr>
        <w:t>（１）補助対象経費</w:t>
      </w:r>
    </w:p>
    <w:p>
      <w:pPr>
        <w:pStyle w:val="0"/>
        <w:spacing w:line="320" w:lineRule="exact"/>
        <w:ind w:left="964" w:hanging="964" w:hangingChars="400"/>
        <w:rPr>
          <w:rFonts w:hint="default"/>
          <w:color w:val="auto"/>
          <w:u w:val="none" w:color="auto"/>
        </w:rPr>
      </w:pPr>
      <w:r>
        <w:rPr>
          <w:rFonts w:hint="eastAsia"/>
          <w:color w:val="auto"/>
          <w:u w:val="none" w:color="auto"/>
        </w:rPr>
        <w:t>　　　①　補助対象機械の範囲は要綱別表第３に定める工種又は施設区分に記載されている林業機械の使用料及び賃借料（要綱別表第３の２の補助対象経費欄のとおり）とする。</w:t>
      </w:r>
    </w:p>
    <w:p>
      <w:pPr>
        <w:pStyle w:val="0"/>
        <w:spacing w:line="320" w:lineRule="exact"/>
        <w:ind w:left="964" w:hanging="964" w:hangingChars="400"/>
        <w:rPr>
          <w:rFonts w:hint="default"/>
          <w:color w:val="auto"/>
          <w:u w:val="none" w:color="auto"/>
        </w:rPr>
      </w:pPr>
      <w:r>
        <w:rPr>
          <w:rFonts w:hint="eastAsia"/>
          <w:color w:val="auto"/>
          <w:u w:val="none" w:color="auto"/>
        </w:rPr>
        <w:t>　　　②　導入する機械については、労働安全衛生法（昭和</w:t>
      </w:r>
      <w:r>
        <w:rPr>
          <w:rFonts w:hint="eastAsia"/>
          <w:color w:val="auto"/>
          <w:u w:val="none" w:color="auto"/>
        </w:rPr>
        <w:t>47</w:t>
      </w:r>
      <w:r>
        <w:rPr>
          <w:rFonts w:hint="eastAsia"/>
          <w:color w:val="auto"/>
          <w:u w:val="none" w:color="auto"/>
        </w:rPr>
        <w:t>年法律第</w:t>
      </w:r>
      <w:r>
        <w:rPr>
          <w:rFonts w:hint="eastAsia"/>
          <w:color w:val="auto"/>
          <w:u w:val="none" w:color="auto"/>
        </w:rPr>
        <w:t>57</w:t>
      </w:r>
      <w:r>
        <w:rPr>
          <w:rFonts w:hint="eastAsia"/>
          <w:color w:val="auto"/>
          <w:u w:val="none" w:color="auto"/>
        </w:rPr>
        <w:t>号）等の関係法令に基づき必要となる設備を備えたものとする。</w:t>
      </w:r>
    </w:p>
    <w:p>
      <w:pPr>
        <w:pStyle w:val="0"/>
        <w:spacing w:line="320" w:lineRule="exact"/>
        <w:ind w:left="964" w:hanging="964" w:hangingChars="400"/>
        <w:rPr>
          <w:rFonts w:hint="default"/>
          <w:color w:val="auto"/>
          <w:u w:val="none" w:color="auto"/>
        </w:rPr>
      </w:pPr>
      <w:r>
        <w:rPr>
          <w:rFonts w:hint="eastAsia"/>
          <w:color w:val="auto"/>
          <w:u w:val="none" w:color="auto"/>
        </w:rPr>
        <w:t>　　　③　林業用四輪駆動ダンプトラックの基準については第２の１の（１）の③に準ずる。</w:t>
      </w:r>
    </w:p>
    <w:p>
      <w:pPr>
        <w:pStyle w:val="0"/>
        <w:spacing w:line="320" w:lineRule="exact"/>
        <w:ind w:left="723" w:hanging="723" w:hangingChars="300"/>
        <w:rPr>
          <w:rFonts w:hint="default"/>
          <w:color w:val="auto"/>
          <w:u w:val="none" w:color="auto"/>
        </w:rPr>
      </w:pPr>
      <w:r>
        <w:rPr>
          <w:rFonts w:hint="eastAsia"/>
          <w:color w:val="auto"/>
          <w:u w:val="none" w:color="auto"/>
        </w:rPr>
        <w:t>　（２）提出書類</w:t>
      </w:r>
    </w:p>
    <w:p>
      <w:pPr>
        <w:pStyle w:val="0"/>
        <w:spacing w:line="320" w:lineRule="exact"/>
        <w:ind w:left="723" w:hanging="723" w:hangingChars="300"/>
        <w:rPr>
          <w:rFonts w:hint="default"/>
          <w:color w:val="auto"/>
          <w:u w:val="none" w:color="auto"/>
        </w:rPr>
      </w:pPr>
      <w:r>
        <w:rPr>
          <w:rFonts w:hint="eastAsia"/>
          <w:color w:val="auto"/>
          <w:u w:val="none" w:color="auto"/>
        </w:rPr>
        <w:t>　　　　要領第３の２の（１）の②に定める共通基礎資料のうち、イ事業主体の規約（定款）については、法人登録をしていない事業体については省略できるものとする。</w:t>
      </w:r>
    </w:p>
    <w:p>
      <w:pPr>
        <w:pStyle w:val="0"/>
        <w:spacing w:line="320" w:lineRule="exact"/>
        <w:ind w:firstLine="241" w:firstLineChars="100"/>
        <w:rPr>
          <w:rFonts w:hint="default"/>
          <w:color w:val="auto"/>
          <w:u w:val="none" w:color="auto"/>
        </w:rPr>
      </w:pPr>
      <w:r>
        <w:rPr>
          <w:rFonts w:hint="eastAsia"/>
          <w:color w:val="auto"/>
          <w:u w:val="none" w:color="auto"/>
        </w:rPr>
        <w:t>（３）機械リース後の保守・管理</w:t>
      </w:r>
    </w:p>
    <w:p>
      <w:pPr>
        <w:pStyle w:val="0"/>
        <w:spacing w:line="320" w:lineRule="exact"/>
        <w:ind w:left="723" w:leftChars="300" w:firstLine="241" w:firstLineChars="100"/>
        <w:rPr>
          <w:rFonts w:hint="default"/>
          <w:color w:val="auto"/>
          <w:u w:val="none" w:color="auto"/>
        </w:rPr>
      </w:pPr>
      <w:r>
        <w:rPr>
          <w:rFonts w:hint="eastAsia"/>
          <w:color w:val="auto"/>
          <w:u w:val="none" w:color="auto"/>
        </w:rPr>
        <w:t>機械リース事業体は作業記録簿を整備するとともに、作業前点検、定期点検を実施し、その性能を十分発揮できるように維持管理しなければならない。</w:t>
      </w:r>
    </w:p>
    <w:p>
      <w:pPr>
        <w:pStyle w:val="0"/>
        <w:spacing w:line="320" w:lineRule="exact"/>
        <w:ind w:left="995" w:leftChars="-87" w:hanging="1205" w:hangingChars="500"/>
        <w:rPr>
          <w:rFonts w:hint="default"/>
          <w:color w:val="auto"/>
          <w:u w:val="none" w:color="auto"/>
        </w:rPr>
      </w:pPr>
      <w:r>
        <w:rPr>
          <w:rFonts w:hint="eastAsia"/>
          <w:color w:val="auto"/>
          <w:u w:val="none" w:color="auto"/>
        </w:rPr>
        <w:t>　　（４）実績報告書</w:t>
      </w:r>
    </w:p>
    <w:p>
      <w:pPr>
        <w:pStyle w:val="0"/>
        <w:spacing w:line="320" w:lineRule="exact"/>
        <w:ind w:left="708" w:leftChars="294" w:firstLine="241" w:firstLineChars="100"/>
        <w:rPr>
          <w:rFonts w:hint="default"/>
          <w:color w:val="auto"/>
          <w:u w:val="none" w:color="auto"/>
        </w:rPr>
      </w:pPr>
      <w:r>
        <w:rPr>
          <w:rFonts w:hint="eastAsia"/>
          <w:color w:val="auto"/>
          <w:u w:val="none" w:color="auto"/>
        </w:rPr>
        <w:t>第２の１の（４）に準ずる。</w:t>
      </w:r>
    </w:p>
    <w:p>
      <w:pPr>
        <w:pStyle w:val="0"/>
        <w:spacing w:line="320" w:lineRule="exact"/>
        <w:rPr>
          <w:rFonts w:hint="default"/>
          <w:color w:val="auto"/>
          <w:u w:val="none" w:color="auto"/>
        </w:rPr>
      </w:pPr>
    </w:p>
    <w:p>
      <w:pPr>
        <w:pStyle w:val="0"/>
        <w:spacing w:line="320" w:lineRule="exact"/>
        <w:ind w:firstLine="241" w:firstLineChars="100"/>
        <w:rPr>
          <w:rFonts w:hint="default"/>
          <w:color w:val="auto"/>
          <w:u w:val="none" w:color="auto"/>
        </w:rPr>
      </w:pPr>
      <w:r>
        <w:rPr>
          <w:rFonts w:hint="eastAsia"/>
          <w:color w:val="auto"/>
          <w:u w:val="none" w:color="auto"/>
        </w:rPr>
        <w:t>３　林業機械のレンタル（要綱別表第１の３）</w:t>
      </w:r>
    </w:p>
    <w:p>
      <w:pPr>
        <w:pStyle w:val="0"/>
        <w:tabs>
          <w:tab w:val="left" w:leader="none" w:pos="426"/>
        </w:tabs>
        <w:spacing w:line="320" w:lineRule="exact"/>
        <w:ind w:firstLine="241" w:firstLineChars="100"/>
        <w:rPr>
          <w:rFonts w:hint="default"/>
          <w:color w:val="auto"/>
          <w:u w:val="none" w:color="auto"/>
        </w:rPr>
      </w:pPr>
      <w:r>
        <w:rPr>
          <w:rFonts w:hint="eastAsia"/>
          <w:color w:val="auto"/>
          <w:u w:val="none" w:color="auto"/>
        </w:rPr>
        <w:t>（１）補助の範囲　</w:t>
      </w:r>
    </w:p>
    <w:p>
      <w:pPr>
        <w:pStyle w:val="0"/>
        <w:spacing w:line="320" w:lineRule="exact"/>
        <w:ind w:left="708" w:hanging="708" w:hangingChars="294"/>
        <w:rPr>
          <w:rFonts w:hint="default"/>
          <w:color w:val="auto"/>
          <w:u w:val="none" w:color="auto"/>
        </w:rPr>
      </w:pPr>
      <w:r>
        <w:rPr>
          <w:rFonts w:hint="eastAsia"/>
          <w:color w:val="auto"/>
          <w:u w:val="none" w:color="auto"/>
        </w:rPr>
        <w:t>　　　　林業機械のレンタルの補助対象とする範囲は、森林整備（搬出間伐）及び更新（主伐）作業で素材生産を行うための、伐倒・集材・造材・小運搬・集材木の木寄せ作業等で使用する機械のほか、生産性改善効果の見込まれる作業道開設に用いる多工程作業機械や、低質材の運搬などに必要な原木運搬用トラックとし、土場での仕分け・トラックへの積込み作業及び作業道開設のための掘削系機械は補助対象としない。</w:t>
      </w:r>
    </w:p>
    <w:p>
      <w:pPr>
        <w:pStyle w:val="0"/>
        <w:spacing w:line="320" w:lineRule="exact"/>
        <w:ind w:left="723" w:leftChars="300" w:firstLine="241" w:firstLineChars="100"/>
        <w:rPr>
          <w:rFonts w:hint="default"/>
          <w:color w:val="auto"/>
          <w:u w:val="none" w:color="auto"/>
        </w:rPr>
      </w:pPr>
      <w:r>
        <w:rPr>
          <w:rFonts w:hint="eastAsia"/>
          <w:color w:val="auto"/>
          <w:u w:val="none" w:color="auto"/>
        </w:rPr>
        <w:t>また、レンタルに係る経費の内、本体レンタル機械（ロードライナー、車輪及び　履帯の滑止めチェーン、ゴム製履帯の損耗費、スイングヤーダ－等の専用搬器・設置器具等の付属品は補助の対象に含む。）、補償費及び管理料を補助対象とし、それ以外の機械の回送経費及び、燃料油脂経費及びワイヤー等消耗品・返却時の修繕費等は補助対象としない。なお、リース契約による機械については補助対象としない。</w:t>
      </w:r>
    </w:p>
    <w:p>
      <w:pPr>
        <w:pStyle w:val="0"/>
        <w:spacing w:line="320" w:lineRule="exact"/>
        <w:ind w:left="708" w:hanging="708" w:hangingChars="294"/>
        <w:rPr>
          <w:rFonts w:hint="default"/>
          <w:color w:val="auto"/>
          <w:u w:val="none" w:color="auto"/>
        </w:rPr>
      </w:pPr>
      <w:r>
        <w:rPr>
          <w:rFonts w:hint="eastAsia"/>
          <w:color w:val="auto"/>
          <w:u w:val="none" w:color="auto"/>
        </w:rPr>
        <w:t>　　　　補助額は、補助対象事業費の</w:t>
      </w:r>
      <w:r>
        <w:rPr>
          <w:rFonts w:hint="eastAsia"/>
          <w:color w:val="auto"/>
          <w:u w:val="none" w:color="auto"/>
        </w:rPr>
        <w:t>3/10</w:t>
      </w:r>
      <w:r>
        <w:rPr>
          <w:rFonts w:hint="eastAsia"/>
          <w:color w:val="auto"/>
          <w:u w:val="none" w:color="auto"/>
        </w:rPr>
        <w:t>以内で、</w:t>
      </w:r>
      <w:r>
        <w:rPr>
          <w:rFonts w:hint="eastAsia"/>
          <w:color w:val="auto"/>
          <w:u w:val="none" w:color="auto"/>
        </w:rPr>
        <w:t>1</w:t>
      </w:r>
      <w:r>
        <w:rPr>
          <w:rFonts w:hint="eastAsia"/>
          <w:color w:val="auto"/>
          <w:u w:val="none" w:color="auto"/>
        </w:rPr>
        <w:t>ヶ月当たりの上限を</w:t>
      </w:r>
      <w:r>
        <w:rPr>
          <w:rFonts w:hint="eastAsia"/>
          <w:color w:val="auto"/>
          <w:u w:val="none" w:color="auto"/>
        </w:rPr>
        <w:t>150,000</w:t>
      </w:r>
      <w:r>
        <w:rPr>
          <w:rFonts w:hint="eastAsia"/>
          <w:color w:val="auto"/>
          <w:u w:val="none" w:color="auto"/>
        </w:rPr>
        <w:t>円とする。但し、レンタル経費が日数管理となる月は月額補助金上限</w:t>
      </w:r>
      <w:r>
        <w:rPr>
          <w:rFonts w:hint="eastAsia"/>
          <w:color w:val="auto"/>
          <w:u w:val="none" w:color="auto"/>
        </w:rPr>
        <w:t>150,000</w:t>
      </w:r>
      <w:r>
        <w:rPr>
          <w:rFonts w:hint="eastAsia"/>
          <w:color w:val="auto"/>
          <w:u w:val="none" w:color="auto"/>
        </w:rPr>
        <w:t>円を</w:t>
      </w:r>
      <w:r>
        <w:rPr>
          <w:rFonts w:hint="eastAsia"/>
          <w:color w:val="auto"/>
          <w:u w:val="none" w:color="auto"/>
        </w:rPr>
        <w:t>1</w:t>
      </w:r>
      <w:r>
        <w:rPr>
          <w:rFonts w:hint="eastAsia"/>
          <w:color w:val="auto"/>
          <w:u w:val="none" w:color="auto"/>
        </w:rPr>
        <w:t>ヶ月当たり</w:t>
      </w:r>
      <w:r>
        <w:rPr>
          <w:rFonts w:hint="eastAsia"/>
          <w:color w:val="auto"/>
          <w:u w:val="none" w:color="auto"/>
        </w:rPr>
        <w:t>31</w:t>
      </w:r>
      <w:r>
        <w:rPr>
          <w:rFonts w:hint="eastAsia"/>
          <w:color w:val="auto"/>
          <w:u w:val="none" w:color="auto"/>
        </w:rPr>
        <w:t>日で除した日額単価にレンタル日数を掛けた額とレンタル経費の</w:t>
      </w:r>
      <w:r>
        <w:rPr>
          <w:rFonts w:hint="eastAsia"/>
          <w:color w:val="auto"/>
          <w:u w:val="none" w:color="auto"/>
        </w:rPr>
        <w:t>3/10</w:t>
      </w:r>
      <w:r>
        <w:rPr>
          <w:rFonts w:hint="eastAsia"/>
          <w:color w:val="auto"/>
          <w:u w:val="none" w:color="auto"/>
        </w:rPr>
        <w:t>の額のうち安価な方を補助額として計算する。</w:t>
      </w:r>
    </w:p>
    <w:p>
      <w:pPr>
        <w:pStyle w:val="0"/>
        <w:spacing w:line="320" w:lineRule="exact"/>
        <w:ind w:left="708" w:hanging="708" w:hangingChars="294"/>
        <w:rPr>
          <w:rFonts w:hint="default"/>
          <w:color w:val="auto"/>
          <w:u w:val="none" w:color="auto"/>
        </w:rPr>
      </w:pPr>
      <w:r>
        <w:rPr>
          <w:rFonts w:hint="eastAsia"/>
          <w:color w:val="auto"/>
          <w:u w:val="none" w:color="auto"/>
        </w:rPr>
        <w:t>　　　なお、再造林を行うことを条件に事業を行う場合は、補助率</w:t>
      </w:r>
      <w:r>
        <w:rPr>
          <w:rFonts w:hint="eastAsia"/>
          <w:color w:val="auto"/>
          <w:u w:val="none" w:color="auto"/>
        </w:rPr>
        <w:t>1/2</w:t>
      </w:r>
      <w:r>
        <w:rPr>
          <w:rFonts w:hint="eastAsia"/>
          <w:color w:val="auto"/>
          <w:u w:val="none" w:color="auto"/>
        </w:rPr>
        <w:t>以内、上限額を</w:t>
      </w:r>
    </w:p>
    <w:p>
      <w:pPr>
        <w:pStyle w:val="0"/>
        <w:spacing w:line="320" w:lineRule="exact"/>
        <w:ind w:left="708" w:leftChars="294"/>
        <w:rPr>
          <w:rFonts w:hint="default"/>
          <w:color w:val="auto"/>
          <w:u w:val="none" w:color="auto"/>
        </w:rPr>
      </w:pPr>
      <w:r>
        <w:rPr>
          <w:rFonts w:hint="eastAsia"/>
          <w:color w:val="auto"/>
          <w:u w:val="none" w:color="auto"/>
        </w:rPr>
        <w:t>250,000</w:t>
      </w:r>
      <w:r>
        <w:rPr>
          <w:rFonts w:hint="eastAsia"/>
          <w:color w:val="auto"/>
          <w:u w:val="none" w:color="auto"/>
        </w:rPr>
        <w:t>円とする。</w:t>
      </w:r>
    </w:p>
    <w:p>
      <w:pPr>
        <w:pStyle w:val="0"/>
        <w:spacing w:line="320" w:lineRule="exact"/>
        <w:rPr>
          <w:rFonts w:hint="default"/>
          <w:color w:val="auto"/>
          <w:u w:val="none" w:color="auto"/>
        </w:rPr>
      </w:pPr>
      <w:r>
        <w:rPr>
          <w:rFonts w:hint="eastAsia"/>
          <w:color w:val="auto"/>
          <w:u w:val="none" w:color="auto"/>
        </w:rPr>
        <w:t>　　　　（補助金計算例）</w:t>
      </w:r>
    </w:p>
    <w:p>
      <w:pPr>
        <w:pStyle w:val="0"/>
        <w:spacing w:line="320" w:lineRule="exact"/>
        <w:rPr>
          <w:rFonts w:hint="default"/>
          <w:color w:val="auto"/>
          <w:u w:val="none" w:color="auto"/>
        </w:rPr>
      </w:pPr>
      <w:r>
        <w:rPr>
          <w:rFonts w:hint="eastAsia"/>
          <w:color w:val="auto"/>
          <w:u w:val="none" w:color="auto"/>
        </w:rPr>
        <w:t>　　　　　　ア．</w:t>
      </w:r>
      <w:r>
        <w:rPr>
          <w:rFonts w:hint="eastAsia"/>
          <w:color w:val="auto"/>
          <w:u w:val="none" w:color="auto"/>
        </w:rPr>
        <w:t>1</w:t>
      </w:r>
      <w:r>
        <w:rPr>
          <w:rFonts w:hint="eastAsia"/>
          <w:color w:val="auto"/>
          <w:u w:val="none" w:color="auto"/>
        </w:rPr>
        <w:t>ヶ月当たり（月額計算）</w:t>
      </w:r>
      <w:r>
        <w:rPr>
          <w:rFonts w:hint="eastAsia"/>
          <w:color w:val="auto"/>
          <w:u w:val="none" w:color="auto"/>
        </w:rPr>
        <w:t>500,000</w:t>
      </w:r>
      <w:r>
        <w:rPr>
          <w:rFonts w:hint="eastAsia"/>
          <w:color w:val="auto"/>
          <w:u w:val="none" w:color="auto"/>
        </w:rPr>
        <w:t>×</w:t>
      </w:r>
      <w:r>
        <w:rPr>
          <w:rFonts w:hint="eastAsia"/>
          <w:color w:val="auto"/>
          <w:u w:val="none" w:color="auto"/>
        </w:rPr>
        <w:t>1</w:t>
      </w:r>
      <w:r>
        <w:rPr>
          <w:rFonts w:hint="eastAsia"/>
          <w:color w:val="auto"/>
          <w:u w:val="none" w:color="auto"/>
        </w:rPr>
        <w:t>ヶ月×</w:t>
      </w:r>
      <w:r>
        <w:rPr>
          <w:rFonts w:hint="eastAsia"/>
          <w:color w:val="auto"/>
          <w:u w:val="none" w:color="auto"/>
        </w:rPr>
        <w:t>3/10</w:t>
      </w:r>
      <w:r>
        <w:rPr>
          <w:rFonts w:hint="eastAsia"/>
          <w:color w:val="auto"/>
          <w:u w:val="none" w:color="auto"/>
        </w:rPr>
        <w:t>＝</w:t>
      </w:r>
      <w:r>
        <w:rPr>
          <w:rFonts w:hint="eastAsia"/>
          <w:color w:val="auto"/>
          <w:u w:val="none" w:color="auto"/>
        </w:rPr>
        <w:t>150,000</w:t>
      </w:r>
      <w:r>
        <w:rPr>
          <w:rFonts w:hint="eastAsia"/>
          <w:color w:val="auto"/>
          <w:u w:val="none" w:color="auto"/>
        </w:rPr>
        <w:t>円　</w:t>
      </w:r>
    </w:p>
    <w:p>
      <w:pPr>
        <w:pStyle w:val="0"/>
        <w:tabs>
          <w:tab w:val="left" w:leader="none" w:pos="4962"/>
          <w:tab w:val="left" w:leader="none" w:pos="5245"/>
          <w:tab w:val="left" w:leader="none" w:pos="5387"/>
        </w:tabs>
        <w:spacing w:line="320" w:lineRule="exact"/>
        <w:rPr>
          <w:rFonts w:hint="default"/>
          <w:color w:val="auto"/>
          <w:u w:val="none" w:color="auto"/>
        </w:rPr>
      </w:pPr>
      <w:r>
        <w:rPr>
          <w:rFonts w:hint="eastAsia"/>
          <w:color w:val="auto"/>
          <w:u w:val="none" w:color="auto"/>
        </w:rPr>
        <w:t>　　　　　　イ．</w:t>
      </w:r>
      <w:r>
        <w:rPr>
          <w:rFonts w:hint="eastAsia"/>
          <w:color w:val="auto"/>
          <w:u w:val="none" w:color="auto"/>
        </w:rPr>
        <w:t>20</w:t>
      </w:r>
      <w:r>
        <w:rPr>
          <w:rFonts w:hint="eastAsia"/>
          <w:color w:val="auto"/>
          <w:u w:val="none" w:color="auto"/>
        </w:rPr>
        <w:t>日当たり</w:t>
      </w:r>
      <w:r>
        <w:rPr>
          <w:rFonts w:hint="eastAsia"/>
          <w:color w:val="auto"/>
          <w:u w:val="none" w:color="auto"/>
        </w:rPr>
        <w:t xml:space="preserve"> </w:t>
      </w:r>
      <w:r>
        <w:rPr>
          <w:rFonts w:hint="eastAsia"/>
          <w:color w:val="auto"/>
          <w:u w:val="none" w:color="auto"/>
        </w:rPr>
        <w:t>（日額計算）※１　</w:t>
      </w:r>
      <w:r>
        <w:rPr>
          <w:rFonts w:hint="eastAsia"/>
          <w:color w:val="auto"/>
          <w:u w:val="none" w:color="auto"/>
        </w:rPr>
        <w:t>350,000</w:t>
      </w:r>
      <w:r>
        <w:rPr>
          <w:rFonts w:hint="eastAsia"/>
          <w:color w:val="auto"/>
          <w:u w:val="none" w:color="auto"/>
        </w:rPr>
        <w:t>×</w:t>
      </w:r>
      <w:r>
        <w:rPr>
          <w:rFonts w:hint="eastAsia"/>
          <w:color w:val="auto"/>
          <w:u w:val="none" w:color="auto"/>
        </w:rPr>
        <w:t>3/10</w:t>
      </w:r>
      <w:r>
        <w:rPr>
          <w:rFonts w:hint="eastAsia"/>
          <w:color w:val="auto"/>
          <w:u w:val="none" w:color="auto"/>
        </w:rPr>
        <w:t>＝</w:t>
      </w:r>
      <w:r>
        <w:rPr>
          <w:rFonts w:hint="eastAsia"/>
          <w:color w:val="auto"/>
          <w:u w:val="none" w:color="auto"/>
        </w:rPr>
        <w:t>105,000</w:t>
      </w:r>
      <w:r>
        <w:rPr>
          <w:rFonts w:hint="eastAsia"/>
          <w:color w:val="auto"/>
          <w:u w:val="none" w:color="auto"/>
        </w:rPr>
        <w:t>円</w:t>
      </w:r>
    </w:p>
    <w:p>
      <w:pPr>
        <w:pStyle w:val="0"/>
        <w:tabs>
          <w:tab w:val="left" w:leader="none" w:pos="4962"/>
          <w:tab w:val="left" w:leader="none" w:pos="5245"/>
          <w:tab w:val="left" w:leader="none" w:pos="5387"/>
        </w:tabs>
        <w:spacing w:line="320" w:lineRule="exact"/>
        <w:ind w:firstLine="4959" w:firstLineChars="2058"/>
        <w:rPr>
          <w:rFonts w:hint="default"/>
          <w:color w:val="auto"/>
          <w:u w:val="none" w:color="auto"/>
        </w:rPr>
      </w:pPr>
      <w:r>
        <w:rPr>
          <w:rFonts w:hint="eastAsia"/>
          <w:color w:val="auto"/>
          <w:u w:val="none" w:color="auto"/>
        </w:rPr>
        <w:t>※２　</w:t>
      </w:r>
      <w:r>
        <w:rPr>
          <w:rFonts w:hint="eastAsia"/>
          <w:color w:val="auto"/>
          <w:u w:val="none" w:color="auto"/>
        </w:rPr>
        <w:t>150,000</w:t>
      </w:r>
      <w:r>
        <w:rPr>
          <w:rFonts w:hint="eastAsia"/>
          <w:color w:val="auto"/>
          <w:u w:val="none" w:color="auto"/>
        </w:rPr>
        <w:t>÷</w:t>
      </w:r>
      <w:r>
        <w:rPr>
          <w:rFonts w:hint="eastAsia"/>
          <w:color w:val="auto"/>
          <w:u w:val="none" w:color="auto"/>
        </w:rPr>
        <w:t>31</w:t>
      </w:r>
      <w:r>
        <w:rPr>
          <w:rFonts w:hint="eastAsia"/>
          <w:color w:val="auto"/>
          <w:u w:val="none" w:color="auto"/>
        </w:rPr>
        <w:t>日＝</w:t>
      </w:r>
      <w:r>
        <w:rPr>
          <w:rFonts w:hint="eastAsia"/>
          <w:color w:val="auto"/>
          <w:u w:val="none" w:color="auto"/>
        </w:rPr>
        <w:t>4,838</w:t>
      </w:r>
      <w:r>
        <w:rPr>
          <w:rFonts w:hint="eastAsia"/>
          <w:color w:val="auto"/>
          <w:u w:val="none" w:color="auto"/>
        </w:rPr>
        <w:t>円</w:t>
      </w:r>
    </w:p>
    <w:p>
      <w:pPr>
        <w:pStyle w:val="0"/>
        <w:tabs>
          <w:tab w:val="left" w:leader="none" w:pos="4962"/>
          <w:tab w:val="left" w:leader="none" w:pos="5245"/>
          <w:tab w:val="left" w:leader="none" w:pos="5387"/>
        </w:tabs>
        <w:spacing w:line="320" w:lineRule="exact"/>
        <w:ind w:firstLine="5682" w:firstLineChars="2358"/>
        <w:rPr>
          <w:rFonts w:hint="default"/>
          <w:color w:val="auto"/>
          <w:u w:val="none" w:color="auto"/>
        </w:rPr>
      </w:pPr>
      <w:r>
        <w:rPr>
          <w:rFonts w:hint="eastAsia"/>
          <w:color w:val="auto"/>
          <w:u w:val="none" w:color="auto"/>
        </w:rPr>
        <w:t>4,838</w:t>
      </w:r>
      <w:r>
        <w:rPr>
          <w:rFonts w:hint="eastAsia"/>
          <w:color w:val="auto"/>
          <w:u w:val="none" w:color="auto"/>
        </w:rPr>
        <w:t>×</w:t>
      </w:r>
      <w:r>
        <w:rPr>
          <w:rFonts w:hint="eastAsia"/>
          <w:color w:val="auto"/>
          <w:u w:val="none" w:color="auto"/>
        </w:rPr>
        <w:t>20</w:t>
      </w:r>
      <w:r>
        <w:rPr>
          <w:rFonts w:hint="eastAsia"/>
          <w:color w:val="auto"/>
          <w:u w:val="none" w:color="auto"/>
        </w:rPr>
        <w:t>日＝</w:t>
      </w:r>
      <w:r>
        <w:rPr>
          <w:rFonts w:hint="eastAsia"/>
          <w:color w:val="auto"/>
          <w:u w:val="none" w:color="auto"/>
        </w:rPr>
        <w:t>96,760</w:t>
      </w:r>
      <w:r>
        <w:rPr>
          <w:rFonts w:hint="eastAsia"/>
          <w:color w:val="auto"/>
          <w:u w:val="none" w:color="auto"/>
        </w:rPr>
        <w:t>円</w:t>
      </w:r>
    </w:p>
    <w:p>
      <w:pPr>
        <w:pStyle w:val="0"/>
        <w:spacing w:line="320" w:lineRule="exact"/>
        <w:ind w:firstLine="6987" w:firstLineChars="2900"/>
        <w:rPr>
          <w:rFonts w:hint="default"/>
          <w:color w:val="auto"/>
          <w:u w:val="none" w:color="auto"/>
        </w:rPr>
      </w:pPr>
      <w:r>
        <w:rPr>
          <w:rFonts w:hint="eastAsia"/>
          <w:color w:val="auto"/>
          <w:u w:val="none" w:color="auto"/>
        </w:rPr>
        <w:t>≒</w:t>
      </w:r>
      <w:r>
        <w:rPr>
          <w:rFonts w:hint="eastAsia"/>
          <w:color w:val="auto"/>
          <w:u w:val="none" w:color="auto"/>
        </w:rPr>
        <w:t>96,000</w:t>
      </w:r>
      <w:r>
        <w:rPr>
          <w:rFonts w:hint="eastAsia"/>
          <w:color w:val="auto"/>
          <w:u w:val="none" w:color="auto"/>
        </w:rPr>
        <w:t>円（千円単位）</w:t>
      </w:r>
    </w:p>
    <w:p>
      <w:pPr>
        <w:pStyle w:val="0"/>
        <w:spacing w:line="320" w:lineRule="exact"/>
        <w:rPr>
          <w:rFonts w:hint="default"/>
          <w:color w:val="auto"/>
          <w:u w:val="none" w:color="auto"/>
        </w:rPr>
      </w:pPr>
      <w:r>
        <w:rPr>
          <w:rFonts w:hint="eastAsia"/>
          <w:color w:val="auto"/>
          <w:u w:val="none" w:color="auto"/>
        </w:rPr>
        <w:t>　　　　　　　　　　　日額計算の場合は※１・２を比較して安価な方を補助額とする</w:t>
      </w:r>
    </w:p>
    <w:p>
      <w:pPr>
        <w:pStyle w:val="0"/>
        <w:spacing w:line="320" w:lineRule="exact"/>
        <w:ind w:firstLine="241" w:firstLineChars="100"/>
        <w:rPr>
          <w:rFonts w:hint="default"/>
          <w:color w:val="auto"/>
          <w:u w:val="none" w:color="auto"/>
        </w:rPr>
      </w:pPr>
      <w:r>
        <w:rPr>
          <w:rFonts w:hint="eastAsia"/>
          <w:color w:val="auto"/>
          <w:u w:val="none" w:color="auto"/>
        </w:rPr>
        <w:t>（２）レンタル事業者</w:t>
      </w:r>
    </w:p>
    <w:p>
      <w:pPr>
        <w:pStyle w:val="0"/>
        <w:tabs>
          <w:tab w:val="left" w:leader="none" w:pos="709"/>
        </w:tabs>
        <w:spacing w:line="320" w:lineRule="exact"/>
        <w:ind w:left="723" w:hanging="723" w:hangingChars="300"/>
        <w:rPr>
          <w:rFonts w:hint="default"/>
          <w:color w:val="auto"/>
          <w:u w:val="none" w:color="auto"/>
        </w:rPr>
      </w:pPr>
      <w:r>
        <w:rPr>
          <w:rFonts w:hint="eastAsia"/>
          <w:color w:val="auto"/>
          <w:u w:val="none" w:color="auto"/>
        </w:rPr>
        <w:t>　　　　事業実施主体がレンタル機械の契約を締結するレンタル事業者は、法人登録された事業者とし、個人が所有するレンタル機械及び協同組合等が補助事業により導入した機械を組合員へレンタルする機械は補助対象としない。また、レンタル機械貸し付け事業者は、レンタル機械の見積書・請求書・明細書の発行及びレンタル機械の性能の保証が可能な事業者であることとする。</w:t>
      </w:r>
    </w:p>
    <w:p>
      <w:pPr>
        <w:pStyle w:val="0"/>
        <w:spacing w:line="320" w:lineRule="exact"/>
        <w:ind w:firstLine="241" w:firstLineChars="100"/>
        <w:rPr>
          <w:rFonts w:hint="default"/>
          <w:color w:val="auto"/>
          <w:u w:val="none" w:color="auto"/>
        </w:rPr>
      </w:pPr>
      <w:r>
        <w:rPr>
          <w:rFonts w:hint="eastAsia"/>
          <w:color w:val="auto"/>
          <w:u w:val="none" w:color="auto"/>
        </w:rPr>
        <w:t>（３）レンタル機械の保守・管理</w:t>
      </w:r>
    </w:p>
    <w:p>
      <w:pPr>
        <w:pStyle w:val="0"/>
        <w:spacing w:line="320" w:lineRule="exact"/>
        <w:ind w:left="723" w:hanging="723" w:hangingChars="300"/>
        <w:rPr>
          <w:rFonts w:hint="default"/>
          <w:color w:val="auto"/>
          <w:u w:val="none" w:color="auto"/>
        </w:rPr>
      </w:pPr>
      <w:r>
        <w:rPr>
          <w:rFonts w:hint="eastAsia"/>
          <w:color w:val="auto"/>
          <w:u w:val="none" w:color="auto"/>
        </w:rPr>
        <w:t xml:space="preserve">  </w:t>
      </w:r>
      <w:r>
        <w:rPr>
          <w:rFonts w:hint="eastAsia"/>
          <w:color w:val="auto"/>
          <w:u w:val="none" w:color="auto"/>
        </w:rPr>
        <w:t>　　　レンタル機械使用事業体はレンタル機械の作業記録簿を整備するとともに、点検・整備に努め、稼働効率の向上に務めるものとする。</w:t>
      </w:r>
    </w:p>
    <w:p>
      <w:pPr>
        <w:pStyle w:val="0"/>
        <w:spacing w:line="320" w:lineRule="exact"/>
        <w:ind w:firstLine="241" w:firstLineChars="100"/>
        <w:rPr>
          <w:rFonts w:hint="default"/>
          <w:color w:val="auto"/>
          <w:u w:val="none" w:color="auto"/>
        </w:rPr>
      </w:pPr>
      <w:r>
        <w:rPr>
          <w:rFonts w:hint="eastAsia"/>
          <w:color w:val="auto"/>
          <w:u w:val="none" w:color="auto"/>
        </w:rPr>
        <w:t>（４）レンタル機械による作業システム</w:t>
      </w:r>
    </w:p>
    <w:p>
      <w:pPr>
        <w:pStyle w:val="0"/>
        <w:spacing w:line="320" w:lineRule="exact"/>
        <w:ind w:left="723" w:hanging="723" w:hangingChars="300"/>
        <w:rPr>
          <w:rFonts w:hint="default"/>
          <w:color w:val="auto"/>
          <w:u w:val="none" w:color="auto"/>
        </w:rPr>
      </w:pPr>
      <w:r>
        <w:rPr>
          <w:rFonts w:hint="eastAsia"/>
          <w:color w:val="auto"/>
          <w:u w:val="none" w:color="auto"/>
        </w:rPr>
        <w:t>　　　　レンタル機械の作業システムは、レンタル期間内に組み合わせる作業機械、素材生産量、作業道や土場環境などを考慮し、効率的にレンタル機械が稼働できる環境を整えるものとする。</w:t>
      </w:r>
    </w:p>
    <w:p>
      <w:pPr>
        <w:pStyle w:val="0"/>
        <w:spacing w:line="320" w:lineRule="exact"/>
        <w:ind w:firstLine="241" w:firstLineChars="100"/>
        <w:rPr>
          <w:rFonts w:hint="default"/>
          <w:color w:val="auto"/>
          <w:u w:val="none" w:color="auto"/>
        </w:rPr>
      </w:pPr>
      <w:r>
        <w:rPr>
          <w:rFonts w:hint="eastAsia"/>
          <w:color w:val="auto"/>
          <w:u w:val="none" w:color="auto"/>
        </w:rPr>
        <w:t>（５）レンタル機械による素材生産量の目標</w:t>
      </w:r>
    </w:p>
    <w:p>
      <w:pPr>
        <w:pStyle w:val="0"/>
        <w:spacing w:line="320" w:lineRule="exact"/>
        <w:ind w:left="723" w:leftChars="300" w:firstLine="241" w:firstLineChars="100"/>
        <w:rPr>
          <w:rFonts w:hint="default"/>
          <w:color w:val="auto"/>
          <w:u w:val="none" w:color="auto"/>
        </w:rPr>
      </w:pPr>
      <w:r>
        <w:rPr>
          <w:rFonts w:hint="eastAsia"/>
          <w:color w:val="auto"/>
          <w:u w:val="none" w:color="auto"/>
        </w:rPr>
        <w:t>ア．搬出間伐</w:t>
      </w:r>
    </w:p>
    <w:p>
      <w:pPr>
        <w:pStyle w:val="0"/>
        <w:spacing w:line="320" w:lineRule="exact"/>
        <w:ind w:left="1152" w:leftChars="478" w:firstLine="241" w:firstLineChars="100"/>
        <w:rPr>
          <w:rFonts w:hint="default"/>
          <w:color w:val="auto"/>
          <w:u w:val="none" w:color="auto"/>
        </w:rPr>
      </w:pPr>
      <w:r>
        <w:rPr>
          <w:rFonts w:hint="eastAsia"/>
          <w:color w:val="auto"/>
          <w:u w:val="none" w:color="auto"/>
        </w:rPr>
        <w:t>レンタル機械を使用した１作業システムにおいて、当該施業に係る作業道支障木を含み、１ヶ月当たりおおむね</w:t>
      </w:r>
      <w:r>
        <w:rPr>
          <w:rFonts w:hint="eastAsia"/>
          <w:color w:val="auto"/>
          <w:u w:val="none" w:color="auto"/>
        </w:rPr>
        <w:t>100m3</w:t>
      </w:r>
      <w:r>
        <w:rPr>
          <w:rFonts w:hint="eastAsia"/>
          <w:color w:val="auto"/>
          <w:u w:val="none" w:color="auto"/>
        </w:rPr>
        <w:t>の搬出量を確保するものとする。この場合、１作業システムに</w:t>
      </w:r>
      <w:r>
        <w:rPr>
          <w:rFonts w:hint="eastAsia"/>
          <w:color w:val="auto"/>
          <w:u w:val="none" w:color="auto"/>
        </w:rPr>
        <w:t>2</w:t>
      </w:r>
      <w:r>
        <w:rPr>
          <w:rFonts w:hint="eastAsia"/>
          <w:color w:val="auto"/>
          <w:u w:val="none" w:color="auto"/>
        </w:rPr>
        <w:t>台以上のレンタル機械が稼働する場合でもおおむね</w:t>
      </w:r>
      <w:r>
        <w:rPr>
          <w:rFonts w:hint="eastAsia"/>
          <w:color w:val="auto"/>
          <w:u w:val="none" w:color="auto"/>
        </w:rPr>
        <w:t>100m3</w:t>
      </w:r>
      <w:r>
        <w:rPr>
          <w:rFonts w:hint="eastAsia"/>
          <w:color w:val="auto"/>
          <w:u w:val="none" w:color="auto"/>
        </w:rPr>
        <w:t>で可とする、</w:t>
      </w:r>
    </w:p>
    <w:p>
      <w:pPr>
        <w:pStyle w:val="0"/>
        <w:spacing w:line="320" w:lineRule="exact"/>
        <w:ind w:left="1152" w:leftChars="478" w:firstLine="241" w:firstLineChars="100"/>
        <w:rPr>
          <w:rFonts w:hint="default"/>
          <w:color w:val="auto"/>
          <w:u w:val="none" w:color="auto"/>
        </w:rPr>
      </w:pPr>
      <w:r>
        <w:rPr>
          <w:rFonts w:hint="eastAsia"/>
          <w:color w:val="auto"/>
          <w:u w:val="none" w:color="auto"/>
        </w:rPr>
        <w:t>また、搬出量の確認は市場等の伝票、荷受伝票等により</w:t>
      </w:r>
      <w:r>
        <w:rPr>
          <w:rFonts w:hint="eastAsia"/>
          <w:color w:val="auto"/>
          <w:u w:val="none" w:color="auto"/>
        </w:rPr>
        <w:t>1</w:t>
      </w:r>
      <w:r>
        <w:rPr>
          <w:rFonts w:hint="eastAsia"/>
          <w:color w:val="auto"/>
          <w:u w:val="none" w:color="auto"/>
        </w:rPr>
        <w:t>　ヶ月毎の搬出量が１システム当たり確認できるように、整理保管するものとする。ただし、降雪、災害等により集積土場から搬出できない場合には、集積材積の確認（延長、高さ、幅、本数等）できる写真、プロセッサ等の造材集積システムによるデータでも可とする。</w:t>
      </w:r>
    </w:p>
    <w:p>
      <w:pPr>
        <w:pStyle w:val="0"/>
        <w:spacing w:line="320" w:lineRule="exact"/>
        <w:ind w:left="1152" w:leftChars="478" w:firstLine="241" w:firstLineChars="100"/>
        <w:rPr>
          <w:rFonts w:hint="default"/>
          <w:color w:val="auto"/>
          <w:u w:val="none" w:color="auto"/>
        </w:rPr>
      </w:pPr>
      <w:r>
        <w:rPr>
          <w:rFonts w:hint="eastAsia"/>
          <w:color w:val="auto"/>
          <w:u w:val="none" w:color="auto"/>
        </w:rPr>
        <w:t>なお、おおむね</w:t>
      </w:r>
      <w:r>
        <w:rPr>
          <w:rFonts w:hint="eastAsia"/>
          <w:color w:val="auto"/>
          <w:u w:val="none" w:color="auto"/>
        </w:rPr>
        <w:t>100m3</w:t>
      </w:r>
      <w:r>
        <w:rPr>
          <w:rFonts w:hint="eastAsia"/>
          <w:color w:val="auto"/>
          <w:u w:val="none" w:color="auto"/>
        </w:rPr>
        <w:t>とは、</w:t>
      </w:r>
      <w:r>
        <w:rPr>
          <w:rFonts w:hint="eastAsia"/>
          <w:color w:val="auto"/>
          <w:u w:val="none" w:color="auto"/>
        </w:rPr>
        <w:t>3</w:t>
      </w:r>
      <w:r>
        <w:rPr>
          <w:rFonts w:hint="eastAsia"/>
          <w:color w:val="auto"/>
          <w:u w:val="none" w:color="auto"/>
        </w:rPr>
        <w:t>割の範囲とし、連続する</w:t>
      </w:r>
      <w:r>
        <w:rPr>
          <w:rFonts w:hint="eastAsia"/>
          <w:color w:val="auto"/>
          <w:u w:val="none" w:color="auto"/>
        </w:rPr>
        <w:t>3</w:t>
      </w:r>
      <w:r>
        <w:rPr>
          <w:rFonts w:hint="eastAsia"/>
          <w:color w:val="auto"/>
          <w:u w:val="none" w:color="auto"/>
        </w:rPr>
        <w:t>ヶ月間の月間平均材積が</w:t>
      </w:r>
      <w:r>
        <w:rPr>
          <w:rFonts w:hint="eastAsia"/>
          <w:color w:val="auto"/>
          <w:u w:val="none" w:color="auto"/>
        </w:rPr>
        <w:t>70m3</w:t>
      </w:r>
      <w:r>
        <w:rPr>
          <w:rFonts w:hint="eastAsia"/>
          <w:color w:val="auto"/>
          <w:u w:val="none" w:color="auto"/>
        </w:rPr>
        <w:t>を下回った場合は、</w:t>
      </w:r>
      <w:r>
        <w:rPr>
          <w:rFonts w:hint="eastAsia"/>
          <w:color w:val="auto"/>
          <w:u w:val="none" w:color="auto"/>
        </w:rPr>
        <w:t>4</w:t>
      </w:r>
      <w:r>
        <w:rPr>
          <w:rFonts w:hint="eastAsia"/>
          <w:color w:val="auto"/>
          <w:u w:val="none" w:color="auto"/>
        </w:rPr>
        <w:t>ヶ月目以降は補助の対象としない。</w:t>
      </w:r>
    </w:p>
    <w:p>
      <w:pPr>
        <w:pStyle w:val="0"/>
        <w:spacing w:line="320" w:lineRule="exact"/>
        <w:ind w:left="1152" w:leftChars="478" w:firstLine="241" w:firstLineChars="100"/>
        <w:rPr>
          <w:rFonts w:hint="default"/>
          <w:color w:val="auto"/>
          <w:u w:val="none" w:color="auto"/>
        </w:rPr>
      </w:pPr>
      <w:r>
        <w:rPr>
          <w:rFonts w:hint="eastAsia"/>
          <w:color w:val="auto"/>
          <w:u w:val="none" w:color="auto"/>
        </w:rPr>
        <w:t>また、作業功程の見直し、事故・災害等により月毎の搬出間伐量が</w:t>
      </w:r>
      <w:r>
        <w:rPr>
          <w:rFonts w:hint="eastAsia"/>
          <w:color w:val="auto"/>
          <w:u w:val="none" w:color="auto"/>
        </w:rPr>
        <w:t>70m3</w:t>
      </w:r>
      <w:r>
        <w:rPr>
          <w:rFonts w:hint="eastAsia"/>
          <w:color w:val="auto"/>
          <w:u w:val="none" w:color="auto"/>
        </w:rPr>
        <w:t>を下回るおそれがある場合は、速やかに事業計画の見直しをすること。ただし、補助事業者に起因しない、事故・災害の場合は木材増産推進課の指示を仰ぐこと。</w:t>
      </w:r>
    </w:p>
    <w:p>
      <w:pPr>
        <w:pStyle w:val="0"/>
        <w:spacing w:line="320" w:lineRule="exact"/>
        <w:ind w:firstLine="964" w:firstLineChars="400"/>
        <w:rPr>
          <w:rFonts w:hint="default"/>
          <w:color w:val="auto"/>
          <w:u w:val="none" w:color="auto"/>
        </w:rPr>
      </w:pPr>
      <w:r>
        <w:rPr>
          <w:rFonts w:hint="eastAsia"/>
          <w:color w:val="auto"/>
          <w:u w:val="none" w:color="auto"/>
        </w:rPr>
        <w:t>イ．更新（主伐）</w:t>
      </w:r>
    </w:p>
    <w:p>
      <w:pPr>
        <w:pStyle w:val="0"/>
        <w:spacing w:line="320" w:lineRule="exact"/>
        <w:ind w:left="1152" w:leftChars="478" w:firstLine="241" w:firstLineChars="100"/>
        <w:rPr>
          <w:rFonts w:hint="default"/>
          <w:color w:val="auto"/>
          <w:u w:val="none" w:color="auto"/>
        </w:rPr>
      </w:pPr>
      <w:r>
        <w:rPr>
          <w:rFonts w:hint="eastAsia"/>
          <w:color w:val="auto"/>
          <w:u w:val="none" w:color="auto"/>
        </w:rPr>
        <w:t>レンタル機械を使用した１作業システムにおいて、当該施業に係る作業道支障木を含み、１ヶ月当たりおおむね</w:t>
      </w:r>
      <w:r>
        <w:rPr>
          <w:rFonts w:hint="eastAsia"/>
          <w:color w:val="auto"/>
          <w:u w:val="none" w:color="auto"/>
        </w:rPr>
        <w:t>200m3</w:t>
      </w:r>
      <w:r>
        <w:rPr>
          <w:rFonts w:hint="eastAsia"/>
          <w:color w:val="auto"/>
          <w:u w:val="none" w:color="auto"/>
        </w:rPr>
        <w:t>の搬出量を確保するものとする。この場合、１作業システムに</w:t>
      </w:r>
      <w:r>
        <w:rPr>
          <w:rFonts w:hint="eastAsia"/>
          <w:color w:val="auto"/>
          <w:u w:val="none" w:color="auto"/>
        </w:rPr>
        <w:t>2</w:t>
      </w:r>
      <w:r>
        <w:rPr>
          <w:rFonts w:hint="eastAsia"/>
          <w:color w:val="auto"/>
          <w:u w:val="none" w:color="auto"/>
        </w:rPr>
        <w:t>台以上のレンタル機械が稼働する場合でもおおむね</w:t>
      </w:r>
      <w:r>
        <w:rPr>
          <w:rFonts w:hint="eastAsia"/>
          <w:color w:val="auto"/>
          <w:u w:val="none" w:color="auto"/>
        </w:rPr>
        <w:t>200m3</w:t>
      </w:r>
      <w:r>
        <w:rPr>
          <w:rFonts w:hint="eastAsia"/>
          <w:color w:val="auto"/>
          <w:u w:val="none" w:color="auto"/>
        </w:rPr>
        <w:t>で可とする。</w:t>
      </w:r>
    </w:p>
    <w:p>
      <w:pPr>
        <w:pStyle w:val="0"/>
        <w:spacing w:line="320" w:lineRule="exact"/>
        <w:ind w:left="1152" w:leftChars="478" w:firstLine="241" w:firstLineChars="100"/>
        <w:rPr>
          <w:rFonts w:hint="default"/>
          <w:color w:val="auto"/>
          <w:u w:val="none" w:color="auto"/>
        </w:rPr>
      </w:pPr>
      <w:r>
        <w:rPr>
          <w:rFonts w:hint="eastAsia"/>
          <w:color w:val="auto"/>
          <w:u w:val="none" w:color="auto"/>
        </w:rPr>
        <w:t>また、搬出量の確認は市場等の伝票、荷受伝票等により</w:t>
      </w:r>
      <w:r>
        <w:rPr>
          <w:rFonts w:hint="eastAsia"/>
          <w:color w:val="auto"/>
          <w:u w:val="none" w:color="auto"/>
        </w:rPr>
        <w:t>1</w:t>
      </w:r>
      <w:r>
        <w:rPr>
          <w:rFonts w:hint="eastAsia"/>
          <w:color w:val="auto"/>
          <w:u w:val="none" w:color="auto"/>
        </w:rPr>
        <w:t>ヶ月毎の搬出量が１システム当たり確認できるように、整理保管するものとする。ただし、降雪、災害等により集積土場から搬出できない場合には、集積材積の確認（延長、高さ、幅、本数等）できる写真、プロセッサ等の造材集積システムによるデータでも可とする。</w:t>
      </w:r>
    </w:p>
    <w:p>
      <w:pPr>
        <w:pStyle w:val="0"/>
        <w:spacing w:line="320" w:lineRule="exact"/>
        <w:ind w:left="1152" w:leftChars="478" w:firstLine="241" w:firstLineChars="100"/>
        <w:rPr>
          <w:rFonts w:hint="default"/>
          <w:color w:val="auto"/>
          <w:u w:val="none" w:color="auto"/>
        </w:rPr>
      </w:pPr>
      <w:r>
        <w:rPr>
          <w:rFonts w:hint="eastAsia"/>
          <w:color w:val="auto"/>
          <w:u w:val="none" w:color="auto"/>
        </w:rPr>
        <w:t>なお、おおむね</w:t>
      </w:r>
      <w:r>
        <w:rPr>
          <w:rFonts w:hint="eastAsia"/>
          <w:color w:val="auto"/>
          <w:u w:val="none" w:color="auto"/>
        </w:rPr>
        <w:t>200m3</w:t>
      </w:r>
      <w:r>
        <w:rPr>
          <w:rFonts w:hint="eastAsia"/>
          <w:color w:val="auto"/>
          <w:u w:val="none" w:color="auto"/>
        </w:rPr>
        <w:t>とは、</w:t>
      </w:r>
      <w:r>
        <w:rPr>
          <w:rFonts w:hint="eastAsia"/>
          <w:color w:val="auto"/>
          <w:u w:val="none" w:color="auto"/>
        </w:rPr>
        <w:t>3</w:t>
      </w:r>
      <w:r>
        <w:rPr>
          <w:rFonts w:hint="eastAsia"/>
          <w:color w:val="auto"/>
          <w:u w:val="none" w:color="auto"/>
        </w:rPr>
        <w:t>割の範囲とし、連続する</w:t>
      </w:r>
      <w:r>
        <w:rPr>
          <w:rFonts w:hint="eastAsia"/>
          <w:color w:val="auto"/>
          <w:u w:val="none" w:color="auto"/>
        </w:rPr>
        <w:t>3</w:t>
      </w:r>
      <w:r>
        <w:rPr>
          <w:rFonts w:hint="eastAsia"/>
          <w:color w:val="auto"/>
          <w:u w:val="none" w:color="auto"/>
        </w:rPr>
        <w:t>ヶ月間の月間平均材積が</w:t>
      </w:r>
      <w:r>
        <w:rPr>
          <w:rFonts w:hint="eastAsia"/>
          <w:color w:val="auto"/>
          <w:u w:val="none" w:color="auto"/>
        </w:rPr>
        <w:t>140m3</w:t>
      </w:r>
      <w:r>
        <w:rPr>
          <w:rFonts w:hint="eastAsia"/>
          <w:color w:val="auto"/>
          <w:u w:val="none" w:color="auto"/>
        </w:rPr>
        <w:t>を下回った場合は、</w:t>
      </w:r>
      <w:r>
        <w:rPr>
          <w:rFonts w:hint="eastAsia"/>
          <w:color w:val="auto"/>
          <w:u w:val="none" w:color="auto"/>
        </w:rPr>
        <w:t>4</w:t>
      </w:r>
      <w:r>
        <w:rPr>
          <w:rFonts w:hint="eastAsia"/>
          <w:color w:val="auto"/>
          <w:u w:val="none" w:color="auto"/>
        </w:rPr>
        <w:t>ヶ月目以降は補助の対象としない。</w:t>
      </w:r>
    </w:p>
    <w:p>
      <w:pPr>
        <w:pStyle w:val="0"/>
        <w:spacing w:line="320" w:lineRule="exact"/>
        <w:ind w:left="1152" w:leftChars="478" w:firstLine="241" w:firstLineChars="100"/>
        <w:rPr>
          <w:rFonts w:hint="default"/>
          <w:color w:val="auto"/>
          <w:u w:val="none" w:color="auto"/>
        </w:rPr>
      </w:pPr>
      <w:r>
        <w:rPr>
          <w:rFonts w:hint="eastAsia"/>
          <w:color w:val="auto"/>
          <w:u w:val="none" w:color="auto"/>
        </w:rPr>
        <w:t>また、作業功程の見直し、事故・災害等により月毎の搬出間伐量が</w:t>
      </w:r>
      <w:r>
        <w:rPr>
          <w:rFonts w:hint="eastAsia"/>
          <w:color w:val="auto"/>
          <w:u w:val="none" w:color="auto"/>
        </w:rPr>
        <w:t>140m3</w:t>
      </w:r>
      <w:r>
        <w:rPr>
          <w:rFonts w:hint="eastAsia"/>
          <w:color w:val="auto"/>
          <w:u w:val="none" w:color="auto"/>
        </w:rPr>
        <w:t>を下回るおそれがある場合は、速やかに事業計画の見直しをすること。ただし、補助事業者に起因しない、事故・災害の場合は木材増産推進課の指示を仰ぐこと。</w:t>
      </w:r>
    </w:p>
    <w:p>
      <w:pPr>
        <w:pStyle w:val="0"/>
        <w:spacing w:line="320" w:lineRule="exact"/>
        <w:ind w:firstLine="241" w:firstLineChars="100"/>
        <w:rPr>
          <w:rFonts w:hint="default"/>
          <w:color w:val="auto"/>
          <w:u w:val="none" w:color="auto"/>
        </w:rPr>
      </w:pPr>
      <w:r>
        <w:rPr>
          <w:rFonts w:hint="eastAsia"/>
          <w:color w:val="auto"/>
          <w:u w:val="none" w:color="auto"/>
        </w:rPr>
        <w:t>（６）実績報告</w:t>
      </w:r>
    </w:p>
    <w:p>
      <w:pPr>
        <w:pStyle w:val="0"/>
        <w:spacing w:line="320" w:lineRule="exact"/>
        <w:ind w:left="0" w:leftChars="0" w:hanging="1205" w:hangingChars="500"/>
        <w:rPr>
          <w:rFonts w:hint="default"/>
          <w:color w:val="auto"/>
          <w:u w:val="none" w:color="auto"/>
        </w:rPr>
      </w:pPr>
      <w:r>
        <w:rPr>
          <w:rFonts w:hint="eastAsia"/>
          <w:color w:val="auto"/>
          <w:u w:val="none" w:color="auto"/>
        </w:rPr>
        <w:t>　　　　①　レンタル事業の実績報告書で添付する契約書は、レンタルの相手方、機種、期間、金額が確認できれば請求書でも可とする。また、添付する写真は、機種等が確認できるものとする。</w:t>
      </w:r>
    </w:p>
    <w:p>
      <w:pPr>
        <w:pStyle w:val="0"/>
        <w:spacing w:line="320" w:lineRule="exact"/>
        <w:ind w:left="0" w:leftChars="0" w:hanging="1205" w:hangingChars="500"/>
        <w:rPr>
          <w:rFonts w:hint="default"/>
          <w:color w:val="auto"/>
          <w:u w:val="none" w:color="auto"/>
        </w:rPr>
      </w:pPr>
      <w:r>
        <w:rPr>
          <w:rFonts w:hint="eastAsia"/>
          <w:color w:val="auto"/>
          <w:u w:val="none" w:color="auto"/>
        </w:rPr>
        <w:t>　　　　②　しゅん工年月日は、レンタル終了日もしくは搬出材積確定日とする。</w:t>
      </w:r>
    </w:p>
    <w:p>
      <w:pPr>
        <w:pStyle w:val="0"/>
        <w:spacing w:line="320" w:lineRule="exact"/>
        <w:ind w:left="964" w:hanging="964" w:hangingChars="400"/>
        <w:rPr>
          <w:rFonts w:hint="default"/>
          <w:color w:val="auto"/>
          <w:u w:val="none" w:color="auto"/>
        </w:rPr>
      </w:pPr>
      <w:r>
        <w:rPr>
          <w:rFonts w:hint="eastAsia"/>
          <w:color w:val="auto"/>
          <w:u w:val="none" w:color="auto"/>
        </w:rPr>
        <w:t>　（７）軽微な変更</w:t>
      </w:r>
    </w:p>
    <w:p>
      <w:pPr>
        <w:pStyle w:val="0"/>
        <w:spacing w:line="320" w:lineRule="exact"/>
        <w:ind w:left="964" w:hanging="964" w:hangingChars="400"/>
        <w:rPr>
          <w:rFonts w:hint="default"/>
          <w:color w:val="auto"/>
          <w:u w:val="none" w:color="auto"/>
        </w:rPr>
      </w:pPr>
      <w:r>
        <w:rPr>
          <w:rFonts w:hint="eastAsia"/>
          <w:color w:val="auto"/>
          <w:u w:val="none" w:color="auto"/>
        </w:rPr>
        <w:t>　　　　　複数台レンタルした場合のレンタル機械間での交付決定額範囲内での流用等、要綱第６条第２項に定める変更要件以外の軽微な変更を行う場合は、所管の林業（振興）事務所と協議を行うこと。</w:t>
      </w:r>
    </w:p>
    <w:p>
      <w:pPr>
        <w:pStyle w:val="0"/>
        <w:spacing w:line="320" w:lineRule="exact"/>
        <w:rPr>
          <w:rFonts w:hint="default"/>
          <w:color w:val="auto"/>
          <w:u w:val="none" w:color="auto"/>
        </w:rPr>
      </w:pPr>
      <w:r>
        <w:rPr>
          <w:rFonts w:hint="eastAsia"/>
          <w:color w:val="auto"/>
          <w:u w:val="none" w:color="auto"/>
        </w:rPr>
        <w:t>　</w:t>
      </w:r>
    </w:p>
    <w:p>
      <w:pPr>
        <w:pStyle w:val="0"/>
        <w:spacing w:line="320" w:lineRule="exact"/>
        <w:rPr>
          <w:rFonts w:hint="default"/>
          <w:color w:val="auto"/>
          <w:u w:val="none" w:color="auto"/>
        </w:rPr>
      </w:pPr>
      <w:r>
        <w:rPr>
          <w:rFonts w:hint="eastAsia"/>
          <w:color w:val="auto"/>
          <w:u w:val="none" w:color="auto"/>
        </w:rPr>
        <w:t>４　入札・契約関係</w:t>
      </w:r>
    </w:p>
    <w:p>
      <w:pPr>
        <w:pStyle w:val="0"/>
        <w:spacing w:line="320" w:lineRule="exact"/>
        <w:rPr>
          <w:rFonts w:hint="default"/>
          <w:color w:val="auto"/>
          <w:u w:val="none" w:color="auto"/>
        </w:rPr>
      </w:pPr>
      <w:r>
        <w:rPr>
          <w:rFonts w:hint="eastAsia"/>
          <w:color w:val="auto"/>
          <w:u w:val="none" w:color="auto"/>
        </w:rPr>
        <w:t>　（１）入札及び契約の実施方法</w:t>
      </w:r>
    </w:p>
    <w:p>
      <w:pPr>
        <w:pStyle w:val="0"/>
        <w:spacing w:line="320" w:lineRule="exact"/>
        <w:ind w:left="964" w:hanging="964" w:hangingChars="400"/>
        <w:rPr>
          <w:rFonts w:hint="default"/>
          <w:color w:val="auto"/>
          <w:u w:val="none" w:color="auto"/>
        </w:rPr>
      </w:pPr>
      <w:r>
        <w:rPr>
          <w:rFonts w:hint="eastAsia"/>
          <w:color w:val="auto"/>
          <w:u w:val="none" w:color="auto"/>
        </w:rPr>
        <w:t>　　　　　契約の相手先の選定及び入札にあたっては、公平性・競争性を確保して実施するものとし、国費事業（要綱別表第１の１及び２）においては単独随意契約は原則認めない。　　　　　　</w:t>
      </w:r>
    </w:p>
    <w:p>
      <w:pPr>
        <w:pStyle w:val="0"/>
        <w:spacing w:line="320" w:lineRule="exact"/>
        <w:ind w:left="964" w:hanging="964" w:hangingChars="400"/>
        <w:rPr>
          <w:rFonts w:hint="default"/>
          <w:color w:val="auto"/>
          <w:u w:val="none" w:color="auto"/>
        </w:rPr>
      </w:pPr>
      <w:r>
        <w:rPr>
          <w:rFonts w:hint="eastAsia"/>
          <w:color w:val="auto"/>
          <w:u w:val="none" w:color="auto"/>
        </w:rPr>
        <w:t>　</w:t>
      </w:r>
    </w:p>
    <w:p>
      <w:pPr>
        <w:pStyle w:val="0"/>
        <w:spacing w:line="320" w:lineRule="exact"/>
        <w:rPr>
          <w:rFonts w:hint="default"/>
          <w:color w:val="auto"/>
          <w:u w:val="none" w:color="auto"/>
        </w:rPr>
      </w:pPr>
      <w:r>
        <w:rPr>
          <w:rFonts w:hint="eastAsia"/>
          <w:color w:val="auto"/>
          <w:u w:val="none" w:color="auto"/>
        </w:rPr>
        <w:t>５　その他</w:t>
      </w:r>
    </w:p>
    <w:p>
      <w:pPr>
        <w:pStyle w:val="0"/>
        <w:spacing w:line="320" w:lineRule="exact"/>
        <w:ind w:left="964" w:leftChars="100" w:hanging="723" w:hangingChars="300"/>
        <w:rPr>
          <w:rFonts w:hint="default"/>
          <w:color w:val="auto"/>
          <w:u w:val="none" w:color="auto"/>
        </w:rPr>
      </w:pPr>
      <w:r>
        <w:rPr>
          <w:rFonts w:hint="eastAsia"/>
          <w:color w:val="auto"/>
          <w:u w:val="none" w:color="auto"/>
        </w:rPr>
        <w:t>（１）導入機械の事故及び災害の報告</w:t>
      </w:r>
    </w:p>
    <w:p>
      <w:pPr>
        <w:pStyle w:val="0"/>
        <w:spacing w:line="320" w:lineRule="exact"/>
        <w:ind w:left="993" w:leftChars="412" w:right="-143" w:firstLine="241" w:firstLineChars="100"/>
        <w:rPr>
          <w:rFonts w:hint="default"/>
          <w:color w:val="auto"/>
          <w:u w:val="none" w:color="auto"/>
        </w:rPr>
      </w:pPr>
      <w:r>
        <w:rPr>
          <w:rFonts w:hint="eastAsia"/>
          <w:color w:val="auto"/>
          <w:u w:val="none" w:color="auto"/>
        </w:rPr>
        <w:t>補助対象機械及び補助対象装置を装着した機械が、処分期限内に事故及び災害その他の理由により、補助事業の目的とする機能を発揮できなくなった場合は、原因を確認するとともに早急に機能を復旧・改善することとし、また、木材増産推進課に遅滞なく報告すること。</w:t>
      </w:r>
    </w:p>
    <w:p>
      <w:pPr>
        <w:pStyle w:val="0"/>
        <w:spacing w:line="320" w:lineRule="exact"/>
        <w:ind w:left="993" w:leftChars="412" w:right="-143" w:firstLine="241" w:firstLineChars="100"/>
        <w:rPr>
          <w:rFonts w:hint="default"/>
          <w:color w:val="auto"/>
          <w:u w:val="none" w:color="auto"/>
        </w:rPr>
      </w:pPr>
    </w:p>
    <w:p>
      <w:pPr>
        <w:pStyle w:val="0"/>
        <w:spacing w:line="320" w:lineRule="exact"/>
        <w:ind w:left="1205" w:leftChars="200" w:hanging="723" w:hangingChars="300"/>
        <w:rPr>
          <w:rFonts w:hint="default"/>
          <w:color w:val="auto"/>
          <w:u w:val="none" w:color="auto"/>
        </w:rPr>
      </w:pPr>
      <w:r>
        <w:rPr>
          <w:rFonts w:hint="eastAsia" w:asciiTheme="minorEastAsia" w:hAnsiTheme="minorEastAsia"/>
          <w:color w:val="auto"/>
          <w:u w:val="none" w:color="auto"/>
        </w:rPr>
        <w:t>附則１　この運用は、平成</w:t>
      </w:r>
      <w:r>
        <w:rPr>
          <w:rFonts w:hint="eastAsia" w:asciiTheme="minorEastAsia" w:hAnsiTheme="minorEastAsia"/>
          <w:color w:val="auto"/>
          <w:u w:val="none" w:color="auto"/>
        </w:rPr>
        <w:t>30</w:t>
      </w:r>
      <w:r>
        <w:rPr>
          <w:rFonts w:hint="eastAsia" w:asciiTheme="minorEastAsia" w:hAnsiTheme="minorEastAsia"/>
          <w:color w:val="auto"/>
          <w:u w:val="none" w:color="auto"/>
        </w:rPr>
        <w:t>年４月５日から施行し、同日以降に交付の決定が行われる補</w:t>
      </w:r>
      <w:r>
        <w:rPr>
          <w:rFonts w:hint="eastAsia"/>
          <w:color w:val="auto"/>
          <w:u w:val="none" w:color="auto"/>
        </w:rPr>
        <w:t>助事業について適用する。</w:t>
      </w:r>
    </w:p>
    <w:p>
      <w:pPr>
        <w:pStyle w:val="0"/>
        <w:spacing w:line="320" w:lineRule="exact"/>
        <w:ind w:left="1205" w:leftChars="200" w:hanging="723" w:hangingChars="300"/>
        <w:rPr>
          <w:rFonts w:hint="default"/>
          <w:color w:val="auto"/>
          <w:u w:val="none" w:color="auto"/>
        </w:rPr>
      </w:pPr>
      <w:r>
        <w:rPr>
          <w:rFonts w:hint="eastAsia"/>
          <w:color w:val="auto"/>
          <w:u w:val="none" w:color="auto"/>
        </w:rPr>
        <w:t>　　２　この運用は、高知県高性能林業機械等整備事業費補助金交付要綱及び高知県高性能林業機械等整備事業事務取扱要領の廃止をもって廃止する。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この運用は、平成</w:t>
      </w:r>
      <w:r>
        <w:rPr>
          <w:rFonts w:hint="eastAsia"/>
          <w:color w:val="auto"/>
          <w:u w:val="none" w:color="auto"/>
        </w:rPr>
        <w:t>30</w:t>
      </w:r>
      <w:r>
        <w:rPr>
          <w:rFonts w:hint="eastAsia"/>
          <w:color w:val="auto"/>
          <w:u w:val="none" w:color="auto"/>
        </w:rPr>
        <w:t>年</w:t>
      </w:r>
      <w:r>
        <w:rPr>
          <w:rFonts w:hint="eastAsia"/>
          <w:color w:val="auto"/>
          <w:u w:val="none" w:color="auto"/>
        </w:rPr>
        <w:t>11</w:t>
      </w:r>
      <w:r>
        <w:rPr>
          <w:rFonts w:hint="eastAsia"/>
          <w:color w:val="auto"/>
          <w:u w:val="none" w:color="auto"/>
        </w:rPr>
        <w:t>月</w:t>
      </w:r>
      <w:r>
        <w:rPr>
          <w:rFonts w:hint="eastAsia"/>
          <w:color w:val="auto"/>
          <w:u w:val="none" w:color="auto"/>
        </w:rPr>
        <w:t>14</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25</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この運用は、平成</w:t>
      </w:r>
      <w:r>
        <w:rPr>
          <w:rFonts w:hint="eastAsia"/>
          <w:color w:val="auto"/>
          <w:u w:val="none" w:color="auto"/>
        </w:rPr>
        <w:t>31</w:t>
      </w:r>
      <w:r>
        <w:rPr>
          <w:rFonts w:hint="eastAsia"/>
          <w:color w:val="auto"/>
          <w:u w:val="none" w:color="auto"/>
        </w:rPr>
        <w:t>年</w:t>
      </w:r>
      <w:r>
        <w:rPr>
          <w:rFonts w:hint="eastAsia"/>
          <w:color w:val="auto"/>
          <w:u w:val="none" w:color="auto"/>
        </w:rPr>
        <w:t xml:space="preserve"> </w:t>
      </w:r>
      <w:r>
        <w:rPr>
          <w:rFonts w:hint="eastAsia"/>
          <w:color w:val="auto"/>
          <w:u w:val="none" w:color="auto"/>
        </w:rPr>
        <w:t>４月</w:t>
      </w:r>
      <w:r>
        <w:rPr>
          <w:rFonts w:hint="eastAsia"/>
          <w:color w:val="auto"/>
          <w:u w:val="none" w:color="auto"/>
        </w:rPr>
        <w:t>12</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２年</w:t>
      </w:r>
      <w:r>
        <w:rPr>
          <w:rFonts w:hint="eastAsia"/>
          <w:color w:val="auto"/>
          <w:u w:val="none" w:color="auto"/>
        </w:rPr>
        <w:t xml:space="preserve"> </w:t>
      </w:r>
      <w:r>
        <w:rPr>
          <w:rFonts w:hint="eastAsia"/>
          <w:color w:val="auto"/>
          <w:u w:val="none" w:color="auto"/>
        </w:rPr>
        <w:t>４月</w:t>
      </w:r>
      <w:r>
        <w:rPr>
          <w:rFonts w:hint="eastAsia"/>
          <w:color w:val="auto"/>
          <w:u w:val="none" w:color="auto"/>
        </w:rPr>
        <w:t>28</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３年</w:t>
      </w:r>
      <w:r>
        <w:rPr>
          <w:rFonts w:hint="eastAsia"/>
          <w:color w:val="auto"/>
          <w:u w:val="none" w:color="auto"/>
        </w:rPr>
        <w:t xml:space="preserve"> </w:t>
      </w:r>
      <w:r>
        <w:rPr>
          <w:rFonts w:hint="eastAsia"/>
          <w:color w:val="auto"/>
          <w:u w:val="none" w:color="auto"/>
        </w:rPr>
        <w:t>４月</w:t>
      </w:r>
      <w:r>
        <w:rPr>
          <w:rFonts w:hint="eastAsia"/>
          <w:color w:val="auto"/>
          <w:u w:val="none" w:color="auto"/>
        </w:rPr>
        <w:t>13</w:t>
      </w:r>
      <w:r>
        <w:rPr>
          <w:rFonts w:hint="eastAsia"/>
          <w:color w:val="auto"/>
          <w:u w:val="none" w:color="auto"/>
        </w:rPr>
        <w:t>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３年</w:t>
      </w:r>
      <w:r>
        <w:rPr>
          <w:rFonts w:hint="eastAsia"/>
          <w:color w:val="auto"/>
          <w:u w:val="none" w:color="auto"/>
        </w:rPr>
        <w:t xml:space="preserve"> </w:t>
      </w:r>
      <w:r>
        <w:rPr>
          <w:rFonts w:hint="eastAsia"/>
          <w:color w:val="auto"/>
          <w:u w:val="none" w:color="auto"/>
        </w:rPr>
        <w:t>７月</w:t>
      </w:r>
      <w:r>
        <w:rPr>
          <w:rFonts w:hint="eastAsia"/>
          <w:color w:val="auto"/>
          <w:u w:val="none" w:color="auto"/>
        </w:rPr>
        <w:t xml:space="preserve"> </w:t>
      </w:r>
      <w:r>
        <w:rPr>
          <w:rFonts w:hint="eastAsia"/>
          <w:color w:val="auto"/>
          <w:u w:val="none" w:color="auto"/>
        </w:rPr>
        <w:t>８日から施行する。</w:t>
      </w:r>
    </w:p>
    <w:p>
      <w:pPr>
        <w:pStyle w:val="0"/>
        <w:spacing w:line="320" w:lineRule="exact"/>
        <w:ind w:left="1205" w:leftChars="200" w:hanging="723" w:hangingChars="300"/>
        <w:rPr>
          <w:rFonts w:hint="default"/>
          <w:color w:val="auto"/>
          <w:u w:val="none" w:color="auto"/>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４年</w:t>
      </w:r>
      <w:r>
        <w:rPr>
          <w:rFonts w:hint="eastAsia"/>
          <w:color w:val="auto"/>
          <w:u w:val="none" w:color="auto"/>
        </w:rPr>
        <w:t xml:space="preserve"> </w:t>
      </w:r>
      <w:r>
        <w:rPr>
          <w:rFonts w:hint="eastAsia"/>
          <w:color w:val="auto"/>
          <w:u w:val="none" w:color="auto"/>
        </w:rPr>
        <w:t>４月</w:t>
      </w:r>
      <w:r>
        <w:rPr>
          <w:rFonts w:hint="eastAsia"/>
          <w:color w:val="auto"/>
          <w:u w:val="none" w:color="auto"/>
        </w:rPr>
        <w:t xml:space="preserve"> 22</w:t>
      </w:r>
      <w:r>
        <w:rPr>
          <w:rFonts w:hint="eastAsia"/>
          <w:color w:val="auto"/>
          <w:u w:val="none" w:color="auto"/>
        </w:rPr>
        <w:t>日から施行する。</w:t>
      </w:r>
    </w:p>
    <w:p>
      <w:pPr>
        <w:rPr>
          <w:rFonts w:hint="default"/>
        </w:rPr>
        <w:sectPr>
          <w:pgSz w:w="11906" w:h="16838"/>
          <w:pgMar w:top="1134" w:right="964" w:bottom="1134" w:left="964" w:header="851" w:footer="992" w:gutter="0"/>
          <w:cols w:space="720"/>
          <w:textDirection w:val="lrTb"/>
          <w:docGrid w:type="linesAndChars" w:linePitch="485" w:charSpace="6338"/>
        </w:sectPr>
      </w:pPr>
    </w:p>
    <w:p>
      <w:pPr>
        <w:pStyle w:val="0"/>
        <w:spacing w:line="320" w:lineRule="exact"/>
        <w:rPr>
          <w:rFonts w:hint="default"/>
          <w:color w:val="auto"/>
          <w:u w:val="none" w:color="auto"/>
        </w:rPr>
      </w:pPr>
      <w:r>
        <w:rPr>
          <w:rFonts w:hint="eastAsia"/>
          <w:color w:val="auto"/>
          <w:u w:val="none" w:color="auto"/>
        </w:rPr>
        <w:t>別紙１</w:t>
      </w:r>
    </w:p>
    <w:p>
      <w:pPr>
        <w:pStyle w:val="0"/>
        <w:spacing w:line="320" w:lineRule="exact"/>
        <w:ind w:left="1205" w:leftChars="200" w:hanging="723" w:hangingChars="300"/>
        <w:rPr>
          <w:rFonts w:hint="default"/>
          <w:color w:val="auto"/>
          <w:u w:val="none" w:color="auto"/>
        </w:rPr>
      </w:pPr>
    </w:p>
    <w:p>
      <w:pPr>
        <w:pStyle w:val="0"/>
        <w:spacing w:line="320" w:lineRule="exact"/>
        <w:ind w:left="1205" w:leftChars="200" w:hanging="723" w:hangingChars="300"/>
        <w:rPr>
          <w:rFonts w:hint="default"/>
          <w:color w:val="auto"/>
          <w:u w:val="none" w:color="auto"/>
        </w:rPr>
      </w:pPr>
    </w:p>
    <w:p>
      <w:pPr>
        <w:pStyle w:val="0"/>
        <w:spacing w:line="320" w:lineRule="exact"/>
        <w:ind w:left="1205" w:leftChars="500" w:firstLine="813" w:firstLineChars="300"/>
        <w:rPr>
          <w:rFonts w:hint="default"/>
          <w:color w:val="auto"/>
          <w:sz w:val="24"/>
          <w:u w:val="none" w:color="auto"/>
        </w:rPr>
      </w:pPr>
      <w:r>
        <w:rPr>
          <w:rFonts w:hint="eastAsia"/>
          <w:color w:val="auto"/>
          <w:sz w:val="24"/>
          <w:u w:val="none" w:color="auto"/>
        </w:rPr>
        <w:t>素材生産量及び素材生産性の目標値について</w:t>
      </w:r>
    </w:p>
    <w:p>
      <w:pPr>
        <w:pStyle w:val="0"/>
        <w:spacing w:line="320" w:lineRule="exact"/>
        <w:ind w:left="1205" w:leftChars="500" w:firstLine="723" w:firstLineChars="300"/>
        <w:rPr>
          <w:rFonts w:hint="default"/>
          <w:color w:val="auto"/>
          <w:u w:val="none" w:color="auto"/>
        </w:rPr>
      </w:pPr>
    </w:p>
    <w:p>
      <w:pPr>
        <w:pStyle w:val="0"/>
        <w:spacing w:line="320" w:lineRule="exact"/>
        <w:ind w:left="1205" w:leftChars="500" w:firstLine="723" w:firstLineChars="300"/>
        <w:rPr>
          <w:rFonts w:hint="default"/>
          <w:color w:val="auto"/>
          <w:u w:val="none" w:color="auto"/>
        </w:rPr>
      </w:pPr>
    </w:p>
    <w:p>
      <w:pPr>
        <w:pStyle w:val="0"/>
        <w:spacing w:line="320" w:lineRule="exact"/>
        <w:ind w:left="723" w:leftChars="100" w:hanging="482" w:hangingChars="200"/>
        <w:rPr>
          <w:rFonts w:hint="default"/>
          <w:color w:val="auto"/>
          <w:u w:val="none" w:color="auto"/>
        </w:rPr>
      </w:pPr>
      <w:r>
        <w:rPr>
          <w:rFonts w:hint="eastAsia"/>
          <w:color w:val="auto"/>
          <w:u w:val="none" w:color="auto"/>
        </w:rPr>
        <w:t>　　　要綱別表３の１の留意事項（５）及び要領第１号様式の別紙１－１－１に記載のある「県の目標値」は下記のとおりとする。</w:t>
      </w:r>
    </w:p>
    <w:p>
      <w:pPr>
        <w:pStyle w:val="0"/>
        <w:spacing w:line="320" w:lineRule="exact"/>
        <w:ind w:left="723" w:leftChars="300" w:firstLine="241" w:firstLineChars="100"/>
        <w:rPr>
          <w:rFonts w:hint="default"/>
          <w:color w:val="auto"/>
          <w:u w:val="none" w:color="auto"/>
        </w:rPr>
      </w:pPr>
      <w:r>
        <w:rPr>
          <w:rFonts w:hint="eastAsia"/>
          <w:color w:val="auto"/>
          <w:u w:val="none" w:color="auto"/>
        </w:rPr>
        <w:t>高性能林業機械を導入する場合は、いずれかの目標値以上となること。</w:t>
      </w:r>
    </w:p>
    <w:p>
      <w:pPr>
        <w:pStyle w:val="0"/>
        <w:spacing w:line="320" w:lineRule="exact"/>
        <w:ind w:left="1205" w:leftChars="200" w:hanging="723" w:hangingChars="300"/>
        <w:rPr>
          <w:rFonts w:hint="default"/>
          <w:color w:val="auto"/>
          <w:u w:val="none" w:color="auto"/>
        </w:rPr>
      </w:pPr>
      <w:r>
        <w:rPr>
          <w:rFonts w:hint="eastAsia"/>
          <w:color w:val="auto"/>
          <w:u w:val="none" w:color="auto"/>
        </w:rPr>
        <w:t>　　</w:t>
      </w: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r>
        <w:rPr>
          <w:rFonts w:hint="eastAsia"/>
          <w:color w:val="auto"/>
          <w:u w:val="none" w:color="auto"/>
        </w:rPr>
        <w:t>【５年目の目標値（林業成長産業化総合対策補助金）】</w:t>
      </w:r>
    </w:p>
    <w:p>
      <w:pPr>
        <w:pStyle w:val="0"/>
        <w:spacing w:line="320" w:lineRule="exact"/>
        <w:ind w:left="482" w:leftChars="200" w:firstLine="482" w:firstLineChars="200"/>
        <w:rPr>
          <w:rFonts w:hint="default"/>
          <w:color w:val="auto"/>
          <w:u w:val="none" w:color="auto"/>
        </w:rPr>
      </w:pPr>
      <w:r>
        <w:rPr>
          <w:rFonts w:hint="eastAsia"/>
          <w:color w:val="auto"/>
          <w:u w:val="none" w:color="auto"/>
        </w:rPr>
        <w:t>目標年度が導入年度の翌年から起算して５年目となる場合</w:t>
      </w: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r>
        <w:rPr>
          <w:rFonts w:hint="eastAsia"/>
          <w:color w:val="auto"/>
          <w:u w:val="none" w:color="auto"/>
        </w:rPr>
        <w:t>　　①素材生産量の増産量　５年間で２，６００ｍ</w:t>
      </w:r>
      <w:r>
        <w:rPr>
          <w:rFonts w:hint="eastAsia"/>
          <w:color w:val="auto"/>
          <w:u w:val="none" w:color="auto"/>
        </w:rPr>
        <w:t>3</w:t>
      </w:r>
      <w:r>
        <w:rPr>
          <w:rFonts w:hint="eastAsia"/>
          <w:color w:val="auto"/>
          <w:u w:val="none" w:color="auto"/>
        </w:rPr>
        <w:t>の増産</w:t>
      </w:r>
    </w:p>
    <w:p>
      <w:pPr>
        <w:pStyle w:val="0"/>
        <w:spacing w:line="320" w:lineRule="exact"/>
        <w:ind w:left="482" w:leftChars="200"/>
        <w:rPr>
          <w:rFonts w:hint="default"/>
          <w:color w:val="auto"/>
          <w:u w:val="none" w:color="auto"/>
        </w:rPr>
      </w:pPr>
      <w:r>
        <w:rPr>
          <w:rFonts w:hint="eastAsia"/>
          <w:color w:val="auto"/>
          <w:u w:val="none" w:color="auto"/>
        </w:rPr>
        <w:t>　　②素材生産量の伸び率　１３１％</w:t>
      </w:r>
    </w:p>
    <w:p>
      <w:pPr>
        <w:pStyle w:val="0"/>
        <w:spacing w:line="320" w:lineRule="exact"/>
        <w:ind w:left="482" w:leftChars="200"/>
        <w:rPr>
          <w:rFonts w:hint="default"/>
          <w:color w:val="auto"/>
          <w:u w:val="none" w:color="auto"/>
        </w:rPr>
      </w:pPr>
      <w:r>
        <w:rPr>
          <w:rFonts w:hint="eastAsia"/>
          <w:color w:val="auto"/>
          <w:u w:val="none" w:color="auto"/>
        </w:rPr>
        <w:t>　　③素材生産性の目標値　５．７ｍ</w:t>
      </w:r>
      <w:r>
        <w:rPr>
          <w:rFonts w:hint="eastAsia"/>
          <w:color w:val="auto"/>
          <w:u w:val="none" w:color="auto"/>
        </w:rPr>
        <w:t>3/</w:t>
      </w:r>
      <w:r>
        <w:rPr>
          <w:rFonts w:hint="eastAsia"/>
          <w:color w:val="auto"/>
          <w:u w:val="none" w:color="auto"/>
        </w:rPr>
        <w:t>人日</w:t>
      </w:r>
    </w:p>
    <w:p>
      <w:pPr>
        <w:pStyle w:val="0"/>
        <w:spacing w:line="320" w:lineRule="exact"/>
        <w:ind w:left="482" w:leftChars="200"/>
        <w:rPr>
          <w:rFonts w:hint="default"/>
          <w:color w:val="auto"/>
          <w:u w:val="none" w:color="auto"/>
        </w:rPr>
      </w:pPr>
      <w:r>
        <w:rPr>
          <w:rFonts w:hint="eastAsia"/>
          <w:color w:val="auto"/>
          <w:u w:val="none" w:color="auto"/>
        </w:rPr>
        <w:t>　　④素材生産性の伸び率　１６０％</w:t>
      </w: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r>
        <w:rPr>
          <w:rFonts w:hint="eastAsia"/>
          <w:color w:val="auto"/>
          <w:u w:val="none" w:color="auto"/>
        </w:rPr>
        <w:t>【３年目の目標値（合板・製材・集成材国際競争力強化・輸出促進対策交付金）】</w:t>
      </w:r>
    </w:p>
    <w:p>
      <w:pPr>
        <w:pStyle w:val="0"/>
        <w:spacing w:line="320" w:lineRule="exact"/>
        <w:ind w:left="482" w:leftChars="200" w:firstLine="723" w:firstLineChars="300"/>
        <w:rPr>
          <w:rFonts w:hint="default"/>
          <w:color w:val="auto"/>
          <w:u w:val="none" w:color="auto"/>
        </w:rPr>
      </w:pPr>
      <w:r>
        <w:rPr>
          <w:rFonts w:hint="eastAsia"/>
          <w:color w:val="auto"/>
          <w:u w:val="none" w:color="auto"/>
        </w:rPr>
        <w:t>目標年度が導入年度の翌年から起算して３年目となる場合</w:t>
      </w:r>
    </w:p>
    <w:p>
      <w:pPr>
        <w:pStyle w:val="0"/>
        <w:spacing w:line="320" w:lineRule="exact"/>
        <w:ind w:left="482" w:leftChars="200"/>
        <w:rPr>
          <w:rFonts w:hint="default"/>
          <w:color w:val="auto"/>
          <w:u w:val="none" w:color="auto"/>
        </w:rPr>
      </w:pPr>
    </w:p>
    <w:p>
      <w:pPr>
        <w:pStyle w:val="0"/>
        <w:spacing w:line="320" w:lineRule="exact"/>
        <w:ind w:left="482" w:leftChars="200"/>
        <w:rPr>
          <w:rFonts w:hint="default"/>
          <w:color w:val="auto"/>
          <w:u w:val="none" w:color="auto"/>
        </w:rPr>
      </w:pPr>
      <w:r>
        <w:rPr>
          <w:rFonts w:hint="eastAsia"/>
          <w:color w:val="auto"/>
          <w:u w:val="none" w:color="auto"/>
        </w:rPr>
        <w:t>　　①素材生産量の増産量　３年間で１，５６０ｍ</w:t>
      </w:r>
      <w:r>
        <w:rPr>
          <w:rFonts w:hint="eastAsia"/>
          <w:color w:val="auto"/>
          <w:u w:val="none" w:color="auto"/>
        </w:rPr>
        <w:t>3</w:t>
      </w:r>
      <w:r>
        <w:rPr>
          <w:rFonts w:hint="eastAsia"/>
          <w:color w:val="auto"/>
          <w:u w:val="none" w:color="auto"/>
        </w:rPr>
        <w:t>の増産</w:t>
      </w:r>
    </w:p>
    <w:p>
      <w:pPr>
        <w:pStyle w:val="0"/>
        <w:spacing w:line="320" w:lineRule="exact"/>
        <w:ind w:left="482" w:leftChars="200"/>
        <w:rPr>
          <w:rFonts w:hint="default"/>
          <w:color w:val="auto"/>
          <w:u w:val="none" w:color="auto"/>
        </w:rPr>
      </w:pPr>
      <w:r>
        <w:rPr>
          <w:rFonts w:hint="eastAsia"/>
          <w:color w:val="auto"/>
          <w:u w:val="none" w:color="auto"/>
        </w:rPr>
        <w:t>　　②素材生産量の伸び率　１１９％</w:t>
      </w:r>
    </w:p>
    <w:p>
      <w:pPr>
        <w:pStyle w:val="0"/>
        <w:spacing w:line="320" w:lineRule="exact"/>
        <w:ind w:left="482" w:leftChars="200"/>
        <w:rPr>
          <w:rFonts w:hint="default"/>
          <w:color w:val="auto"/>
          <w:u w:val="none" w:color="auto"/>
        </w:rPr>
      </w:pPr>
      <w:r>
        <w:rPr>
          <w:rFonts w:hint="eastAsia"/>
          <w:color w:val="auto"/>
          <w:u w:val="none" w:color="auto"/>
        </w:rPr>
        <w:t>　　③素材生産性の目標値　５．３ｍ</w:t>
      </w:r>
      <w:r>
        <w:rPr>
          <w:rFonts w:hint="eastAsia"/>
          <w:color w:val="auto"/>
          <w:u w:val="none" w:color="auto"/>
        </w:rPr>
        <w:t>3/</w:t>
      </w:r>
      <w:r>
        <w:rPr>
          <w:rFonts w:hint="eastAsia"/>
          <w:color w:val="auto"/>
          <w:u w:val="none" w:color="auto"/>
        </w:rPr>
        <w:t>人日</w:t>
      </w:r>
    </w:p>
    <w:p>
      <w:pPr>
        <w:pStyle w:val="0"/>
        <w:spacing w:line="320" w:lineRule="exact"/>
        <w:ind w:left="482" w:leftChars="200"/>
        <w:rPr>
          <w:rFonts w:hint="default"/>
          <w:color w:val="auto"/>
          <w:u w:val="none" w:color="auto"/>
        </w:rPr>
      </w:pPr>
      <w:r>
        <w:rPr>
          <w:rFonts w:hint="eastAsia"/>
          <w:color w:val="auto"/>
          <w:u w:val="none" w:color="auto"/>
        </w:rPr>
        <w:t>　　④素材生産性の伸び率　１４７％</w:t>
      </w:r>
    </w:p>
    <w:p>
      <w:pPr>
        <w:pStyle w:val="0"/>
        <w:spacing w:line="320" w:lineRule="exact"/>
        <w:ind w:left="482" w:leftChars="200"/>
        <w:rPr>
          <w:rFonts w:hint="eastAsia"/>
          <w:color w:val="auto"/>
          <w:u w:val="none" w:color="auto"/>
        </w:rPr>
      </w:pPr>
      <w:bookmarkStart w:id="0" w:name="_GoBack"/>
      <w:bookmarkEnd w:id="0"/>
    </w:p>
    <w:p>
      <w:pPr>
        <w:pStyle w:val="0"/>
        <w:widowControl w:val="1"/>
        <w:rPr>
          <w:rFonts w:hint="default"/>
          <w:color w:val="auto"/>
          <w:u w:val="none" w:color="auto"/>
        </w:rPr>
      </w:pPr>
      <w:r>
        <w:rPr>
          <w:rFonts w:hint="default"/>
          <w:color w:val="auto"/>
          <w:u w:val="none" w:color="auto"/>
        </w:rPr>
        <w:br w:type="page"/>
      </w:r>
    </w:p>
    <w:p>
      <w:pPr>
        <w:pStyle w:val="0"/>
        <w:rPr>
          <w:rFonts w:hint="eastAsia" w:ascii="ＭＳ 明朝" w:hAnsi="ＭＳ 明朝"/>
          <w:strike w:val="1"/>
          <w:dstrike w:val="0"/>
          <w:color w:val="auto"/>
          <w:u w:val="none" w:color="auto"/>
        </w:rPr>
      </w:pPr>
    </w:p>
    <w:sectPr>
      <w:pgSz w:w="11906" w:h="16838"/>
      <w:pgMar w:top="1134" w:right="964" w:bottom="1134" w:left="964" w:header="851" w:footer="992" w:gutter="0"/>
      <w:cols w:space="720"/>
      <w:textDirection w:val="lrTb"/>
      <w:docGrid w:type="linesAndChars" w:linePitch="485"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71"/>
  <w:drawingGridVerticalSpacing w:val="4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444</TotalTime>
  <Pages>6</Pages>
  <Words>88</Words>
  <Characters>4771</Characters>
  <Application>JUST Note</Application>
  <Lines>203</Lines>
  <Paragraphs>114</Paragraphs>
  <CharactersWithSpaces>4963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470247</cp:lastModifiedBy>
  <cp:lastPrinted>2022-03-23T06:31:56Z</cp:lastPrinted>
  <dcterms:created xsi:type="dcterms:W3CDTF">2021-06-02T06:31:00Z</dcterms:created>
  <dcterms:modified xsi:type="dcterms:W3CDTF">2022-04-25T01:46:27Z</dcterms:modified>
  <cp:revision>6</cp:revision>
</cp:coreProperties>
</file>