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autoSpaceDE w:val="0"/>
        <w:autoSpaceDN w:val="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様式例第１号</w:t>
      </w:r>
    </w:p>
    <w:tbl>
      <w:tblPr>
        <w:tblStyle w:val="24"/>
        <w:tblW w:w="0" w:type="auto"/>
        <w:jc w:val="left"/>
        <w:tblInd w:w="45"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left w:w="52" w:type="dxa"/>
          <w:right w:w="52" w:type="dxa"/>
        </w:tblCellMar>
        <w:tblLook w:firstRow="0" w:lastRow="0" w:firstColumn="0" w:lastColumn="0" w:noHBand="0" w:noVBand="0" w:val="0000"/>
      </w:tblPr>
      <w:tblGrid>
        <w:gridCol w:w="5045"/>
        <w:gridCol w:w="5114"/>
      </w:tblGrid>
      <w:tr>
        <w:trPr/>
        <w:tc>
          <w:tcPr>
            <w:tcW w:w="5045" w:type="dxa"/>
            <w:tcBorders>
              <w:top w:val="single" w:color="auto" w:sz="4" w:space="0"/>
              <w:left w:val="single" w:color="auto" w:sz="4" w:space="0"/>
              <w:bottom w:val="single" w:color="auto" w:sz="4"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農産物検査業務規程記載事項（例）</w:t>
            </w:r>
          </w:p>
        </w:tc>
        <w:tc>
          <w:tcPr>
            <w:tcW w:w="5114" w:type="dxa"/>
            <w:tcBorders>
              <w:top w:val="single" w:color="auto" w:sz="4" w:space="0"/>
              <w:left w:val="none" w:color="auto" w:sz="0" w:space="0"/>
              <w:bottom w:val="single" w:color="auto" w:sz="4" w:space="0"/>
              <w:right w:val="single" w:color="auto" w:sz="4"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45"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農産物検査業務規程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5114"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第１章　総　則</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号。以下「法」という。）第２条第５項の登録検査機関（以下「登録検査機関」という。）として行う同条第１項の農産物検査（以下「農産物検査」という。）に関しては、この規程の定めるところによる。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他の業務を兼業している場合は、それとの区別が明確になっていること。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本会が行う農産物検査の方針は次のとおりとし、すべての活動はこの方針に基づいて行われるものとする。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農産物検査を公平、公正、迅速に行う。</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農産物検査の信頼性を確保するため、必要な技術的能力の維持・向上に努める。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農産物検査の客観性及び公平性に関して他の業務部門からの影響を排除する。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農産物検査制度の適正な運営に寄与する。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活動のよりどころとなるものであること。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農産物検査に従事する者が具体的行動をイメージしやすいものであること。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本会は、定款（寄附行為）の定めるところにより、法に基づく登録検査機関として農産物検査を行うものとする。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本会は、登録検査機関に与えられた権限を適正に行使するとともに、本会が行うすべての農産物検査に責任を負うものとする。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組織及び権限の法的根拠を明確にしていること。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登録検査機関としての責任の範囲を明確にしていること。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第２章　農産物検査を行う時間及び休日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（始業及び終業時刻）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農産物検査を行う時間は、○時○○分から○○時○○分までとする。（休憩時間は○○時○○分から○○時○○分まで）</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前項の時間は、職員の全部又は一部につき、季節その他の事由によって変更することができる。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（始業及び終業時刻）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営業時間の設定が、円滑な農産物検査の実施を阻害するものでないこと。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1755"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休日は次のとおりとする。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土曜日及び日曜日</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国民の祝日に関する法律（昭和</w:t>
            </w:r>
            <w:r>
              <w:rPr>
                <w:rFonts w:hint="default" w:ascii="ＭＳ 明朝" w:hAnsi="ＭＳ 明朝" w:eastAsia="ＭＳ 明朝"/>
                <w:color w:val="000000"/>
                <w:kern w:val="0"/>
                <w:sz w:val="20"/>
              </w:rPr>
              <w:t>23</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178</w:t>
            </w:r>
            <w:r>
              <w:rPr>
                <w:rFonts w:hint="eastAsia" w:ascii="ＭＳ 明朝" w:hAnsi="ＭＳ 明朝" w:eastAsia="ＭＳ 明朝"/>
                <w:color w:val="000000"/>
                <w:kern w:val="0"/>
                <w:sz w:val="20"/>
              </w:rPr>
              <w:t>号）に規定する休日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休日の設定が、円滑な農産物検査の実施を阻害するものでないこと。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1502"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w:t>
            </w:r>
            <w:r>
              <w:rPr>
                <w:rFonts w:hint="default" w:ascii="ＭＳ 明朝" w:hAnsi="ＭＳ 明朝" w:eastAsia="ＭＳ 明朝"/>
                <w:color w:val="000000"/>
                <w:kern w:val="0"/>
                <w:sz w:val="20"/>
              </w:rPr>
              <w:t>12</w:t>
            </w:r>
            <w:r>
              <w:rPr>
                <w:rFonts w:hint="eastAsia" w:ascii="ＭＳ 明朝" w:hAnsi="ＭＳ 明朝" w:eastAsia="ＭＳ 明朝"/>
                <w:color w:val="000000"/>
                <w:kern w:val="0"/>
                <w:sz w:val="20"/>
              </w:rPr>
              <w:t>月</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日から翌年１月３日まで</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その他○○が特に必要と認めた日</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rPr>
            </w:pPr>
            <w:r>
              <w:rPr>
                <w:rFonts w:hint="eastAsia" w:ascii="ＭＳ 明朝" w:hAnsi="ＭＳ 明朝" w:eastAsia="ＭＳ 明朝"/>
                <w:color w:val="000000"/>
                <w:kern w:val="0"/>
                <w:sz w:val="20"/>
              </w:rPr>
              <w:t>２　前項の休日は、職員の全部又は一部につき、季節その他の事由によって変更することができる。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eastAsia"/>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第３章　農産物検査を行う農産物の種類、区域等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（農産物検査を行う農産物の種類）</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本会は、○○、○○及び○○について農産物検査を行う。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農産物検査を行う農産物の種類の範囲を明確にしていること。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本会は、法第２条第３項（第４項）の品位等（成分）検査を行う。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農産物検査の登録の区分を明確にしていること。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品位等検査と成分検査の両方を行う場合には、それが明確になっていること。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（農産物検査を行う区域）</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本会が品位等検査を行う区域は、○○とする。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（農産物検査を行う区域）</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品位等検査に係る農産物検査を行う区域は、都道府県名とし、営業範囲を明確にしていること。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（農産物検査の請求の受付場所）</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農産物検査の請求の受付場所は、次のとおりとする。</w:t>
            </w:r>
          </w:p>
          <w:tbl>
            <w:tblPr>
              <w:tblStyle w:val="25"/>
              <w:tblW w:w="0" w:type="auto"/>
              <w:jc w:val="left"/>
              <w:tblInd w:w="170" w:type="dxa"/>
              <w:tblLayout w:type="fixed"/>
              <w:tblLook w:firstRow="1" w:lastRow="0" w:firstColumn="1" w:lastColumn="0" w:noHBand="0" w:noVBand="1" w:val="04A0"/>
            </w:tblPr>
            <w:tblGrid>
              <w:gridCol w:w="2237"/>
              <w:gridCol w:w="2509"/>
            </w:tblGrid>
            <w:tr>
              <w:trPr/>
              <w:tc>
                <w:tcPr>
                  <w:tcW w:w="2237" w:type="dxa"/>
                  <w:vAlign w:val="top"/>
                </w:tcPr>
                <w:p>
                  <w:pPr>
                    <w:pStyle w:val="0"/>
                    <w:kinsoku w:val="1"/>
                    <w:wordWrap w:val="0"/>
                    <w:overflowPunct w:val="1"/>
                    <w:autoSpaceDE w:val="0"/>
                    <w:autoSpaceDN w:val="0"/>
                    <w:jc w:val="center"/>
                    <w:rPr>
                      <w:rFonts w:hint="eastAsia"/>
                    </w:rPr>
                  </w:pPr>
                  <w:r>
                    <w:rPr>
                      <w:rFonts w:hint="eastAsia"/>
                      <w:sz w:val="21"/>
                    </w:rPr>
                    <w:t>名　称</w:t>
                  </w:r>
                </w:p>
              </w:tc>
              <w:tc>
                <w:tcPr>
                  <w:tcW w:w="2509" w:type="dxa"/>
                  <w:vAlign w:val="top"/>
                </w:tcPr>
                <w:p>
                  <w:pPr>
                    <w:pStyle w:val="0"/>
                    <w:kinsoku w:val="1"/>
                    <w:wordWrap w:val="0"/>
                    <w:overflowPunct w:val="1"/>
                    <w:autoSpaceDE w:val="0"/>
                    <w:autoSpaceDN w:val="0"/>
                    <w:jc w:val="center"/>
                    <w:rPr>
                      <w:rFonts w:hint="eastAsia"/>
                    </w:rPr>
                  </w:pPr>
                  <w:r>
                    <w:rPr>
                      <w:rFonts w:hint="eastAsia"/>
                      <w:sz w:val="21"/>
                    </w:rPr>
                    <w:t>所　在　地</w:t>
                  </w:r>
                </w:p>
              </w:tc>
            </w:tr>
            <w:tr>
              <w:trPr/>
              <w:tc>
                <w:tcPr>
                  <w:tcW w:w="2237" w:type="dxa"/>
                  <w:vAlign w:val="top"/>
                </w:tcPr>
                <w:p>
                  <w:pPr>
                    <w:pStyle w:val="0"/>
                    <w:kinsoku w:val="1"/>
                    <w:wordWrap w:val="0"/>
                    <w:overflowPunct w:val="1"/>
                    <w:autoSpaceDE w:val="0"/>
                    <w:autoSpaceDN w:val="0"/>
                    <w:jc w:val="left"/>
                    <w:rPr>
                      <w:rFonts w:hint="eastAsia"/>
                    </w:rPr>
                  </w:pPr>
                </w:p>
              </w:tc>
              <w:tc>
                <w:tcPr>
                  <w:tcW w:w="2509" w:type="dxa"/>
                  <w:vAlign w:val="top"/>
                </w:tcPr>
                <w:p>
                  <w:pPr>
                    <w:pStyle w:val="0"/>
                    <w:kinsoku w:val="1"/>
                    <w:wordWrap w:val="0"/>
                    <w:overflowPunct w:val="1"/>
                    <w:autoSpaceDE w:val="0"/>
                    <w:autoSpaceDN w:val="0"/>
                    <w:jc w:val="left"/>
                    <w:rPr>
                      <w:rFonts w:hint="eastAsia"/>
                    </w:rPr>
                  </w:pPr>
                </w:p>
              </w:tc>
            </w:tr>
            <w:tr>
              <w:trPr/>
              <w:tc>
                <w:tcPr>
                  <w:tcW w:w="2237" w:type="dxa"/>
                  <w:vAlign w:val="top"/>
                </w:tcPr>
                <w:p>
                  <w:pPr>
                    <w:pStyle w:val="0"/>
                    <w:kinsoku w:val="1"/>
                    <w:wordWrap w:val="0"/>
                    <w:overflowPunct w:val="1"/>
                    <w:autoSpaceDE w:val="0"/>
                    <w:autoSpaceDN w:val="0"/>
                    <w:jc w:val="left"/>
                    <w:rPr>
                      <w:rFonts w:hint="eastAsia"/>
                    </w:rPr>
                  </w:pPr>
                </w:p>
              </w:tc>
              <w:tc>
                <w:tcPr>
                  <w:tcW w:w="2509" w:type="dxa"/>
                  <w:vAlign w:val="top"/>
                </w:tcPr>
                <w:p>
                  <w:pPr>
                    <w:pStyle w:val="0"/>
                    <w:kinsoku w:val="1"/>
                    <w:wordWrap w:val="0"/>
                    <w:overflowPunct w:val="1"/>
                    <w:autoSpaceDE w:val="0"/>
                    <w:autoSpaceDN w:val="0"/>
                    <w:jc w:val="left"/>
                    <w:rPr>
                      <w:rFonts w:hint="eastAsia"/>
                    </w:rPr>
                  </w:pPr>
                </w:p>
              </w:tc>
            </w:tr>
            <w:tr>
              <w:trPr/>
              <w:tc>
                <w:tcPr>
                  <w:tcW w:w="2237" w:type="dxa"/>
                  <w:vAlign w:val="top"/>
                </w:tcPr>
                <w:p>
                  <w:pPr>
                    <w:pStyle w:val="0"/>
                    <w:kinsoku w:val="1"/>
                    <w:wordWrap w:val="0"/>
                    <w:overflowPunct w:val="1"/>
                    <w:autoSpaceDE w:val="0"/>
                    <w:autoSpaceDN w:val="0"/>
                    <w:jc w:val="left"/>
                    <w:rPr>
                      <w:rFonts w:hint="eastAsia"/>
                    </w:rPr>
                  </w:pPr>
                </w:p>
              </w:tc>
              <w:tc>
                <w:tcPr>
                  <w:tcW w:w="2509" w:type="dxa"/>
                  <w:vAlign w:val="top"/>
                </w:tcPr>
                <w:p>
                  <w:pPr>
                    <w:pStyle w:val="0"/>
                    <w:kinsoku w:val="1"/>
                    <w:wordWrap w:val="0"/>
                    <w:overflowPunct w:val="1"/>
                    <w:autoSpaceDE w:val="0"/>
                    <w:autoSpaceDN w:val="0"/>
                    <w:jc w:val="left"/>
                    <w:rPr>
                      <w:rFonts w:hint="eastAsia"/>
                    </w:rPr>
                  </w:pP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w:t>
            </w:r>
            <w:r>
              <w:rPr>
                <w:rFonts w:hint="eastAsia" w:ascii="ＭＳ 明朝" w:hAnsi="ＭＳ 明朝" w:eastAsia="ＭＳ 明朝"/>
                <w:color w:val="FF0000"/>
                <w:kern w:val="0"/>
                <w:sz w:val="20"/>
              </w:rPr>
              <w:t>なお、上記にかかわらず、全省庁統一の電子申請システ　ム（以下、「共通申請サービス」という。）を通じて請求　を受けることができる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農産物検査の請求の受付場所の設置が、受検者の利便に資するものであること。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成分検査を行う登録検査機関が、他の登録検査機関に検査請求の受付の事務を委託する場合は、当該委託先の農産物検査の請求の受付場所を記載する。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農産物検査を行う場所（以下「検査場所」という。）を管轄し、法第</w:t>
            </w:r>
            <w:r>
              <w:rPr>
                <w:rFonts w:hint="default" w:ascii="ＭＳ 明朝" w:hAnsi="ＭＳ 明朝" w:eastAsia="ＭＳ 明朝"/>
                <w:color w:val="000000"/>
                <w:kern w:val="0"/>
                <w:sz w:val="20"/>
              </w:rPr>
              <w:t>25</w:t>
            </w:r>
            <w:r>
              <w:rPr>
                <w:rFonts w:hint="eastAsia" w:ascii="ＭＳ 明朝" w:hAnsi="ＭＳ 明朝" w:eastAsia="ＭＳ 明朝"/>
                <w:color w:val="000000"/>
                <w:kern w:val="0"/>
                <w:sz w:val="20"/>
              </w:rPr>
              <w:t>条の帳簿の保存等農産物検査に関する事務を行う事務所、検査場所及び各検査場所に配置される法第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条第２項第１号の農産物検査員（以下「農産物検査員」という。）の数は、次に掲げるとおりとする。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bl>
            <w:tblPr>
              <w:tblStyle w:val="25"/>
              <w:tblW w:w="0" w:type="auto"/>
              <w:jc w:val="left"/>
              <w:tblInd w:w="120" w:type="dxa"/>
              <w:tblLayout w:type="fixed"/>
              <w:tblLook w:firstRow="1" w:lastRow="0" w:firstColumn="1" w:lastColumn="0" w:noHBand="0" w:noVBand="1" w:val="04A0"/>
            </w:tblPr>
            <w:tblGrid>
              <w:gridCol w:w="933"/>
              <w:gridCol w:w="933"/>
              <w:gridCol w:w="933"/>
              <w:gridCol w:w="839"/>
              <w:gridCol w:w="1158"/>
            </w:tblGrid>
            <w:tr>
              <w:trPr>
                <w:trHeight w:val="190" w:hRule="atLeast"/>
              </w:trPr>
              <w:tc>
                <w:tcPr>
                  <w:tcW w:w="186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rPr>
                  </w:pPr>
                  <w:r>
                    <w:rPr>
                      <w:rFonts w:hint="eastAsia"/>
                    </w:rPr>
                    <w:t>事務所</w:t>
                  </w:r>
                </w:p>
              </w:tc>
              <w:tc>
                <w:tcPr>
                  <w:tcW w:w="177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rPr>
                  </w:pPr>
                  <w:r>
                    <w:rPr>
                      <w:rFonts w:hint="eastAsia"/>
                    </w:rPr>
                    <w:t>検査場所</w:t>
                  </w:r>
                </w:p>
              </w:tc>
              <w:tc>
                <w:tcPr>
                  <w:tcW w:w="1158" w:type="dxa"/>
                  <w:vMerge w:val="restart"/>
                  <w:vAlign w:val="center"/>
                </w:tcPr>
                <w:p>
                  <w:pPr>
                    <w:pStyle w:val="0"/>
                    <w:kinsoku w:val="1"/>
                    <w:wordWrap w:val="0"/>
                    <w:overflowPunct w:val="1"/>
                    <w:autoSpaceDE w:val="0"/>
                    <w:autoSpaceDN w:val="0"/>
                    <w:jc w:val="center"/>
                    <w:rPr>
                      <w:rFonts w:hint="eastAsia"/>
                    </w:rPr>
                  </w:pPr>
                  <w:r>
                    <w:rPr>
                      <w:rFonts w:hint="eastAsia"/>
                    </w:rPr>
                    <w:t>農産物検査員数</w:t>
                  </w:r>
                </w:p>
              </w:tc>
            </w:tr>
            <w:tr>
              <w:trPr/>
              <w:tc>
                <w:tcPr>
                  <w:tcW w:w="933" w:type="dxa"/>
                  <w:vAlign w:val="top"/>
                </w:tcPr>
                <w:p>
                  <w:pPr>
                    <w:pStyle w:val="0"/>
                    <w:kinsoku w:val="1"/>
                    <w:wordWrap w:val="0"/>
                    <w:overflowPunct w:val="1"/>
                    <w:autoSpaceDE w:val="0"/>
                    <w:autoSpaceDN w:val="0"/>
                    <w:jc w:val="center"/>
                    <w:rPr>
                      <w:rFonts w:hint="eastAsia"/>
                    </w:rPr>
                  </w:pPr>
                  <w:r>
                    <w:rPr>
                      <w:rFonts w:hint="eastAsia"/>
                    </w:rPr>
                    <w:t>名称</w:t>
                  </w:r>
                </w:p>
              </w:tc>
              <w:tc>
                <w:tcPr>
                  <w:tcW w:w="933" w:type="dxa"/>
                  <w:vAlign w:val="top"/>
                </w:tcPr>
                <w:p>
                  <w:pPr>
                    <w:pStyle w:val="0"/>
                    <w:kinsoku w:val="1"/>
                    <w:wordWrap w:val="0"/>
                    <w:overflowPunct w:val="1"/>
                    <w:autoSpaceDE w:val="0"/>
                    <w:autoSpaceDN w:val="0"/>
                    <w:jc w:val="center"/>
                    <w:rPr>
                      <w:rFonts w:hint="eastAsia"/>
                    </w:rPr>
                  </w:pPr>
                  <w:r>
                    <w:rPr>
                      <w:rFonts w:hint="eastAsia"/>
                    </w:rPr>
                    <w:t>所在地</w:t>
                  </w:r>
                </w:p>
              </w:tc>
              <w:tc>
                <w:tcPr>
                  <w:tcW w:w="933" w:type="dxa"/>
                  <w:vAlign w:val="top"/>
                </w:tcPr>
                <w:p>
                  <w:pPr>
                    <w:pStyle w:val="0"/>
                    <w:kinsoku w:val="1"/>
                    <w:wordWrap w:val="0"/>
                    <w:overflowPunct w:val="1"/>
                    <w:autoSpaceDE w:val="0"/>
                    <w:autoSpaceDN w:val="0"/>
                    <w:jc w:val="center"/>
                    <w:rPr>
                      <w:rFonts w:hint="eastAsia"/>
                    </w:rPr>
                  </w:pPr>
                  <w:r>
                    <w:rPr>
                      <w:rFonts w:hint="eastAsia"/>
                    </w:rPr>
                    <w:t>名称</w:t>
                  </w:r>
                </w:p>
              </w:tc>
              <w:tc>
                <w:tcPr>
                  <w:tcW w:w="839" w:type="dxa"/>
                  <w:vAlign w:val="top"/>
                </w:tcPr>
                <w:p>
                  <w:pPr>
                    <w:pStyle w:val="0"/>
                    <w:kinsoku w:val="1"/>
                    <w:wordWrap w:val="0"/>
                    <w:overflowPunct w:val="1"/>
                    <w:autoSpaceDE w:val="0"/>
                    <w:autoSpaceDN w:val="0"/>
                    <w:jc w:val="center"/>
                    <w:rPr>
                      <w:rFonts w:hint="eastAsia"/>
                    </w:rPr>
                  </w:pPr>
                  <w:r>
                    <w:rPr>
                      <w:rFonts w:hint="eastAsia"/>
                    </w:rPr>
                    <w:t>所在地</w:t>
                  </w:r>
                </w:p>
              </w:tc>
              <w:tc>
                <w:tcPr>
                  <w:tcW w:w="1158" w:type="dxa"/>
                  <w:vMerge w:val="continue"/>
                  <w:vAlign w:val="center"/>
                </w:tcPr>
                <w:p>
                  <w:pPr>
                    <w:pStyle w:val="0"/>
                    <w:rPr>
                      <w:rFonts w:hint="eastAsia"/>
                    </w:rPr>
                  </w:pPr>
                </w:p>
              </w:tc>
            </w:tr>
            <w:tr>
              <w:trPr/>
              <w:tc>
                <w:tcPr>
                  <w:tcW w:w="933" w:type="dxa"/>
                  <w:vAlign w:val="top"/>
                </w:tcPr>
                <w:p>
                  <w:pPr>
                    <w:pStyle w:val="0"/>
                    <w:kinsoku w:val="1"/>
                    <w:wordWrap w:val="0"/>
                    <w:overflowPunct w:val="1"/>
                    <w:autoSpaceDE w:val="0"/>
                    <w:autoSpaceDN w:val="0"/>
                    <w:jc w:val="left"/>
                    <w:rPr>
                      <w:rFonts w:hint="eastAsia"/>
                    </w:rPr>
                  </w:pPr>
                </w:p>
                <w:p>
                  <w:pPr>
                    <w:pStyle w:val="0"/>
                    <w:kinsoku w:val="1"/>
                    <w:wordWrap w:val="0"/>
                    <w:overflowPunct w:val="1"/>
                    <w:autoSpaceDE w:val="0"/>
                    <w:autoSpaceDN w:val="0"/>
                    <w:jc w:val="left"/>
                    <w:rPr>
                      <w:rFonts w:hint="eastAsia"/>
                    </w:rPr>
                  </w:pPr>
                </w:p>
                <w:p>
                  <w:pPr>
                    <w:pStyle w:val="0"/>
                    <w:kinsoku w:val="1"/>
                    <w:wordWrap w:val="0"/>
                    <w:overflowPunct w:val="1"/>
                    <w:autoSpaceDE w:val="0"/>
                    <w:autoSpaceDN w:val="0"/>
                    <w:jc w:val="left"/>
                    <w:rPr>
                      <w:rFonts w:hint="eastAsia"/>
                    </w:rPr>
                  </w:pPr>
                </w:p>
                <w:p>
                  <w:pPr>
                    <w:pStyle w:val="0"/>
                    <w:kinsoku w:val="1"/>
                    <w:wordWrap w:val="0"/>
                    <w:overflowPunct w:val="1"/>
                    <w:autoSpaceDE w:val="0"/>
                    <w:autoSpaceDN w:val="0"/>
                    <w:jc w:val="left"/>
                    <w:rPr>
                      <w:rFonts w:hint="eastAsia"/>
                    </w:rPr>
                  </w:pPr>
                </w:p>
              </w:tc>
              <w:tc>
                <w:tcPr>
                  <w:tcW w:w="933" w:type="dxa"/>
                  <w:vAlign w:val="top"/>
                </w:tcPr>
                <w:p>
                  <w:pPr>
                    <w:pStyle w:val="0"/>
                    <w:kinsoku w:val="1"/>
                    <w:wordWrap w:val="0"/>
                    <w:overflowPunct w:val="1"/>
                    <w:autoSpaceDE w:val="0"/>
                    <w:autoSpaceDN w:val="0"/>
                    <w:jc w:val="left"/>
                    <w:rPr>
                      <w:rFonts w:hint="eastAsia"/>
                    </w:rPr>
                  </w:pPr>
                </w:p>
              </w:tc>
              <w:tc>
                <w:tcPr>
                  <w:tcW w:w="933" w:type="dxa"/>
                  <w:vAlign w:val="top"/>
                </w:tcPr>
                <w:p>
                  <w:pPr>
                    <w:pStyle w:val="0"/>
                    <w:kinsoku w:val="1"/>
                    <w:wordWrap w:val="0"/>
                    <w:overflowPunct w:val="1"/>
                    <w:autoSpaceDE w:val="0"/>
                    <w:autoSpaceDN w:val="0"/>
                    <w:jc w:val="left"/>
                    <w:rPr>
                      <w:rFonts w:hint="eastAsia"/>
                    </w:rPr>
                  </w:pPr>
                </w:p>
              </w:tc>
              <w:tc>
                <w:tcPr>
                  <w:tcW w:w="839" w:type="dxa"/>
                  <w:vAlign w:val="top"/>
                </w:tcPr>
                <w:p>
                  <w:pPr>
                    <w:pStyle w:val="0"/>
                    <w:kinsoku w:val="1"/>
                    <w:wordWrap w:val="0"/>
                    <w:overflowPunct w:val="1"/>
                    <w:autoSpaceDE w:val="0"/>
                    <w:autoSpaceDN w:val="0"/>
                    <w:jc w:val="left"/>
                    <w:rPr>
                      <w:rFonts w:hint="eastAsia"/>
                    </w:rPr>
                  </w:pPr>
                </w:p>
              </w:tc>
              <w:tc>
                <w:tcPr>
                  <w:tcW w:w="1158"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○名以上</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auto"/>
                <w:kern w:val="0"/>
                <w:sz w:val="20"/>
              </w:rPr>
            </w:pPr>
            <w:r>
              <w:rPr>
                <w:rFonts w:hint="eastAsia" w:ascii="ＭＳ 明朝" w:hAnsi="ＭＳ 明朝" w:eastAsia="ＭＳ 明朝"/>
                <w:color w:val="000000"/>
                <w:kern w:val="0"/>
                <w:sz w:val="20"/>
              </w:rPr>
              <w:t>１　検査場所</w:t>
            </w:r>
            <w:r>
              <w:rPr>
                <w:rFonts w:hint="eastAsia" w:ascii="ＭＳ 明朝" w:hAnsi="ＭＳ 明朝" w:eastAsia="ＭＳ 明朝"/>
                <w:color w:val="auto"/>
                <w:kern w:val="0"/>
                <w:sz w:val="20"/>
              </w:rPr>
              <w:t>（年間を通じて農産物検査を行う場所に限る。以下同じ。）は、法第</w:t>
            </w:r>
            <w:r>
              <w:rPr>
                <w:rFonts w:hint="default" w:ascii="ＭＳ 明朝" w:hAnsi="ＭＳ 明朝" w:eastAsia="ＭＳ 明朝"/>
                <w:color w:val="auto"/>
                <w:kern w:val="0"/>
                <w:sz w:val="20"/>
              </w:rPr>
              <w:t>17</w:t>
            </w:r>
            <w:r>
              <w:rPr>
                <w:rFonts w:hint="eastAsia" w:ascii="ＭＳ 明朝" w:hAnsi="ＭＳ 明朝" w:eastAsia="ＭＳ 明朝"/>
                <w:color w:val="auto"/>
                <w:kern w:val="0"/>
                <w:sz w:val="20"/>
              </w:rPr>
              <w:t>条第５項に定める区域ごとに行なえるようになっていること。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検査場所（受検品の持込み先）を明確にしていること。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当該検査場所において、農産物検査を適正かつ円滑に行い、検査した農産物が円滑に流通し得るものであること。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各事務所が管轄する検査場所は、当該事務所の管轄区域と照らして適切であること。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５　成分検査にあっては、事務所欄を省略して差し支えない</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６　成分検査にあっては、検査場所欄に測定所を記載し、農産物検査員数欄は、測定所別の農産物検査員数を記載すること。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７　成分検査にあっては、試料採取場所を設定し、受検品の持込先</w:t>
            </w:r>
            <w:r>
              <w:rPr>
                <w:rFonts w:hint="eastAsia" w:ascii="ＭＳ 明朝" w:hAnsi="ＭＳ 明朝" w:eastAsia="ＭＳ 明朝"/>
                <w:color w:val="auto"/>
                <w:kern w:val="0"/>
                <w:sz w:val="20"/>
              </w:rPr>
              <w:t>を明確にするこ</w:t>
            </w:r>
            <w:r>
              <w:rPr>
                <w:rFonts w:hint="eastAsia" w:ascii="ＭＳ 明朝" w:hAnsi="ＭＳ 明朝" w:eastAsia="ＭＳ 明朝"/>
                <w:color w:val="000000"/>
                <w:kern w:val="0"/>
                <w:sz w:val="20"/>
              </w:rPr>
              <w:t>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８　農産物検査員の配置が、農産物検査の実施見込数量、１人当たりの検査可能数量等に照らして適正であること。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第４章　農産物検査の業務の実施</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農産物検査は、第</w:t>
            </w:r>
            <w:r>
              <w:rPr>
                <w:rFonts w:hint="default" w:ascii="ＭＳ 明朝" w:hAnsi="ＭＳ 明朝" w:eastAsia="ＭＳ 明朝"/>
                <w:color w:val="000000"/>
                <w:kern w:val="0"/>
                <w:sz w:val="20"/>
              </w:rPr>
              <w:t>27</w:t>
            </w:r>
            <w:r>
              <w:rPr>
                <w:rFonts w:hint="eastAsia" w:ascii="ＭＳ 明朝" w:hAnsi="ＭＳ 明朝" w:eastAsia="ＭＳ 明朝"/>
                <w:color w:val="000000"/>
                <w:kern w:val="0"/>
                <w:sz w:val="20"/>
              </w:rPr>
              <w:t>条第１項の規定により会長が任命した農産物検査員が検査場所において行う。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農産物検査員は、自ら指示するところにより農産物検査の実施業務のうち、次に掲げる業務を補助者に行わせることができるものとする。</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検査試料の採取業務</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量目に係る検査における計量業務</w:t>
            </w:r>
          </w:p>
          <w:p>
            <w:pPr>
              <w:pStyle w:val="0"/>
              <w:suppressAutoHyphens w:val="1"/>
              <w:kinsoku w:val="1"/>
              <w:wordWrap w:val="0"/>
              <w:overflowPunct w:val="1"/>
              <w:autoSpaceDE w:val="0"/>
              <w:autoSpaceDN w:val="0"/>
              <w:adjustRightInd w:val="0"/>
              <w:spacing w:line="294" w:lineRule="atLeast"/>
              <w:ind w:left="376" w:leftChars="100" w:right="0" w:rightChars="0" w:hanging="183" w:hangingChars="1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農産物検査法施行規則（昭和</w:t>
            </w:r>
            <w:r>
              <w:rPr>
                <w:rFonts w:hint="eastAsia"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eastAsia"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eastAsia" w:ascii="ＭＳ 明朝" w:hAnsi="ＭＳ 明朝" w:eastAsia="ＭＳ 明朝"/>
                <w:color w:val="000000"/>
                <w:kern w:val="0"/>
                <w:sz w:val="20"/>
              </w:rPr>
              <w:t>10</w:t>
            </w:r>
            <w:r>
              <w:rPr>
                <w:rFonts w:hint="eastAsia" w:ascii="ＭＳ 明朝" w:hAnsi="ＭＳ 明朝" w:eastAsia="ＭＳ 明朝"/>
                <w:color w:val="000000"/>
                <w:kern w:val="0"/>
                <w:sz w:val="20"/>
              </w:rPr>
              <w:t>条第３項の</w:t>
            </w:r>
            <w:r>
              <w:rPr>
                <w:rFonts w:hint="eastAsia" w:ascii="ＭＳ 明朝" w:hAnsi="ＭＳ 明朝" w:eastAsia="ＭＳ 明朝"/>
                <w:color w:val="FF0000"/>
                <w:kern w:val="0"/>
                <w:sz w:val="20"/>
                <w:u w:val="single" w:color="auto"/>
              </w:rPr>
              <w:t>等級又は品位の測定結果の表示</w:t>
            </w:r>
            <w:r>
              <w:rPr>
                <w:rFonts w:hint="eastAsia" w:ascii="ＭＳ 明朝" w:hAnsi="ＭＳ 明朝" w:eastAsia="ＭＳ 明朝"/>
                <w:color w:val="000000"/>
                <w:kern w:val="0"/>
                <w:sz w:val="20"/>
              </w:rPr>
              <w:t>業務</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農産物検査は農産物検査員が行うものであることを明確にしていること。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12</w:t>
            </w:r>
            <w:r>
              <w:rPr>
                <w:rFonts w:hint="eastAsia" w:ascii="ＭＳ 明朝" w:hAnsi="ＭＳ 明朝" w:eastAsia="ＭＳ 明朝"/>
                <w:color w:val="000000"/>
                <w:kern w:val="0"/>
                <w:sz w:val="20"/>
              </w:rPr>
              <w:t>条　本会は、農産物検査の請求をしようとする者（以下「検査請求者」という。）から別記様式（</w:t>
            </w:r>
            <w:r>
              <w:rPr>
                <w:rFonts w:hint="eastAsia" w:ascii="ＭＳ 明朝" w:hAnsi="ＭＳ 明朝" w:eastAsia="ＭＳ 明朝"/>
                <w:color w:val="FF0000"/>
                <w:kern w:val="0"/>
                <w:sz w:val="20"/>
                <w:u w:val="single" w:color="auto"/>
              </w:rPr>
              <w:t>共通申請サービスによる検査請求を含む。以下同じ）</w:t>
            </w:r>
            <w:r>
              <w:rPr>
                <w:rFonts w:hint="eastAsia" w:ascii="ＭＳ 明朝" w:hAnsi="ＭＳ 明朝" w:eastAsia="ＭＳ 明朝"/>
                <w:color w:val="000000"/>
                <w:kern w:val="0"/>
                <w:sz w:val="20"/>
              </w:rPr>
              <w:t>による農産物検査に係る検査請求書（以下「検査請求書」という。）が提出されたときは、これを受理し、検査請求受付簿へ整理の上、農産物検査を行うものとする。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本会は、農産物検査に当たってはあらかじめ検査計画を策定するとともに、検査請求書の受理に当たっては、その内容を十分に確認するものとし、検査請求者の代理人が生産者に係る品位等検査の請求を行う場合にあっては、検査請求者からの品位等検査の請求に係る事務等を委任する旨の署名捺印のある文書があること又は検査請求者と代理人との間で、すでにその旨の署名捺印した文書がある場合にあっては、その文書をもって委任がなされていることを確認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本会は、特別な理由がない限り、検査請求を拒否することができないものとし、拒否する場合は、その理由を請求者に説明するものとする。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第１項の検査請求書及び検査請求受付簿は、○年間保存するものとする。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（農産物検査の受付の条件）</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eastAsia" w:ascii="ＭＳ 明朝" w:hAnsi="ＭＳ 明朝" w:eastAsia="ＭＳ 明朝"/>
                <w:color w:val="000000"/>
                <w:kern w:val="0"/>
                <w:sz w:val="20"/>
              </w:rPr>
              <w:t>13</w:t>
            </w:r>
            <w:r>
              <w:rPr>
                <w:rFonts w:hint="eastAsia" w:ascii="ＭＳ 明朝" w:hAnsi="ＭＳ 明朝" w:eastAsia="ＭＳ 明朝"/>
                <w:color w:val="000000"/>
                <w:kern w:val="0"/>
                <w:sz w:val="20"/>
              </w:rPr>
              <w:t>条　本会は、次に掲げる場合を除き、農産物検査員があらかじめ量目、荷造り及び包装について、</w:t>
            </w:r>
            <w:r>
              <w:rPr>
                <w:rFonts w:hint="eastAsia" w:ascii="ＭＳ 明朝" w:hAnsi="ＭＳ 明朝" w:eastAsia="ＭＳ 明朝"/>
                <w:color w:val="FF0000"/>
                <w:kern w:val="0"/>
                <w:sz w:val="20"/>
                <w:u w:val="single" w:color="auto"/>
              </w:rPr>
              <w:t>農産物規格規程に定められた</w:t>
            </w:r>
            <w:r>
              <w:rPr>
                <w:rFonts w:hint="eastAsia" w:ascii="ＭＳ 明朝" w:hAnsi="ＭＳ 明朝" w:eastAsia="ＭＳ 明朝"/>
                <w:color w:val="000000"/>
                <w:kern w:val="0"/>
                <w:sz w:val="20"/>
              </w:rPr>
              <w:t>規格に相当すると認めた農産物（包装されていないものにあっては、○○キログラム以上のものに限る。）でなければ、農産物検査を行わない。</w:t>
            </w:r>
            <w:r>
              <w:rPr>
                <w:rFonts w:hint="eastAsia" w:ascii="ＭＳ 明朝" w:hAnsi="ＭＳ 明朝" w:eastAsia="ＭＳ 明朝"/>
                <w:color w:val="000000"/>
                <w:kern w:val="0"/>
                <w:sz w:val="20"/>
              </w:rPr>
              <w:t xml:space="preserve"> </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一　量目についての条件を欠く米穀について、法第５条第２項（法第</w:t>
            </w:r>
            <w:r>
              <w:rPr>
                <w:rFonts w:hint="eastAsia" w:ascii="ＭＳ 明朝" w:hAnsi="ＭＳ 明朝" w:eastAsia="ＭＳ 明朝"/>
                <w:color w:val="000000"/>
                <w:kern w:val="0"/>
                <w:sz w:val="20"/>
              </w:rPr>
              <w:t>34</w:t>
            </w:r>
            <w:r>
              <w:rPr>
                <w:rFonts w:hint="eastAsia" w:ascii="ＭＳ 明朝" w:hAnsi="ＭＳ 明朝" w:eastAsia="ＭＳ 明朝"/>
                <w:color w:val="000000"/>
                <w:kern w:val="0"/>
                <w:sz w:val="20"/>
              </w:rPr>
              <w:t>条第３項において準用する場合を含む。）の品位等検査を受ける場合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二　法第</w:t>
            </w:r>
            <w:r>
              <w:rPr>
                <w:rFonts w:hint="eastAsia" w:ascii="ＭＳ 明朝" w:hAnsi="ＭＳ 明朝" w:eastAsia="ＭＳ 明朝"/>
                <w:color w:val="000000"/>
                <w:kern w:val="0"/>
                <w:sz w:val="20"/>
              </w:rPr>
              <w:t>15</w:t>
            </w:r>
            <w:r>
              <w:rPr>
                <w:rFonts w:hint="eastAsia" w:ascii="ＭＳ 明朝" w:hAnsi="ＭＳ 明朝" w:eastAsia="ＭＳ 明朝"/>
                <w:color w:val="000000"/>
                <w:kern w:val="0"/>
                <w:sz w:val="20"/>
              </w:rPr>
              <w:t>条第２項の品位等検査を受ける場合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法第</w:t>
            </w:r>
            <w:r>
              <w:rPr>
                <w:rFonts w:hint="eastAsia" w:ascii="ＭＳ 明朝" w:hAnsi="ＭＳ 明朝" w:eastAsia="ＭＳ 明朝"/>
                <w:color w:val="000000"/>
                <w:kern w:val="0"/>
                <w:sz w:val="20"/>
              </w:rPr>
              <w:t>34</w:t>
            </w:r>
            <w:r>
              <w:rPr>
                <w:rFonts w:hint="eastAsia" w:ascii="ＭＳ 明朝" w:hAnsi="ＭＳ 明朝" w:eastAsia="ＭＳ 明朝"/>
                <w:color w:val="000000"/>
                <w:kern w:val="0"/>
                <w:sz w:val="20"/>
              </w:rPr>
              <w:t>条第１項の品位等検査を行う場合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（農産物検査の請求の受理）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検査請求者によって差別を行っていないこと。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検査請求書の確認を行い、次に掲げる事項に留意すること。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（１）検査請求者が受検を希望する農産物検査の内容を明らかにしていること。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（２）代理人による検査請求が、検査請求者の委任に基づくものであること。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検査請求書が必要な期間（３年程度）適正に保存されるものであること。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auto"/>
                <w:kern w:val="0"/>
                <w:sz w:val="20"/>
              </w:rPr>
            </w:pPr>
            <w:r>
              <w:rPr>
                <w:rFonts w:hint="eastAsia" w:ascii="ＭＳ 明朝" w:hAnsi="ＭＳ 明朝" w:eastAsia="ＭＳ 明朝"/>
                <w:color w:val="auto"/>
                <w:kern w:val="0"/>
                <w:sz w:val="20"/>
              </w:rPr>
              <w:t>４　検査請求受付簿が必要ない場合は、検査請求受付簿に係　る記載を削除すること。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auto"/>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品位等検査の受付の条件を付す場合は、品位等検査を円滑かつ効率的に行う観点から設定されたものであること。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861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「農産物検査に関する基本要領」（平成</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年５月</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日付け</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総食第</w:t>
            </w:r>
            <w:r>
              <w:rPr>
                <w:rFonts w:hint="default" w:ascii="ＭＳ 明朝" w:hAnsi="ＭＳ 明朝" w:eastAsia="ＭＳ 明朝"/>
                <w:color w:val="000000"/>
                <w:kern w:val="0"/>
                <w:sz w:val="20"/>
              </w:rPr>
              <w:t>213</w:t>
            </w:r>
            <w:r>
              <w:rPr>
                <w:rFonts w:hint="eastAsia" w:ascii="ＭＳ 明朝" w:hAnsi="ＭＳ 明朝" w:eastAsia="ＭＳ 明朝"/>
                <w:color w:val="000000"/>
                <w:kern w:val="0"/>
                <w:sz w:val="20"/>
              </w:rPr>
              <w:t>号総合食料局長通知）Ⅰの第２の１の</w:t>
            </w:r>
            <w:r>
              <w:rPr>
                <w:rFonts w:hint="default" w:ascii="ＭＳ 明朝" w:hAnsi="ＭＳ 明朝" w:eastAsia="ＭＳ 明朝"/>
                <w:color w:val="000000"/>
                <w:kern w:val="0"/>
                <w:sz w:val="20"/>
              </w:rPr>
              <w:t>(2)</w:t>
            </w:r>
            <w:r>
              <w:rPr>
                <w:rFonts w:hint="eastAsia" w:ascii="ＭＳ 明朝" w:hAnsi="ＭＳ 明朝" w:eastAsia="ＭＳ 明朝"/>
                <w:color w:val="000000"/>
                <w:kern w:val="0"/>
                <w:sz w:val="20"/>
              </w:rPr>
              <w:t>に規定する米穀の産地品種銘柄の選択銘柄は、次（別表○）のとおりとする。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（水稲うるちもみ及び水稲うるち玄米）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（水稲もちもみ及び水稲もち玄米）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（醸造用玄米）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bl>
          <w:p>
            <w:pPr>
              <w:pStyle w:val="0"/>
              <w:suppressAutoHyphens w:val="1"/>
              <w:kinsoku w:val="1"/>
              <w:wordWrap w:val="0"/>
              <w:overflowPunct w:val="1"/>
              <w:autoSpaceDE w:val="0"/>
              <w:autoSpaceDN w:val="0"/>
              <w:adjustRightInd w:val="0"/>
              <w:spacing w:line="294" w:lineRule="atLeast"/>
              <w:ind w:left="90" w:leftChars="0" w:hanging="90" w:firstLineChars="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なお、上記事項を設定（変更を含む。）した場合、速やかにホームページに掲載するとともに、○○県知事に報告するものとする。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（産地品種銘柄の銘柄検査の受付の条件）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農産物検査に関する基本要領（平成</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年５月</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日付け</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総食第</w:t>
            </w:r>
            <w:r>
              <w:rPr>
                <w:rFonts w:hint="default" w:ascii="ＭＳ 明朝" w:hAnsi="ＭＳ 明朝" w:eastAsia="ＭＳ 明朝"/>
                <w:color w:val="000000"/>
                <w:kern w:val="0"/>
                <w:sz w:val="20"/>
              </w:rPr>
              <w:t>213</w:t>
            </w:r>
            <w:r>
              <w:rPr>
                <w:rFonts w:hint="eastAsia" w:ascii="ＭＳ 明朝" w:hAnsi="ＭＳ 明朝" w:eastAsia="ＭＳ 明朝"/>
                <w:color w:val="000000"/>
                <w:kern w:val="0"/>
                <w:sz w:val="20"/>
              </w:rPr>
              <w:t>号総合食料局長通知）Ⅰの第２の１の</w:t>
            </w:r>
            <w:r>
              <w:rPr>
                <w:rFonts w:hint="default" w:ascii="ＭＳ 明朝" w:hAnsi="ＭＳ 明朝" w:eastAsia="ＭＳ 明朝"/>
                <w:color w:val="000000"/>
                <w:kern w:val="0"/>
                <w:sz w:val="20"/>
              </w:rPr>
              <w:t>(2)</w:t>
            </w:r>
            <w:r>
              <w:rPr>
                <w:rFonts w:hint="eastAsia" w:ascii="ＭＳ 明朝" w:hAnsi="ＭＳ 明朝" w:eastAsia="ＭＳ 明朝"/>
                <w:color w:val="000000"/>
                <w:kern w:val="0"/>
                <w:sz w:val="20"/>
              </w:rPr>
              <w:t>に規定する選択銘柄を記載すること。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米（「水稲うるちもみ及び水稲うるち玄米」、「水稲もちもみ及び水稲もち玄米」、「醸造用玄米」）麦（「普通小麦」、「普通小粒大麦」、「普通大粒大麦」、「普通はだか麦」）、大豆（「大粒大豆及び中粒大豆」、「小粒大豆及び極小粒大豆」）そば別に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選択銘柄については、ホームページに掲載する等関係者が随時縦覧できるよう必要な措置を講じること。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ホームページの掲載等に当たっては、当該選択銘柄の初検査実施見込み時期の約１か月前に掲載し、関係者に周知することに努めること。</w:t>
            </w:r>
          </w:p>
          <w:p>
            <w:pPr>
              <w:pStyle w:val="0"/>
              <w:suppressAutoHyphens w:val="1"/>
              <w:kinsoku w:val="1"/>
              <w:wordWrap w:val="0"/>
              <w:overflowPunct w:val="1"/>
              <w:autoSpaceDE w:val="0"/>
              <w:autoSpaceDN w:val="0"/>
              <w:adjustRightInd w:val="0"/>
              <w:spacing w:line="294" w:lineRule="atLeast"/>
              <w:ind w:leftChars="0" w:hanging="60" w:hangingChars="33"/>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５　登録検査機関の区域に居住する生産者が隣接する都府県において農産物を生産した場合の銘柄検査に限って、登録検査機関が当該隣接都府県を検査の区域として、検査が行える農産物検査員がいることを前提に、必要と判断した場合、検査を行う隣接府県の銘柄を記載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【例】</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登録検査機関住所：○○県</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、隣接：△△県</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道府県</w:t>
                  </w:r>
                </w:p>
              </w:tc>
              <w:tc>
                <w:tcPr>
                  <w:tcW w:w="3186" w:type="dxa"/>
                  <w:vAlign w:val="top"/>
                </w:tcPr>
                <w:p>
                  <w:pPr>
                    <w:pStyle w:val="0"/>
                    <w:kinsoku w:val="1"/>
                    <w:wordWrap w:val="0"/>
                    <w:overflowPunct w:val="1"/>
                    <w:autoSpaceDE w:val="0"/>
                    <w:autoSpaceDN w:val="0"/>
                    <w:jc w:val="center"/>
                    <w:rPr>
                      <w:rFonts w:hint="eastAsia"/>
                    </w:rPr>
                  </w:pPr>
                  <w:r>
                    <w:rPr>
                      <w:rFonts w:hint="eastAsia" w:ascii="ＭＳ 明朝" w:hAnsi="ＭＳ 明朝" w:eastAsia="ＭＳ 明朝"/>
                      <w:color w:val="000000"/>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r>
                    <w:rPr>
                      <w:rFonts w:hint="default" w:ascii="ＭＳ 明朝" w:hAnsi="ＭＳ 明朝" w:eastAsia="ＭＳ 明朝"/>
                      <w:color w:val="000000"/>
                      <w:kern w:val="0"/>
                      <w:sz w:val="20"/>
                    </w:rPr>
                    <w:t xml:space="preserve"> </w:t>
                  </w:r>
                  <w:r>
                    <w:rPr>
                      <w:rFonts w:hint="eastAsia" w:ascii="ＭＳ 明朝" w:hAnsi="ＭＳ 明朝" w:eastAsia="ＭＳ 明朝"/>
                      <w:color w:val="000000"/>
                      <w:kern w:val="0"/>
                      <w:sz w:val="20"/>
                    </w:rPr>
                    <w:t>○○○</w:t>
                  </w:r>
                </w:p>
              </w:tc>
            </w:tr>
            <w:tr>
              <w:trPr>
                <w:trHeight w:val="277" w:hRule="atLeast"/>
              </w:trPr>
              <w:tc>
                <w:tcPr>
                  <w:tcW w:w="144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△△県</w:t>
                  </w:r>
                </w:p>
              </w:tc>
              <w:tc>
                <w:tcPr>
                  <w:tcW w:w="3186" w:type="dxa"/>
                  <w:vAlign w:val="top"/>
                </w:tcPr>
                <w:p>
                  <w:pPr>
                    <w:pStyle w:val="0"/>
                    <w:kinsoku w:val="1"/>
                    <w:wordWrap w:val="0"/>
                    <w:overflowPunct w:val="1"/>
                    <w:autoSpaceDE w:val="0"/>
                    <w:autoSpaceDN w:val="0"/>
                    <w:jc w:val="left"/>
                    <w:rPr>
                      <w:rFonts w:hint="eastAsia"/>
                    </w:rPr>
                  </w:pPr>
                  <w:r>
                    <w:rPr>
                      <w:rFonts w:hint="eastAsia" w:ascii="ＭＳ 明朝" w:hAnsi="ＭＳ 明朝" w:eastAsia="ＭＳ 明朝"/>
                      <w:color w:val="000000"/>
                      <w:kern w:val="0"/>
                      <w:sz w:val="20"/>
                    </w:rPr>
                    <w:t>△△△</w:t>
                  </w:r>
                </w:p>
              </w:tc>
            </w:tr>
          </w:tbl>
          <w:p>
            <w:pPr>
              <w:pStyle w:val="0"/>
              <w:tabs>
                <w:tab w:val="left" w:leader="none" w:pos="1937"/>
              </w:tabs>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　△△県の銘柄の検査は、○○県に居住する生産者が生産した農産物に限る。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rPr>
            </w:pPr>
            <w:r>
              <w:rPr>
                <w:rFonts w:hint="eastAsia" w:ascii="ＭＳ 明朝" w:hAnsi="ＭＳ 明朝" w:eastAsia="ＭＳ 明朝"/>
                <w:color w:val="000000"/>
                <w:kern w:val="0"/>
                <w:sz w:val="20"/>
              </w:rPr>
              <w:t>６　「次」を「別表○」とすることで、農産物検査業務規程の本文と別記することが可能とする。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14</w:t>
            </w:r>
            <w:r>
              <w:rPr>
                <w:rFonts w:hint="eastAsia" w:ascii="ＭＳ 明朝" w:hAnsi="ＭＳ 明朝" w:eastAsia="ＭＳ 明朝"/>
                <w:color w:val="000000"/>
                <w:kern w:val="0"/>
                <w:sz w:val="20"/>
              </w:rPr>
              <w:t>条　本会は、請求者から検査請求書が提出されたときは、農産物検査を円滑かつ効率的に行う観点から、請求者に対して、次に掲げる受検のための準備を求めるものとする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受検品に関する情報の提供（品種別作付面積等）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検査ロット編成時の必要な荷役労働力の提供等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規則第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条第３項の様式の添付及び生産者記入欄の記載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請求者に対する要求が、検査を円滑かつ効率的に行う観点から妥当なものであること。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15</w:t>
            </w:r>
            <w:r>
              <w:rPr>
                <w:rFonts w:hint="eastAsia" w:ascii="ＭＳ 明朝" w:hAnsi="ＭＳ 明朝" w:eastAsia="ＭＳ 明朝"/>
                <w:color w:val="000000"/>
                <w:kern w:val="0"/>
                <w:sz w:val="20"/>
              </w:rPr>
              <w:t>条　本会は、法第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条の規定に基づき、成分検査に関する業務のうち次に掲げる業務を他の登録検査機関に委託することができるものとし、当該委託する業務については、本会が示す準則に基づき行わせるものとする。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検査試料の採取、検査証明の業務及び試料の送付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2" w:leftChars="0" w:firstLine="0" w:firstLineChars="0"/>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成分検査を行う登録検査機関にあっては、成分検査に関する業務の委託範囲を明確にするとともに、当該業務を委託する者は受託者に対して示す準則に基づき行わせることを規定していること。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成分検査に関する業務を受託する登録検査機関にあっては、受託して行う業務の範囲を明確にするとともに、当該業務を委託する者が示す準則に基づき当該業務を行うことを規定していること。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16</w:t>
            </w:r>
            <w:r>
              <w:rPr>
                <w:rFonts w:hint="eastAsia" w:ascii="ＭＳ 明朝" w:hAnsi="ＭＳ 明朝" w:eastAsia="ＭＳ 明朝"/>
                <w:color w:val="000000"/>
                <w:kern w:val="0"/>
                <w:sz w:val="20"/>
              </w:rPr>
              <w:t>条　検査試料の採取は、農林水産大臣が定める標準抽出方法に従って行うものとする。</w:t>
            </w:r>
          </w:p>
          <w:tbl>
            <w:tblPr>
              <w:tblStyle w:val="25"/>
              <w:tblW w:w="0" w:type="auto"/>
              <w:jc w:val="left"/>
              <w:tblInd w:w="178" w:type="dxa"/>
              <w:tblLayout w:type="fixed"/>
              <w:tblLook w:firstRow="1" w:lastRow="0" w:firstColumn="1" w:lastColumn="0" w:noHBand="0" w:noVBand="1" w:val="04A0"/>
            </w:tblPr>
            <w:tblGrid>
              <w:gridCol w:w="4665"/>
            </w:tblGrid>
            <w:tr>
              <w:trPr/>
              <w:tc>
                <w:tcPr>
                  <w:tcW w:w="466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kinsoku w:val="1"/>
                    <w:wordWrap w:val="0"/>
                    <w:overflowPunct w:val="1"/>
                    <w:autoSpaceDE w:val="0"/>
                    <w:autoSpaceDN w:val="0"/>
                    <w:jc w:val="left"/>
                    <w:rPr>
                      <w:rFonts w:hint="eastAsia"/>
                      <w:sz w:val="20"/>
                    </w:rPr>
                  </w:pPr>
                  <w:r>
                    <w:rPr>
                      <w:rFonts w:hint="eastAsia"/>
                      <w:sz w:val="20"/>
                    </w:rPr>
                    <w:t>〔外国産農産物に係る品位等検査及び成分検査を行う場合〕</w:t>
                  </w:r>
                </w:p>
                <w:p>
                  <w:pPr>
                    <w:pStyle w:val="0"/>
                    <w:kinsoku w:val="1"/>
                    <w:wordWrap w:val="0"/>
                    <w:overflowPunct w:val="1"/>
                    <w:autoSpaceDE w:val="0"/>
                    <w:autoSpaceDN w:val="0"/>
                    <w:jc w:val="left"/>
                    <w:rPr>
                      <w:rFonts w:hint="eastAsia"/>
                      <w:sz w:val="20"/>
                    </w:rPr>
                  </w:pPr>
                  <w:r>
                    <w:rPr>
                      <w:rFonts w:hint="eastAsia"/>
                      <w:sz w:val="20"/>
                    </w:rPr>
                    <w:t>２　採取した試料は、本会が検査後○年間保存するものとする。</w:t>
                  </w:r>
                </w:p>
                <w:p>
                  <w:pPr>
                    <w:pStyle w:val="0"/>
                    <w:kinsoku w:val="1"/>
                    <w:wordWrap w:val="0"/>
                    <w:overflowPunct w:val="1"/>
                    <w:autoSpaceDE w:val="0"/>
                    <w:autoSpaceDN w:val="0"/>
                    <w:jc w:val="left"/>
                    <w:rPr>
                      <w:rFonts w:hint="eastAsia"/>
                      <w:sz w:val="18"/>
                    </w:rPr>
                  </w:pPr>
                  <w:r>
                    <w:rPr>
                      <w:rFonts w:hint="eastAsia"/>
                      <w:sz w:val="20"/>
                    </w:rPr>
                    <w:t>３　保管期間を経過した採取試料は、検査請求者の不利益とならない範囲内で、本会において処分するものとする。</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標準抽出方法に従って行うことを規定していること。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外国産農産物に係る品位等検査及び成分検査の場合、採取した検査試料の保管管理について規定していること。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　農産物検査法施行規則に基づき標準抽出方法を定める件（平成</w:t>
            </w:r>
            <w:r>
              <w:rPr>
                <w:rFonts w:hint="eastAsia" w:ascii="ＭＳ 明朝" w:hAnsi="ＭＳ 明朝" w:eastAsia="ＭＳ 明朝"/>
                <w:color w:val="000000"/>
                <w:kern w:val="0"/>
                <w:sz w:val="20"/>
              </w:rPr>
              <w:t>13</w:t>
            </w:r>
            <w:r>
              <w:rPr>
                <w:rFonts w:hint="eastAsia" w:ascii="ＭＳ 明朝" w:hAnsi="ＭＳ 明朝" w:eastAsia="ＭＳ 明朝"/>
                <w:color w:val="000000"/>
                <w:kern w:val="0"/>
                <w:sz w:val="20"/>
              </w:rPr>
              <w:t>年３月</w:t>
            </w:r>
            <w:r>
              <w:rPr>
                <w:rFonts w:hint="eastAsia" w:ascii="ＭＳ 明朝" w:hAnsi="ＭＳ 明朝" w:eastAsia="ＭＳ 明朝"/>
                <w:color w:val="000000"/>
                <w:kern w:val="0"/>
                <w:sz w:val="20"/>
              </w:rPr>
              <w:t>22</w:t>
            </w:r>
            <w:r>
              <w:rPr>
                <w:rFonts w:hint="eastAsia" w:ascii="ＭＳ 明朝" w:hAnsi="ＭＳ 明朝" w:eastAsia="ＭＳ 明朝"/>
                <w:color w:val="000000"/>
                <w:kern w:val="0"/>
                <w:sz w:val="20"/>
              </w:rPr>
              <w:t>日農林水産省告示。以下「標準抽出方法を定める告示」という。）第一の一の（三）及び二の（二）に定められた大規模乾燥調製貯蔵施設等における試料が特に均一であると認められると判断した検査荷口についての簡素化された抽出方法（以下「簡素化された抽出方法」）によるサンプリングの実施方法について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（３－１　判断する基準について）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①　二項分布</w:t>
            </w:r>
            <w:r>
              <w:rPr>
                <w:rFonts w:hint="eastAsia" w:ascii="ＭＳ 明朝" w:hAnsi="ＭＳ 明朝" w:eastAsia="ＭＳ 明朝"/>
                <w:color w:val="FF0000"/>
                <w:kern w:val="0"/>
                <w:sz w:val="20"/>
              </w:rPr>
              <w:t>等</w:t>
            </w:r>
            <w:r>
              <w:rPr>
                <w:rFonts w:hint="eastAsia" w:ascii="ＭＳ 明朝" w:hAnsi="ＭＳ 明朝" w:eastAsia="ＭＳ 明朝"/>
                <w:color w:val="000000"/>
                <w:kern w:val="0"/>
                <w:sz w:val="20"/>
              </w:rPr>
              <w:t>で算出された着色粒</w:t>
            </w:r>
            <w:r>
              <w:rPr>
                <w:rFonts w:hint="eastAsia" w:ascii="ＭＳ 明朝" w:hAnsi="ＭＳ 明朝" w:eastAsia="ＭＳ 明朝"/>
                <w:color w:val="FF0000"/>
                <w:kern w:val="0"/>
                <w:sz w:val="20"/>
              </w:rPr>
              <w:t>等</w:t>
            </w:r>
            <w:r>
              <w:rPr>
                <w:rFonts w:hint="eastAsia" w:ascii="ＭＳ 明朝" w:hAnsi="ＭＳ 明朝" w:eastAsia="ＭＳ 明朝"/>
                <w:color w:val="000000"/>
                <w:kern w:val="0"/>
                <w:sz w:val="20"/>
              </w:rPr>
              <w:t>の混入確率と穀粒判別器の着色粒</w:t>
            </w:r>
            <w:r>
              <w:rPr>
                <w:rFonts w:hint="eastAsia" w:ascii="ＭＳ 明朝" w:hAnsi="ＭＳ 明朝" w:eastAsia="ＭＳ 明朝"/>
                <w:color w:val="FF0000"/>
                <w:kern w:val="0"/>
                <w:sz w:val="20"/>
              </w:rPr>
              <w:t>等</w:t>
            </w:r>
            <w:r>
              <w:rPr>
                <w:rFonts w:hint="eastAsia" w:ascii="ＭＳ 明朝" w:hAnsi="ＭＳ 明朝" w:eastAsia="ＭＳ 明朝"/>
                <w:color w:val="000000"/>
                <w:kern w:val="0"/>
                <w:sz w:val="20"/>
              </w:rPr>
              <w:t>の測定値を比較し、均一であること。</w:t>
            </w:r>
          </w:p>
          <w:p>
            <w:pPr>
              <w:pStyle w:val="0"/>
              <w:suppressAutoHyphens w:val="1"/>
              <w:kinsoku w:val="1"/>
              <w:wordWrap w:val="0"/>
              <w:overflowPunct w:val="1"/>
              <w:autoSpaceDE w:val="0"/>
              <w:autoSpaceDN w:val="0"/>
              <w:adjustRightInd w:val="0"/>
              <w:spacing w:line="294" w:lineRule="atLeast"/>
              <w:ind w:firstLine="183" w:firstLine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②　</w:t>
            </w:r>
            <w:r>
              <w:rPr>
                <w:rFonts w:hint="eastAsia" w:ascii="ＭＳ 明朝" w:hAnsi="ＭＳ 明朝" w:eastAsia="ＭＳ 明朝"/>
                <w:color w:val="FF0000"/>
                <w:kern w:val="0"/>
                <w:sz w:val="20"/>
              </w:rPr>
              <w:t>穀粒判別器の測定値に</w:t>
            </w:r>
            <w:r>
              <w:rPr>
                <w:rFonts w:hint="eastAsia" w:ascii="ＭＳ 明朝" w:hAnsi="ＭＳ 明朝" w:eastAsia="ＭＳ 明朝"/>
                <w:color w:val="000000"/>
                <w:kern w:val="0"/>
                <w:sz w:val="20"/>
              </w:rPr>
              <w:t>特定の傾向がないこと。</w:t>
            </w:r>
          </w:p>
          <w:p>
            <w:pPr>
              <w:pStyle w:val="0"/>
              <w:suppressAutoHyphens w:val="1"/>
              <w:kinsoku w:val="1"/>
              <w:wordWrap w:val="0"/>
              <w:overflowPunct w:val="1"/>
              <w:autoSpaceDE w:val="0"/>
              <w:autoSpaceDN w:val="0"/>
              <w:adjustRightInd w:val="0"/>
              <w:spacing w:line="294" w:lineRule="atLeast"/>
              <w:ind w:left="386" w:leftChars="200" w:firstLine="183" w:firstLine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なお、「特定の傾向」とは、採取した</w:t>
            </w:r>
            <w:r>
              <w:rPr>
                <w:rFonts w:hint="eastAsia" w:ascii="ＭＳ 明朝" w:hAnsi="ＭＳ 明朝" w:eastAsia="ＭＳ 明朝"/>
                <w:color w:val="000000"/>
                <w:kern w:val="0"/>
                <w:sz w:val="20"/>
              </w:rPr>
              <w:t>20</w:t>
            </w:r>
            <w:r>
              <w:rPr>
                <w:rFonts w:hint="eastAsia" w:ascii="ＭＳ 明朝" w:hAnsi="ＭＳ 明朝" w:eastAsia="ＭＳ 明朝"/>
                <w:color w:val="000000"/>
                <w:kern w:val="0"/>
                <w:sz w:val="20"/>
              </w:rPr>
              <w:t>試料において、着色粒</w:t>
            </w:r>
            <w:r>
              <w:rPr>
                <w:rFonts w:hint="eastAsia" w:ascii="ＭＳ 明朝" w:hAnsi="ＭＳ 明朝" w:eastAsia="ＭＳ 明朝"/>
                <w:color w:val="FF0000"/>
                <w:kern w:val="0"/>
                <w:sz w:val="20"/>
              </w:rPr>
              <w:t>等</w:t>
            </w:r>
            <w:r>
              <w:rPr>
                <w:rFonts w:hint="eastAsia" w:ascii="ＭＳ 明朝" w:hAnsi="ＭＳ 明朝" w:eastAsia="ＭＳ 明朝"/>
                <w:color w:val="000000"/>
                <w:kern w:val="0"/>
                <w:sz w:val="20"/>
              </w:rPr>
              <w:t>が時間軸により、混入割合に増加傾向又は減少傾向があると判断される状態をいう。</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（３－２　施設の公表について）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③　試料が特に均一であると判断された施設名並びに、都道府県及び市町村を記載した所在地を整理し、ホームページに掲載する等関係者が随時縦覧できるよう必要な措置を講じること。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④　上記③を整理する際に、判断した試料データ及び判断を行った者等根拠資料の保存を規定すること。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（３－３</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検査方法について）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⑤　簡素化された抽出方法により実施する条件とその方法を規定すること。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⑥　均一性が認められない場合は、標準抽出方法を定める告示第一の一の（一）及び（二）並びに第二の（一）に定められた抽出方法によることを規定すること。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⑦　均一性が確認された大規模乾燥調製貯蔵施設等においては、検査請求を受けたロットから採取したサンプルについて、合成・縮分する前に品質が均一で特定の傾向がないか確認する旨を規定すること。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（３－４</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試料の採取方法について）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⑧　試料が特に均一と判断されたロットからの試料の採取方法を規定すること。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0" w:leftChars="0" w:right="0" w:rightChars="0" w:firstLine="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ind w:left="200" w:leftChars="0" w:right="0" w:rightChars="0" w:hanging="20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　農産物検査員は、</w:t>
            </w:r>
            <w:r>
              <w:rPr>
                <w:rFonts w:hint="eastAsia"/>
                <w:color w:val="000000" w:themeColor="text1"/>
                <w:sz w:val="20"/>
                <w:u w:val="none" w:color="FF0000"/>
              </w:rPr>
              <w:t>検査場所の環境が第</w:t>
            </w:r>
            <w:r>
              <w:rPr>
                <w:rFonts w:hint="eastAsia"/>
                <w:color w:val="000000" w:themeColor="text1"/>
                <w:sz w:val="20"/>
                <w:u w:val="none" w:color="FF0000"/>
              </w:rPr>
              <w:t>35</w:t>
            </w:r>
            <w:r>
              <w:rPr>
                <w:rFonts w:hint="eastAsia"/>
                <w:color w:val="000000" w:themeColor="text1"/>
                <w:sz w:val="20"/>
                <w:u w:val="none" w:color="FF0000"/>
              </w:rPr>
              <w:t>条第２項の環境点検により適切に維持・管理されていることを確認した上で、</w:t>
            </w:r>
            <w:r>
              <w:rPr>
                <w:rFonts w:hint="eastAsia" w:ascii="ＭＳ 明朝" w:hAnsi="ＭＳ 明朝" w:eastAsia="ＭＳ 明朝"/>
                <w:color w:val="000000" w:themeColor="text1"/>
                <w:kern w:val="0"/>
                <w:sz w:val="20"/>
                <w:u w:val="none" w:color="auto"/>
              </w:rPr>
              <w:t>規則第</w:t>
            </w:r>
            <w:r>
              <w:rPr>
                <w:rFonts w:hint="default" w:ascii="ＭＳ 明朝" w:hAnsi="ＭＳ 明朝" w:eastAsia="ＭＳ 明朝"/>
                <w:color w:val="000000" w:themeColor="text1"/>
                <w:kern w:val="0"/>
                <w:sz w:val="20"/>
                <w:u w:val="none" w:color="auto"/>
              </w:rPr>
              <w:t>16</w:t>
            </w:r>
            <w:r>
              <w:rPr>
                <w:rFonts w:hint="eastAsia" w:ascii="ＭＳ 明朝" w:hAnsi="ＭＳ 明朝" w:eastAsia="ＭＳ 明朝"/>
                <w:color w:val="000000" w:themeColor="text1"/>
                <w:kern w:val="0"/>
                <w:sz w:val="20"/>
                <w:u w:val="none" w:color="auto"/>
              </w:rPr>
              <w:t>条に規定する機械器具その他の設備</w:t>
            </w: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35</w:t>
            </w:r>
            <w:r>
              <w:rPr>
                <w:rFonts w:hint="eastAsia" w:ascii="ＭＳ 明朝" w:hAnsi="ＭＳ 明朝" w:eastAsia="ＭＳ 明朝"/>
                <w:color w:val="000000" w:themeColor="text1"/>
                <w:kern w:val="0"/>
                <w:sz w:val="20"/>
              </w:rPr>
              <w:t>条において「機械器具等」という。）を用い、農林水産大臣が定める鑑定方法及び標準計測方法に定めるところにより、検査を適正かつ円滑に行うものとする。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鑑定方法及び標準計測方法に従って適正に行うことを規定していること。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ascii="ＭＳ 明朝" w:hAnsi="ＭＳ 明朝" w:eastAsia="ＭＳ 明朝"/>
                <w:color w:val="000000" w:themeColor="text1"/>
                <w:kern w:val="0"/>
                <w:sz w:val="20"/>
              </w:rPr>
              <w:t>　</w:t>
            </w:r>
            <w:r>
              <w:rPr>
                <w:rFonts w:hint="eastAsia"/>
                <w:color w:val="000000" w:themeColor="text1"/>
                <w:sz w:val="20"/>
                <w:u w:val="none" w:color="FF0000"/>
              </w:rPr>
              <w:t>国内産農産物の品位等検査を行う登録検査機関にあっては、検査場所（飼料用もみ又は飼料用玄米のみに限られる場合を除く。以下同じ。）の環境点検の確認を行う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color w:val="000000" w:themeColor="text1"/>
                <w:sz w:val="20"/>
                <w:u w:val="none" w:color="FF0000"/>
              </w:rPr>
              <w:t>ことを規定するとともに、実施方法を別に規定していること。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18</w:t>
            </w:r>
            <w:r>
              <w:rPr>
                <w:rFonts w:hint="eastAsia" w:ascii="ＭＳ 明朝" w:hAnsi="ＭＳ 明朝" w:eastAsia="ＭＳ 明朝"/>
                <w:color w:val="000000"/>
                <w:kern w:val="0"/>
                <w:sz w:val="20"/>
              </w:rPr>
              <w:t>条　検査証明は、法第</w:t>
            </w:r>
            <w:r>
              <w:rPr>
                <w:rFonts w:hint="default" w:ascii="ＭＳ 明朝" w:hAnsi="ＭＳ 明朝" w:eastAsia="ＭＳ 明朝"/>
                <w:color w:val="000000"/>
                <w:kern w:val="0"/>
                <w:sz w:val="20"/>
              </w:rPr>
              <w:t>13</w:t>
            </w:r>
            <w:r>
              <w:rPr>
                <w:rFonts w:hint="eastAsia" w:ascii="ＭＳ 明朝" w:hAnsi="ＭＳ 明朝" w:eastAsia="ＭＳ 明朝"/>
                <w:color w:val="000000"/>
                <w:kern w:val="0"/>
                <w:sz w:val="20"/>
              </w:rPr>
              <w:t>条第１項及び規則第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条の規定に従って行うものとする。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検査証明は、法令の定めるところにより行うことを規定していること。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２　検査証明書又は検査証明事項をＱＲコード、バーコード、ＲＦＩＤ等照会コードを用いて電子情報処理組織を使用する方法により提供する場合は、その取扱方法を業務規程に規定すること。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３</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上記２を規定する場合には、必要な情報セキュリティ対策を講じ、その内容を業務規程とともに保存すること。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w:t>
            </w:r>
            <w:r>
              <w:rPr>
                <w:rFonts w:hint="eastAsia" w:ascii="ＭＳ 明朝" w:hAnsi="ＭＳ 明朝" w:eastAsia="ＭＳ 明朝"/>
                <w:color w:val="000000"/>
                <w:kern w:val="0"/>
                <w:sz w:val="20"/>
              </w:rPr>
              <w:t xml:space="preserve"> </w:t>
            </w:r>
            <w:r>
              <w:rPr>
                <w:rFonts w:hint="eastAsia" w:ascii="ＭＳ 明朝" w:hAnsi="ＭＳ 明朝" w:eastAsia="ＭＳ 明朝"/>
                <w:color w:val="000000"/>
                <w:kern w:val="0"/>
                <w:sz w:val="20"/>
              </w:rPr>
              <w:t>あらかじめ等級証印を印刷した紙袋を農産物検査で使用する場合には、その在庫状況も含めて登録検査機関として適切な管理を行うことを規定していること。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（農産物検査の結果の通知）</w:t>
            </w:r>
          </w:p>
          <w:p>
            <w:pPr>
              <w:pStyle w:val="0"/>
              <w:suppressAutoHyphens w:val="1"/>
              <w:kinsoku w:val="1"/>
              <w:wordWrap w:val="0"/>
              <w:overflowPunct w:val="1"/>
              <w:autoSpaceDE w:val="0"/>
              <w:autoSpaceDN w:val="0"/>
              <w:adjustRightInd w:val="0"/>
              <w:spacing w:line="294" w:lineRule="atLeast"/>
              <w:ind w:left="283" w:hanging="283" w:hangingChars="155"/>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19</w:t>
            </w:r>
            <w:r>
              <w:rPr>
                <w:rFonts w:hint="eastAsia" w:ascii="ＭＳ 明朝" w:hAnsi="ＭＳ 明朝" w:eastAsia="ＭＳ 明朝"/>
                <w:color w:val="000000"/>
                <w:kern w:val="0"/>
                <w:sz w:val="20"/>
              </w:rPr>
              <w:t>条　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ind w:left="280" w:leftChars="145" w:firstLine="254" w:firstLineChars="139"/>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なお、農産物検査員は、様式○号により農産物検査の実施後すみやかに検査結果を請求者に通知するものとする。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（農産物検査の結果の通知）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検査証明書の通知以外に、農産物検査結果の通知を行う場合には、発行様式等を定めること。</w:t>
            </w:r>
          </w:p>
          <w:p>
            <w:pPr>
              <w:pStyle w:val="0"/>
              <w:suppressAutoHyphens w:val="1"/>
              <w:kinsoku w:val="1"/>
              <w:wordWrap w:val="0"/>
              <w:overflowPunct w:val="1"/>
              <w:autoSpaceDE w:val="0"/>
              <w:autoSpaceDN w:val="0"/>
              <w:adjustRightInd w:val="0"/>
              <w:spacing w:line="294" w:lineRule="atLeast"/>
              <w:ind w:leftChars="0" w:firstLine="190" w:firstLineChars="104"/>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FF0000"/>
                <w:kern w:val="0"/>
                <w:sz w:val="20"/>
              </w:rPr>
              <w:t>また、共通申請サービスから検査請求がされたものについては、検査結果を共通申請サービスにより検査請求者に通知することができる。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なお、農産物検査結果の通知には、最低限次に掲げる事項が記載されていることが望ましい。</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(1)</w:t>
            </w:r>
            <w:r>
              <w:rPr>
                <w:rFonts w:hint="eastAsia" w:ascii="ＭＳ 明朝" w:hAnsi="ＭＳ 明朝" w:eastAsia="ＭＳ 明朝"/>
                <w:color w:val="000000"/>
                <w:kern w:val="0"/>
                <w:sz w:val="20"/>
              </w:rPr>
              <w:t>　請求者氏名及び住所</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2</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　検査結果別数量</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3</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　格付理由</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kern w:val="0"/>
                <w:sz w:val="20"/>
              </w:rPr>
            </w:pP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4</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　検査年月日</w:t>
            </w: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20</w:t>
            </w:r>
            <w:r>
              <w:rPr>
                <w:rFonts w:hint="eastAsia" w:ascii="ＭＳ 明朝" w:hAnsi="ＭＳ 明朝" w:eastAsia="ＭＳ 明朝"/>
                <w:color w:val="000000"/>
                <w:kern w:val="0"/>
                <w:sz w:val="20"/>
              </w:rPr>
              <w:t>条　本会は、様式○号の帳簿を作成し、５年間保存するものとする。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帳簿の様式は、法令に定める事項が網羅されていること。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電子媒体により保存する場合は、その旨記載されていること。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本マニュアル中の様式に囚わられず実際に保存される様式であること。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５　複数の抽出方法によりサンプリングを行った場合、抽出方法ごとに帳簿を作成・保存しておくこと。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第５章　検査手数料等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21</w:t>
            </w:r>
            <w:r>
              <w:rPr>
                <w:rFonts w:hint="eastAsia" w:ascii="ＭＳ 明朝" w:hAnsi="ＭＳ 明朝" w:eastAsia="ＭＳ 明朝"/>
                <w:color w:val="000000"/>
                <w:kern w:val="0"/>
                <w:sz w:val="20"/>
              </w:rPr>
              <w:t>条　検査手数料の額は、それぞれ次の各号に掲げる農産物の区分に応じ、当該各区分に掲げる額とする。</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w:t>
            </w:r>
          </w:p>
          <w:p>
            <w:pPr>
              <w:pStyle w:val="0"/>
              <w:suppressAutoHyphens w:val="1"/>
              <w:kinsoku w:val="1"/>
              <w:wordWrap w:val="0"/>
              <w:overflowPunct w:val="1"/>
              <w:autoSpaceDE w:val="0"/>
              <w:autoSpaceDN w:val="0"/>
              <w:adjustRightInd w:val="0"/>
              <w:spacing w:line="294" w:lineRule="atLeast"/>
              <w:ind w:left="192" w:leftChars="0" w:firstLine="183" w:firstLine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１トン当たり　　円</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１トン当たり　　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検査手数料が、農産物検査に係る実費を適切に反映したものであること。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単純な算定方法以外の算定方法を用いて検査手数料の額を決定する場合、その算定方法を記載すること。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（検査手数料の収納方法）</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22</w:t>
            </w:r>
            <w:r>
              <w:rPr>
                <w:rFonts w:hint="eastAsia" w:ascii="ＭＳ 明朝" w:hAnsi="ＭＳ 明朝" w:eastAsia="ＭＳ 明朝"/>
                <w:color w:val="000000"/>
                <w:kern w:val="0"/>
                <w:sz w:val="20"/>
              </w:rPr>
              <w:t>条　検査手数料は、○○により収納することを原則とする。ただし、やむを得ない場合は、○○、○○若しくは○○又は○○により収納することができる。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収納した検査手数料は、特別の事由がない限り、返還しないものとする。</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（検査手数料の納入方法）</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収納の方法が、検査手数料を明朗かつ確実に収納できるものであること。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納入方法は、一般的に行える納入方法とし、一部の受検者のみが行える収納方法は、原則としていないこと。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流通経費、共同計算等の当該業務規程のなかでなじまない用語が使用されていないこと。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23</w:t>
            </w:r>
            <w:r>
              <w:rPr>
                <w:rFonts w:hint="eastAsia" w:ascii="ＭＳ 明朝" w:hAnsi="ＭＳ 明朝" w:eastAsia="ＭＳ 明朝"/>
                <w:color w:val="000000"/>
                <w:kern w:val="0"/>
                <w:sz w:val="20"/>
              </w:rPr>
              <w:t>条　本会は、請求者に対して、検査試料の無償提供、農産物検査を行うために必要な農産物の積替え、運搬、開装又は改装に要する費用を要求するものとする。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請求者に対して過大な負担を求めるものでないこと。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特定の者に差別的な取扱いをするものでないこと。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386" w:leftChars="200" w:firstLine="0" w:firstLineChars="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第６章　農産物検査を行う組織</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24</w:t>
            </w:r>
            <w:r>
              <w:rPr>
                <w:rFonts w:hint="eastAsia" w:ascii="ＭＳ 明朝" w:hAnsi="ＭＳ 明朝" w:eastAsia="ＭＳ 明朝"/>
                <w:color w:val="000000"/>
                <w:kern w:val="0"/>
                <w:sz w:val="20"/>
              </w:rPr>
              <w:t>条　本会の農産物検査を行う組織は、別紙○のとおりとする。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組織規程等により組織の権限、責任及び業務分担がわかること。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最高責任者（会長）からの指示系統が明確に示されていること。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農産物検査員の氏名、農産物検査を行う種類及び区域について整理されていること。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rHeight w:val="171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25</w:t>
            </w:r>
            <w:r>
              <w:rPr>
                <w:rFonts w:hint="eastAsia" w:ascii="ＭＳ 明朝" w:hAnsi="ＭＳ 明朝" w:eastAsia="ＭＳ 明朝"/>
                <w:color w:val="000000"/>
                <w:kern w:val="0"/>
                <w:sz w:val="20"/>
              </w:rPr>
              <w:t>条　会長は、農産物検査に係る経営資源の確保、運営方針の策定、農産物検査の実施及び農産物検査の監督について責任を負うものとする。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農産物検査における会長の役割及び責任を規定していること。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必要に応じて会長の代理者を置いていること。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備考：経営資源とは、人、物、財をいう。</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（会長の権限の委譲）</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条　会長は、その責任において、権限委譲規程に基づき農産物検査の実施及び監督に係る権限を代理の者に委譲できるものとする。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（会長の権限の委譲）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権限を委譲する場合は、権限委譲の範囲、方法等を権限委譲規程により規定していること。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27</w:t>
            </w:r>
            <w:r>
              <w:rPr>
                <w:rFonts w:hint="eastAsia" w:ascii="ＭＳ 明朝" w:hAnsi="ＭＳ 明朝" w:eastAsia="ＭＳ 明朝"/>
                <w:color w:val="000000"/>
                <w:kern w:val="0"/>
                <w:sz w:val="20"/>
              </w:rPr>
              <w:t>条　会長は、本会に所属し、規則第</w:t>
            </w:r>
            <w:r>
              <w:rPr>
                <w:rFonts w:hint="default" w:ascii="ＭＳ 明朝" w:hAnsi="ＭＳ 明朝" w:eastAsia="ＭＳ 明朝"/>
                <w:color w:val="000000"/>
                <w:kern w:val="0"/>
                <w:sz w:val="20"/>
              </w:rPr>
              <w:t>15</w:t>
            </w:r>
            <w:r>
              <w:rPr>
                <w:rFonts w:hint="eastAsia" w:ascii="ＭＳ 明朝" w:hAnsi="ＭＳ 明朝" w:eastAsia="ＭＳ 明朝"/>
                <w:color w:val="000000"/>
                <w:kern w:val="0"/>
                <w:sz w:val="20"/>
              </w:rPr>
              <w:t>条第１項の農林水産大臣が作成する名簿に登載された者を農産物検査員として任命する。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会長は、前項の任命に際して、農産物検査員に対し法若しくは法に基づく命令の規定を遵守する旨の宣誓書を求めるものとする。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会長は、前項で任命した農産物検査員の中から指導的農産物検査員を任命する。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任命の基準が登録要件と整合していること。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農産物検査員は、農産物検査法、農産物規格その他関係法令に精通していること。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宣誓書を交わしていること。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指導的農産物検査員は、地方農政局長が行う程度統一会等に参加するとともに、農産物検査員を指導できる者を指名する。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　農産物検査員の職務は、検査のための試料の採取、試料の検査、法第</w:t>
            </w:r>
            <w:r>
              <w:rPr>
                <w:rFonts w:hint="default" w:ascii="ＭＳ 明朝" w:hAnsi="ＭＳ 明朝" w:eastAsia="ＭＳ 明朝"/>
                <w:color w:val="000000"/>
                <w:kern w:val="0"/>
                <w:sz w:val="20"/>
              </w:rPr>
              <w:t>13</w:t>
            </w:r>
            <w:r>
              <w:rPr>
                <w:rFonts w:hint="eastAsia" w:ascii="ＭＳ 明朝" w:hAnsi="ＭＳ 明朝" w:eastAsia="ＭＳ 明朝"/>
                <w:color w:val="000000"/>
                <w:kern w:val="0"/>
                <w:sz w:val="20"/>
              </w:rPr>
              <w:t>条第１項の検査証明の業務とする。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農産物検査員は、会長及び職制により定められた上長の命に従い、公正かつ誠実に職務を行うものとする。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農産物検査員は、適確な農産物検査を行うため、検査技術等の維持・向上に努めるものとし、このため、会長が指定する研修を受講しなければならない。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農産物検査員は、職務上知り得た秘密を漏らし、又は自己の利益のために使用してはならない。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農産物検査員の職務の範囲を明確にしていること。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農産物検査員が登録検査機関の指揮命令下で公正に職務を行うことが明確にされていること。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必要に応じて訓練を行っていること。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機密保持の取り決めがあること。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1004" w:leftChars="0" w:right="1" w:rightChars="0" w:hanging="1004" w:firstLineChars="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第７章　農産物検査の公正な実施のために必要な事項</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（農産物検査員の教育及び訓練）</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条　会長は、検査精度の維持及び検査技術の向上を図るため、農産物検査員の教育及び訓練を行うものとする。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（農産物検査員の教育及び訓練）</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登録検査機関としての農産物検査員の教育及び訓練に関する取組が明記されていること。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30</w:t>
            </w:r>
            <w:r>
              <w:rPr>
                <w:rFonts w:hint="eastAsia" w:ascii="ＭＳ 明朝" w:hAnsi="ＭＳ 明朝" w:eastAsia="ＭＳ 明朝"/>
                <w:color w:val="000000"/>
                <w:kern w:val="0"/>
                <w:sz w:val="20"/>
              </w:rPr>
              <w:t>条　会長は、農産物検査に係るすべての事務所及び農産物検査員に対する内部監査を定期的に実施するものとする。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内部監査の手順は、別途定める内部監査規程による。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計画的かつ定期的に内部監査を実施していること。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内部監査規程においては、監査の方法、頻度、内部監査員の資格、監査結果の改善手順等について規定すること。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31</w:t>
            </w:r>
            <w:r>
              <w:rPr>
                <w:rFonts w:hint="eastAsia" w:ascii="ＭＳ 明朝" w:hAnsi="ＭＳ 明朝" w:eastAsia="ＭＳ 明朝"/>
                <w:color w:val="000000"/>
                <w:kern w:val="0"/>
                <w:sz w:val="20"/>
              </w:rPr>
              <w:t>条　会長は、関係法令及び関係通達に抵触する等農産物検査の業務の実施主体である登録検査機関として不適切な行為の予防に努めなければならない。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会長は、不適切な行為を発見したときは、直ちにこれを是正するとともに、速やかに○○（都道府県）知事（以下「知事」という。）に不適切な行為があった事実及び是正のために講じた措置を報告しなければ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不適切な行為の予防及び是正についての取り決めがあること。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不適切な行為が見つかった場合、直ちに是正するとともに、知事へ報告することを明記していること。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罰則規定を設ける場合は、定款等と整合性がとれていること。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（知事又は国による調査の受け入れ）</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条　本会は、知事又は国による調査があったときは、これを受け入れ、協力するものとする。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（県又は国による調査の受け入れ）</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県又は国が行う調査を受け入れること。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（指導的農産物検査員の役割）</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33</w:t>
            </w:r>
            <w:r>
              <w:rPr>
                <w:rFonts w:hint="eastAsia" w:ascii="ＭＳ 明朝" w:hAnsi="ＭＳ 明朝" w:eastAsia="ＭＳ 明朝"/>
                <w:color w:val="000000"/>
                <w:kern w:val="0"/>
                <w:sz w:val="20"/>
              </w:rPr>
              <w:t>条　本会は、国が主催する会議等への参加要請があったときは、要請内容に応じて職員又は指導的農産物検査員を参加させるものとする。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指導的農産物検査員は、第</w:t>
            </w:r>
            <w:r>
              <w:rPr>
                <w:rFonts w:hint="default" w:ascii="ＭＳ 明朝" w:hAnsi="ＭＳ 明朝" w:eastAsia="ＭＳ 明朝"/>
                <w:color w:val="000000"/>
                <w:kern w:val="0"/>
                <w:sz w:val="20"/>
              </w:rPr>
              <w:t>29</w:t>
            </w:r>
            <w:r>
              <w:rPr>
                <w:rFonts w:hint="eastAsia" w:ascii="ＭＳ 明朝" w:hAnsi="ＭＳ 明朝" w:eastAsia="ＭＳ 明朝"/>
                <w:color w:val="000000"/>
                <w:kern w:val="0"/>
                <w:sz w:val="20"/>
              </w:rPr>
              <w:t>条で定める検査精度の維持及び検査技術の向上を図るため、農産物検査員の教育及び訓練で会長を補佐する。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（指導的農産物検査員の役割）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国が主催する会議等へ参加することを明記すること。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（異議申立て、苦情及び紛争の処理）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34</w:t>
            </w:r>
            <w:r>
              <w:rPr>
                <w:rFonts w:hint="eastAsia" w:ascii="ＭＳ 明朝" w:hAnsi="ＭＳ 明朝" w:eastAsia="ＭＳ 明朝"/>
                <w:color w:val="000000"/>
                <w:kern w:val="0"/>
                <w:sz w:val="20"/>
              </w:rPr>
              <w:t>条　本会は、請求者又はその他の者から持ち込まれる異議申立て、苦情又は紛争について、誠意をもって適切に処理するものとする。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（異議申立て、苦情及び紛争の処理）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請求者又はその他の者から持ち込まれる異議申立て、苦情又は紛争について、誠意をもって適切に処理することが規定されていること。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第</w:t>
            </w:r>
            <w:r>
              <w:rPr>
                <w:rFonts w:hint="default" w:ascii="ＭＳ 明朝" w:hAnsi="ＭＳ 明朝" w:eastAsia="ＭＳ 明朝"/>
                <w:color w:val="000000" w:themeColor="text1"/>
                <w:kern w:val="0"/>
                <w:sz w:val="21"/>
                <w:u w:val="none" w:color="auto"/>
              </w:rPr>
              <w:t>35</w:t>
            </w:r>
            <w:r>
              <w:rPr>
                <w:rFonts w:hint="eastAsia" w:ascii="ＭＳ 明朝" w:hAnsi="ＭＳ 明朝" w:eastAsia="ＭＳ 明朝"/>
                <w:color w:val="000000" w:themeColor="text1"/>
                <w:kern w:val="0"/>
                <w:sz w:val="21"/>
                <w:u w:val="none" w:color="auto"/>
              </w:rPr>
              <w:t>条　本会は、農産物検査の円滑かつ適正な実施のため、毎年度機械器具等の保守点検を実施するものとする。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本会は、農産物検査の円滑かつ適正な実施のため、次の各号に掲げる場合に応じて、検査場所の環境が適切に維持及び管理されていることを確認した上で農産物検査を実施するものとする。なお、環境が適切に維持されていることを確認した者は、環境点検実施状況確認簿（別記様式）を作成し、確認日及び確認者を記録及び保管しておくこととす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一　登録検査機関が所有する施設（ＣＥや倉庫等）を検査場所として使用する場合</w:t>
            </w:r>
          </w:p>
          <w:p>
            <w:pPr>
              <w:pStyle w:val="0"/>
              <w:kinsoku w:val="1"/>
              <w:wordWrap w:val="0"/>
              <w:overflowPunct w:val="1"/>
              <w:autoSpaceDE w:val="0"/>
              <w:autoSpaceDN w:val="0"/>
              <w:spacing w:line="294" w:lineRule="atLeast"/>
              <w:ind w:left="386" w:leftChars="200" w:firstLine="0" w:firstLineChars="0"/>
              <w:jc w:val="both"/>
              <w:rPr>
                <w:rFonts w:hint="eastAsia"/>
                <w:color w:val="000000" w:themeColor="text1"/>
                <w:sz w:val="21"/>
                <w:u w:val="none" w:color="auto"/>
              </w:rPr>
            </w:pPr>
            <w:r>
              <w:rPr>
                <w:rFonts w:hint="eastAsia"/>
                <w:color w:val="000000" w:themeColor="text1"/>
                <w:sz w:val="21"/>
                <w:u w:val="none" w:color="FF0000"/>
              </w:rPr>
              <w:t>施設の担当部局が環境点検を定期的に実施することによって、検査場所の環境が適切に維持及び管理されていることを確認する。</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ただし、登録検査機関が所有する施設が、食品安全や衛生管理に関する第三者認証を受けているなど適切に管理されていることが明確である場合は、そのことを証明する書類をもって、環境点検を省略することができ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二　登録検査機関が、第三者との間での賃貸借契約を結ぶ又は承諾を得ることによって使用する場所（生産者の庭先等）を検査場所とする場合</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農産物検査を実施するごとに、検査場所の環境が適切に維持及び管理されていることを確認する。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1"/>
                <w:u w:val="none" w:color="auto"/>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color w:val="000000" w:themeColor="text1"/>
                <w:sz w:val="21"/>
                <w:u w:val="none" w:color="FF0000"/>
              </w:rPr>
              <w:t>１</w:t>
            </w:r>
            <w:r>
              <w:rPr>
                <w:rFonts w:hint="eastAsia" w:ascii="ＭＳ 明朝" w:hAnsi="ＭＳ 明朝" w:eastAsia="ＭＳ 明朝"/>
                <w:color w:val="000000" w:themeColor="text1"/>
                <w:kern w:val="0"/>
                <w:sz w:val="21"/>
                <w:u w:val="none" w:color="auto"/>
              </w:rPr>
              <w:t>　機械器具等の保守点検を定期的に実施することを規定していること。</w:t>
            </w:r>
          </w:p>
          <w:p>
            <w:pPr>
              <w:pStyle w:val="0"/>
              <w:tabs>
                <w:tab w:val="left" w:leader="none" w:pos="5049"/>
              </w:tabs>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国内産農産物の品位等検査を行う登録検査機関にあっては、検査場所（農産物検査の対象が飼料用もみ又は飼料用玄米のみに限られる検査場所を除く。以下同じ。）の環境を以下により適切に維持・管理が行われていることを確認した上で農産物検査を実施するものであることを規定していること。</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１）登録検査機関が所有する施設（ＣＥや倉庫等）を検査場所として使用している場合は、施設の担当部局が環境点検を定期的に実施し、検査場所の環境が適切に維持及び管理されていることを確認した上で農産物検査を実施することを規定していること。</w:t>
            </w:r>
          </w:p>
          <w:p>
            <w:pPr>
              <w:pStyle w:val="0"/>
              <w:kinsoku w:val="1"/>
              <w:wordWrap w:val="0"/>
              <w:overflowPunct w:val="1"/>
              <w:autoSpaceDE w:val="0"/>
              <w:autoSpaceDN w:val="0"/>
              <w:spacing w:line="294" w:lineRule="atLeast"/>
              <w:ind w:left="578" w:leftChars="300" w:firstLine="193" w:firstLineChars="100"/>
              <w:jc w:val="left"/>
              <w:rPr>
                <w:rFonts w:hint="eastAsia"/>
                <w:color w:val="000000" w:themeColor="text1"/>
                <w:sz w:val="21"/>
                <w:u w:val="none" w:color="auto"/>
              </w:rPr>
            </w:pPr>
            <w:r>
              <w:rPr>
                <w:rFonts w:hint="eastAsia"/>
                <w:color w:val="000000" w:themeColor="text1"/>
                <w:sz w:val="21"/>
                <w:u w:val="none" w:color="FF0000"/>
              </w:rPr>
              <w:t>その際、当該登録検査機関が所有する施設が食品安全や衛生管理に関する第三者認証を受けているなど適切に管理されていることが明確である場合は、そのことを証明する書類を確認することで環境点検を省略することを業務規程に規定することも可能とする。</w:t>
            </w:r>
          </w:p>
          <w:p>
            <w:pPr>
              <w:pStyle w:val="0"/>
              <w:kinsoku w:val="1"/>
              <w:wordWrap w:val="0"/>
              <w:overflowPunct w:val="1"/>
              <w:autoSpaceDE w:val="0"/>
              <w:autoSpaceDN w:val="0"/>
              <w:spacing w:line="294" w:lineRule="atLeast"/>
              <w:ind w:left="402"/>
              <w:jc w:val="left"/>
              <w:rPr>
                <w:rFonts w:hint="eastAsia"/>
                <w:color w:val="000000" w:themeColor="text1"/>
                <w:sz w:val="21"/>
                <w:u w:val="none" w:color="auto"/>
              </w:rPr>
            </w:pPr>
            <w:r>
              <w:rPr>
                <w:rFonts w:hint="eastAsia"/>
                <w:color w:val="000000" w:themeColor="text1"/>
                <w:sz w:val="21"/>
                <w:u w:val="none" w:color="FF0000"/>
              </w:rPr>
              <w:t>＜環境点検の主な項目＞</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５Ｓ（整理、整頓、清掃、清潔、習慣）によるそ族昆虫等の除の徹底</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環境点検シートによる保管施設の環境改善。</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清掃、防虫・防そ対策等の実施日及び実施者等の記録作成及び保存（施設の管理日誌等）。</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２）登録検査機関が、第三者との間での賃貸借契約又は承諾を得ることによって使用する場所（生産者の庭先等）を検査場所とする場合は、５Ｓ（整理、整頓、清掃、清潔、習慣）の観点から、農産物検査を実施するごとに、検査場所の環境が適切に維持及び管理されていることを確認する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36</w:t>
            </w:r>
            <w:r>
              <w:rPr>
                <w:rFonts w:hint="eastAsia" w:ascii="ＭＳ 明朝" w:hAnsi="ＭＳ 明朝" w:eastAsia="ＭＳ 明朝"/>
                <w:color w:val="000000"/>
                <w:kern w:val="0"/>
                <w:sz w:val="20"/>
              </w:rPr>
              <w:t>条　等級証印を適切に管理するものとする。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kern w:val="0"/>
                <w:sz w:val="20"/>
              </w:rPr>
            </w:pPr>
            <w:r>
              <w:rPr>
                <w:rFonts w:hint="eastAsia" w:ascii="ＭＳ 明朝" w:hAnsi="ＭＳ 明朝" w:eastAsia="ＭＳ 明朝"/>
                <w:color w:val="000000"/>
                <w:kern w:val="0"/>
                <w:sz w:val="20"/>
              </w:rPr>
              <w:t>（検査証明事項の訂正方法）</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eastAsia" w:ascii="ＭＳ 明朝" w:hAnsi="ＭＳ 明朝" w:eastAsia="ＭＳ 明朝"/>
                <w:color w:val="000000"/>
                <w:kern w:val="0"/>
                <w:sz w:val="20"/>
              </w:rPr>
              <w:t>36</w:t>
            </w:r>
            <w:r>
              <w:rPr>
                <w:rFonts w:hint="eastAsia" w:ascii="ＭＳ 明朝" w:hAnsi="ＭＳ 明朝" w:eastAsia="ＭＳ 明朝"/>
                <w:color w:val="000000"/>
                <w:kern w:val="0"/>
                <w:sz w:val="20"/>
              </w:rPr>
              <w:t>条の２　広域登録検査機関は、農産物検査法第</w:t>
            </w:r>
            <w:r>
              <w:rPr>
                <w:rFonts w:hint="eastAsia" w:ascii="ＭＳ 明朝" w:hAnsi="ＭＳ 明朝" w:eastAsia="ＭＳ 明朝"/>
                <w:color w:val="000000"/>
                <w:kern w:val="0"/>
                <w:sz w:val="20"/>
              </w:rPr>
              <w:t>13</w:t>
            </w:r>
            <w:r>
              <w:rPr>
                <w:rFonts w:hint="eastAsia" w:ascii="ＭＳ 明朝" w:hAnsi="ＭＳ 明朝" w:eastAsia="ＭＳ 明朝"/>
                <w:color w:val="000000"/>
                <w:kern w:val="0"/>
                <w:sz w:val="20"/>
              </w:rPr>
              <w:t>条第２項に規定する紛らわしい表示とならないように、登録検査機関が定める業務規程に検査証明事項の訂正方法を定めるものとする。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等級証印の保管場所を特定し、許可なく持ち出せないように厳重に保管していること。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（等級証印の不正使用等）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37</w:t>
            </w:r>
            <w:r>
              <w:rPr>
                <w:rFonts w:hint="eastAsia" w:ascii="ＭＳ 明朝" w:hAnsi="ＭＳ 明朝" w:eastAsia="ＭＳ 明朝"/>
                <w:color w:val="000000"/>
                <w:kern w:val="0"/>
                <w:sz w:val="20"/>
              </w:rPr>
              <w:t>条　本会の役職員は、等級証印の不正使用を発見したときは、直ちに会長に報告するものとする。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会長は、前項の報告があった場合は、速やかに知事に報告する等適切な措置を講じるとともに、地方農政局長又は知事の要請による調査等に協力するものとする。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（等級証印の不正使用等）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不正使用に対して適切な対応をしていること。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不正使用を発見したときは、適切な措置を講じるとともに、知事の要請による調査等に協力すること。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（農産物検査の結果の報告）</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38</w:t>
            </w:r>
            <w:r>
              <w:rPr>
                <w:rFonts w:hint="eastAsia" w:ascii="ＭＳ 明朝" w:hAnsi="ＭＳ 明朝" w:eastAsia="ＭＳ 明朝"/>
                <w:color w:val="000000"/>
                <w:kern w:val="0"/>
                <w:sz w:val="20"/>
              </w:rPr>
              <w:t>条　会長は、法又は法に基づく命令の定めるところにより知事へ必要な報告を遅滞なく提出するものとする。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（農産物検査の結果の報告）</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検査数量その他必要な報告を期限までに実施すること。</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FF0000"/>
                <w:kern w:val="0"/>
                <w:sz w:val="20"/>
              </w:rPr>
              <w:t>なお、同報告は共通申請サービスにより検査の報告ができるものとする。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（その他）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39</w:t>
            </w:r>
            <w:r>
              <w:rPr>
                <w:rFonts w:hint="eastAsia" w:ascii="ＭＳ 明朝" w:hAnsi="ＭＳ 明朝" w:eastAsia="ＭＳ 明朝"/>
                <w:color w:val="000000"/>
                <w:kern w:val="0"/>
                <w:sz w:val="20"/>
              </w:rPr>
              <w:t>条　この規程に定めるもののほか、農産物検査に関し必要な事項は、別に会長が定めるものとする。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（その他）</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適切に文書化されており、内容がこの規程と矛盾しないこと。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auto"/>
                <w:kern w:val="0"/>
                <w:sz w:val="20"/>
              </w:rPr>
            </w:pPr>
            <w:r>
              <w:rPr>
                <w:rFonts w:hint="eastAsia" w:ascii="ＭＳ 明朝" w:hAnsi="ＭＳ 明朝" w:eastAsia="ＭＳ 明朝"/>
                <w:color w:val="000000"/>
                <w:kern w:val="0"/>
                <w:sz w:val="20"/>
              </w:rPr>
              <w:t>制　　定　</w:t>
            </w:r>
            <w:r>
              <w:rPr>
                <w:rFonts w:hint="eastAsia" w:ascii="ＭＳ 明朝" w:hAnsi="ＭＳ 明朝" w:eastAsia="ＭＳ 明朝"/>
                <w:color w:val="auto"/>
                <w:kern w:val="0"/>
                <w:sz w:val="20"/>
              </w:rPr>
              <w:t>元号○○年○月○日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auto"/>
                <w:kern w:val="0"/>
                <w:sz w:val="20"/>
              </w:rPr>
              <w:t>一部改正　元号○○</w:t>
            </w:r>
            <w:r>
              <w:rPr>
                <w:rFonts w:hint="eastAsia" w:ascii="ＭＳ 明朝" w:hAnsi="ＭＳ 明朝" w:eastAsia="ＭＳ 明朝"/>
                <w:color w:val="000000"/>
                <w:kern w:val="0"/>
                <w:sz w:val="20"/>
              </w:rPr>
              <w:t>年○月○日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rHeight w:val="1452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（品位等検査（生産者））</w:t>
            </w:r>
          </w:p>
          <w:tbl>
            <w:tblPr>
              <w:tblStyle w:val="25"/>
              <w:tblW w:w="0" w:type="auto"/>
              <w:jc w:val="left"/>
              <w:tblInd w:w="93" w:type="dxa"/>
              <w:tblLayout w:type="fixed"/>
              <w:tblLook w:firstRow="1" w:lastRow="0" w:firstColumn="1" w:lastColumn="0" w:noHBand="0" w:noVBand="1" w:val="04A0"/>
            </w:tblPr>
            <w:tblGrid>
              <w:gridCol w:w="4723"/>
            </w:tblGrid>
            <w:tr>
              <w:trPr>
                <w:trHeight w:val="2267" w:hRule="atLeast"/>
              </w:trPr>
              <w:tc>
                <w:tcPr>
                  <w:tcW w:w="4723" w:type="dxa"/>
                  <w:vAlign w:val="top"/>
                </w:tcPr>
                <w:p>
                  <w:pPr>
                    <w:pStyle w:val="0"/>
                    <w:kinsoku w:val="1"/>
                    <w:wordWrap w:val="0"/>
                    <w:overflowPunct w:val="1"/>
                    <w:autoSpaceDE w:val="0"/>
                    <w:autoSpaceDN w:val="0"/>
                    <w:jc w:val="both"/>
                    <w:rPr>
                      <w:rFonts w:hint="eastAsia"/>
                      <w:sz w:val="12"/>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2404745</wp:posOffset>
                            </wp:positionH>
                            <wp:positionV relativeFrom="paragraph">
                              <wp:posOffset>2886710</wp:posOffset>
                            </wp:positionV>
                            <wp:extent cx="249555" cy="3098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7.3pt;mso-position-vertical-relative:text;mso-position-horizontal-relative:text;position:absolute;height:24.4pt;mso-wrap-distance-top:0pt;width:19.64pt;mso-wrap-distance-left:5.65pt;margin-left:189.35pt;z-index:2;" o:spid="_x0000_s1026"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61945" cy="39344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861945" cy="393446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（品位等検査（輸入者））</w:t>
            </w:r>
          </w:p>
          <w:tbl>
            <w:tblPr>
              <w:tblStyle w:val="25"/>
              <w:tblpPr w:leftFromText="142" w:rightFromText="142" w:topFromText="0" w:bottomFromText="0" w:vertAnchor="text" w:horzAnchor="text" w:tblpX="143" w:tblpY="38"/>
              <w:tblW w:w="0" w:type="auto"/>
              <w:tblLayout w:type="fixed"/>
              <w:tblLook w:firstRow="1" w:lastRow="0" w:firstColumn="1" w:lastColumn="0" w:noHBand="0" w:noVBand="1" w:val="04A0"/>
            </w:tblPr>
            <w:tblGrid>
              <w:gridCol w:w="4723"/>
            </w:tblGrid>
            <w:tr>
              <w:trPr>
                <w:trHeight w:val="4405" w:hRule="atLeast"/>
              </w:trPr>
              <w:tc>
                <w:tcPr>
                  <w:tcW w:w="4723" w:type="dxa"/>
                  <w:vAlign w:val="top"/>
                </w:tcPr>
                <w:p>
                  <w:pPr>
                    <w:pStyle w:val="0"/>
                    <w:kinsoku w:val="1"/>
                    <w:wordWrap w:val="0"/>
                    <w:overflowPunct w:val="1"/>
                    <w:autoSpaceDE w:val="0"/>
                    <w:autoSpaceDN w:val="0"/>
                    <w:jc w:val="both"/>
                    <w:rPr>
                      <w:rFonts w:hint="eastAsia"/>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2373630</wp:posOffset>
                            </wp:positionH>
                            <wp:positionV relativeFrom="paragraph">
                              <wp:posOffset>2981325</wp:posOffset>
                            </wp:positionV>
                            <wp:extent cx="249555" cy="30988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4.75pt;mso-position-vertical-relative:text;mso-position-horizontal-relative:text;position:absolute;height:24.4pt;mso-wrap-distance-top:0pt;width:19.64pt;mso-wrap-distance-left:5.65pt;margin-left:186.9pt;z-index:4;" o:spid="_x0000_s1028"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61945" cy="396049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861945" cy="396049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（品位等検査（売買取引業者））</w:t>
            </w:r>
          </w:p>
          <w:tbl>
            <w:tblPr>
              <w:tblStyle w:val="25"/>
              <w:tblW w:w="0" w:type="auto"/>
              <w:jc w:val="left"/>
              <w:tblInd w:w="177" w:type="dxa"/>
              <w:tblLayout w:type="fixed"/>
              <w:tblLook w:firstRow="1" w:lastRow="0" w:firstColumn="1" w:lastColumn="0" w:noHBand="0" w:noVBand="1" w:val="04A0"/>
            </w:tblPr>
            <w:tblGrid>
              <w:gridCol w:w="4665"/>
            </w:tblGrid>
            <w:tr>
              <w:trPr>
                <w:trHeight w:val="1465" w:hRule="atLeast"/>
              </w:trPr>
              <w:tc>
                <w:tcPr>
                  <w:tcW w:w="4665" w:type="dxa"/>
                  <w:vAlign w:val="top"/>
                </w:tcPr>
                <w:p>
                  <w:pPr>
                    <w:pStyle w:val="0"/>
                    <w:kinsoku w:val="1"/>
                    <w:wordWrap w:val="0"/>
                    <w:overflowPunct w:val="1"/>
                    <w:autoSpaceDE w:val="0"/>
                    <w:autoSpaceDN w:val="0"/>
                    <w:jc w:val="both"/>
                    <w:rPr>
                      <w:rFonts w:hint="eastAsia"/>
                    </w:rPr>
                  </w:pPr>
                  <w:r>
                    <w:rPr>
                      <w:rFonts w:hint="eastAsia"/>
                    </w:rPr>
                    <mc:AlternateContent>
                      <mc:Choice Requires="wps">
                        <w:drawing>
                          <wp:anchor distT="0" distB="0" distL="71755" distR="71755" simplePos="0" relativeHeight="6" behindDoc="0" locked="0" layoutInCell="1" hidden="0" allowOverlap="1">
                            <wp:simplePos x="0" y="0"/>
                            <wp:positionH relativeFrom="column">
                              <wp:posOffset>2041525</wp:posOffset>
                            </wp:positionH>
                            <wp:positionV relativeFrom="paragraph">
                              <wp:posOffset>2954020</wp:posOffset>
                            </wp:positionV>
                            <wp:extent cx="249555" cy="30988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2.6pt;mso-position-vertical-relative:text;mso-position-horizontal-relative:text;position:absolute;height:24.4pt;mso-wrap-distance-top:0pt;width:19.64pt;mso-wrap-distance-left:5.65pt;margin-left:160.75pt;z-index:6;" o:spid="_x0000_s1030"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25115" cy="379031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825115" cy="379031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W w:w="0" w:type="auto"/>
              <w:jc w:val="left"/>
              <w:tblInd w:w="177"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rPr>
                  </w:pPr>
                  <w:r>
                    <w:rPr>
                      <w:rFonts w:hint="eastAsia"/>
                    </w:rPr>
                    <mc:AlternateContent>
                      <mc:Choice Requires="wps">
                        <w:drawing>
                          <wp:anchor distT="0" distB="0" distL="71755" distR="71755" simplePos="0" relativeHeight="8" behindDoc="0" locked="0" layoutInCell="1" hidden="0" allowOverlap="1">
                            <wp:simplePos x="0" y="0"/>
                            <wp:positionH relativeFrom="column">
                              <wp:posOffset>2271395</wp:posOffset>
                            </wp:positionH>
                            <wp:positionV relativeFrom="paragraph">
                              <wp:posOffset>3262630</wp:posOffset>
                            </wp:positionV>
                            <wp:extent cx="249555" cy="30988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89pt;mso-position-vertical-relative:text;mso-position-horizontal-relative:text;position:absolute;height:24.4pt;mso-wrap-distance-top:0pt;width:19.64pt;mso-wrap-distance-left:5.65pt;margin-left:178.85pt;z-index:8;" o:spid="_x0000_s1032"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25115" cy="418274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2825115" cy="418274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（環境点検実施状況確認簿）</w:t>
            </w:r>
          </w:p>
          <w:tbl>
            <w:tblPr>
              <w:tblStyle w:val="25"/>
              <w:tblW w:w="0" w:type="auto"/>
              <w:jc w:val="left"/>
              <w:tblInd w:w="150"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rPr>
                  </w:pPr>
                  <w:r>
                    <w:rPr>
                      <w:rFonts w:hint="eastAsia"/>
                    </w:rPr>
                    <w:drawing>
                      <wp:inline distT="0" distB="0" distL="203200" distR="203200">
                        <wp:extent cx="2618105" cy="370522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2618105" cy="370522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auto"/>
                <w:kern w:val="0"/>
                <w:sz w:val="20"/>
              </w:rPr>
            </w:pPr>
            <w:r>
              <w:rPr>
                <w:rFonts w:hint="eastAsia" w:ascii="ＭＳ 明朝" w:hAnsi="ＭＳ 明朝" w:eastAsia="ＭＳ 明朝"/>
                <w:color w:val="auto"/>
                <w:kern w:val="0"/>
                <w:sz w:val="20"/>
              </w:rPr>
              <w:t>（宣誓書）</w:t>
            </w:r>
          </w:p>
          <w:p>
            <w:pPr>
              <w:pStyle w:val="0"/>
              <w:kinsoku w:val="1"/>
              <w:wordWrap w:val="0"/>
              <w:overflowPunct w:val="1"/>
              <w:autoSpaceDE w:val="0"/>
              <w:autoSpaceDN w:val="0"/>
              <w:rPr>
                <w:rFonts w:hint="eastAsia"/>
                <w:sz w:val="10"/>
              </w:rPr>
            </w:pPr>
            <w:r>
              <w:rPr>
                <w:rFonts w:hint="eastAsia"/>
              </w:rPr>
              <mc:AlternateContent>
                <mc:Choice Requires="wps">
                  <w:drawing>
                    <wp:anchor distT="0" distB="0" distL="71755" distR="71755" simplePos="0" relativeHeight="11" behindDoc="0" locked="0" layoutInCell="1" hidden="0" allowOverlap="1">
                      <wp:simplePos x="0" y="0"/>
                      <wp:positionH relativeFrom="column">
                        <wp:posOffset>2087245</wp:posOffset>
                      </wp:positionH>
                      <wp:positionV relativeFrom="paragraph">
                        <wp:posOffset>2898775</wp:posOffset>
                      </wp:positionV>
                      <wp:extent cx="249555" cy="30988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8.25pt;mso-position-vertical-relative:text;mso-position-horizontal-relative:text;position:absolute;height:24.4pt;mso-wrap-distance-top:0pt;width:19.64pt;mso-wrap-distance-left:5.65pt;margin-left:164.35pt;z-index:11;" o:spid="_x0000_s1035"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color w:val="000000"/>
                <w:kern w:val="0"/>
                <w:sz w:val="20"/>
              </w:rPr>
              <w:t>　　　</w:t>
            </w:r>
            <w:r>
              <w:rPr>
                <w:rFonts w:hint="eastAsia"/>
                <w:sz w:val="14"/>
              </w:rPr>
              <w:t>業務規程第○○条　第○項</w:t>
            </w:r>
          </w:p>
          <w:p>
            <w:pPr>
              <w:pStyle w:val="0"/>
              <w:kinsoku w:val="1"/>
              <w:wordWrap w:val="0"/>
              <w:overflowPunct w:val="1"/>
              <w:autoSpaceDE w:val="0"/>
              <w:autoSpaceDN w:val="0"/>
              <w:rPr>
                <w:rFonts w:hint="eastAsia"/>
                <w:sz w:val="10"/>
              </w:rPr>
            </w:pPr>
          </w:p>
          <w:p>
            <w:pPr>
              <w:pStyle w:val="0"/>
              <w:kinsoku w:val="1"/>
              <w:wordWrap w:val="0"/>
              <w:overflowPunct w:val="1"/>
              <w:autoSpaceDE w:val="0"/>
              <w:autoSpaceDN w:val="0"/>
              <w:ind w:firstLine="1790" w:firstLineChars="1100"/>
              <w:rPr>
                <w:rFonts w:hint="eastAsia"/>
                <w:sz w:val="18"/>
              </w:rPr>
            </w:pPr>
            <w:r>
              <w:rPr>
                <w:rFonts w:hint="eastAsia"/>
                <w:sz w:val="18"/>
              </w:rPr>
              <w:t>宣　　誓　　書</w:t>
            </w:r>
          </w:p>
          <w:p>
            <w:pPr>
              <w:pStyle w:val="0"/>
              <w:kinsoku w:val="1"/>
              <w:wordWrap w:val="0"/>
              <w:overflowPunct w:val="1"/>
              <w:autoSpaceDE w:val="0"/>
              <w:autoSpaceDN w:val="0"/>
              <w:jc w:val="left"/>
              <w:rPr>
                <w:rFonts w:hint="eastAsia"/>
                <w:sz w:val="18"/>
              </w:rPr>
            </w:pPr>
          </w:p>
          <w:p>
            <w:pPr>
              <w:pStyle w:val="0"/>
              <w:kinsoku w:val="1"/>
              <w:wordWrap w:val="0"/>
              <w:overflowPunct w:val="1"/>
              <w:autoSpaceDE w:val="0"/>
              <w:autoSpaceDN w:val="0"/>
              <w:jc w:val="left"/>
              <w:rPr>
                <w:rFonts w:hint="eastAsia"/>
                <w:sz w:val="18"/>
              </w:rPr>
            </w:pPr>
          </w:p>
          <w:p>
            <w:pPr>
              <w:pStyle w:val="0"/>
              <w:kinsoku w:val="1"/>
              <w:wordWrap w:val="0"/>
              <w:overflowPunct w:val="1"/>
              <w:autoSpaceDE w:val="0"/>
              <w:autoSpaceDN w:val="0"/>
              <w:ind w:firstLine="571" w:firstLineChars="400"/>
              <w:jc w:val="left"/>
              <w:rPr>
                <w:rFonts w:hint="eastAsia"/>
                <w:sz w:val="16"/>
              </w:rPr>
            </w:pPr>
            <w:r>
              <w:rPr>
                <w:rFonts w:hint="eastAsia"/>
                <w:sz w:val="16"/>
              </w:rPr>
              <w:t>私は、農産物検査員として公正かつ誠実に農産物検査を行う</w:t>
            </w:r>
          </w:p>
          <w:p>
            <w:pPr>
              <w:pStyle w:val="0"/>
              <w:kinsoku w:val="1"/>
              <w:wordWrap w:val="0"/>
              <w:overflowPunct w:val="1"/>
              <w:autoSpaceDE w:val="0"/>
              <w:autoSpaceDN w:val="0"/>
              <w:ind w:leftChars="0" w:firstLine="0" w:firstLineChars="0"/>
              <w:jc w:val="left"/>
              <w:rPr>
                <w:rFonts w:hint="eastAsia"/>
                <w:sz w:val="16"/>
              </w:rPr>
            </w:pPr>
            <w:r>
              <w:rPr>
                <w:rFonts w:hint="eastAsia"/>
                <w:sz w:val="16"/>
              </w:rPr>
              <w:t>　　　　べき責務を深く自覚し、並びに農産物検査法に基づく命令の規</w:t>
            </w:r>
          </w:p>
          <w:p>
            <w:pPr>
              <w:pStyle w:val="0"/>
              <w:kinsoku w:val="1"/>
              <w:wordWrap w:val="0"/>
              <w:overflowPunct w:val="1"/>
              <w:autoSpaceDE w:val="0"/>
              <w:autoSpaceDN w:val="0"/>
              <w:ind w:left="0" w:leftChars="0" w:firstLine="286" w:firstLineChars="200"/>
              <w:jc w:val="left"/>
              <w:rPr>
                <w:rFonts w:hint="eastAsia"/>
                <w:sz w:val="16"/>
              </w:rPr>
            </w:pPr>
            <w:r>
              <w:rPr>
                <w:rFonts w:hint="eastAsia"/>
                <w:sz w:val="16"/>
              </w:rPr>
              <w:t>　　定を遵守し、職務の遂行に当たることを固く誓います。</w:t>
            </w:r>
          </w:p>
          <w:p>
            <w:pPr>
              <w:pStyle w:val="0"/>
              <w:kinsoku w:val="1"/>
              <w:wordWrap w:val="0"/>
              <w:overflowPunct w:val="1"/>
              <w:autoSpaceDE w:val="0"/>
              <w:autoSpaceDN w:val="0"/>
              <w:jc w:val="left"/>
              <w:rPr>
                <w:rFonts w:hint="eastAsia"/>
                <w:sz w:val="16"/>
              </w:rPr>
            </w:pPr>
          </w:p>
          <w:p>
            <w:pPr>
              <w:pStyle w:val="0"/>
              <w:kinsoku w:val="1"/>
              <w:wordWrap w:val="0"/>
              <w:overflowPunct w:val="1"/>
              <w:autoSpaceDE w:val="0"/>
              <w:autoSpaceDN w:val="0"/>
              <w:jc w:val="left"/>
              <w:rPr>
                <w:rFonts w:hint="eastAsia"/>
                <w:sz w:val="16"/>
              </w:rPr>
            </w:pPr>
          </w:p>
          <w:p>
            <w:pPr>
              <w:pStyle w:val="0"/>
              <w:kinsoku w:val="1"/>
              <w:wordWrap w:val="0"/>
              <w:overflowPunct w:val="1"/>
              <w:autoSpaceDE w:val="0"/>
              <w:autoSpaceDN w:val="0"/>
              <w:ind w:left="0" w:leftChars="0" w:right="771" w:rightChars="400" w:firstLine="428" w:firstLineChars="300"/>
              <w:jc w:val="both"/>
              <w:rPr>
                <w:rFonts w:hint="eastAsia"/>
                <w:sz w:val="16"/>
              </w:rPr>
            </w:pPr>
            <w:r>
              <w:rPr>
                <w:rFonts w:hint="eastAsia"/>
                <w:sz w:val="16"/>
              </w:rPr>
              <w:t>　　　　　　　　　　　　　令和　　年　　月　　日</w:t>
            </w:r>
          </w:p>
          <w:p>
            <w:pPr>
              <w:pStyle w:val="0"/>
              <w:kinsoku w:val="1"/>
              <w:wordWrap w:val="0"/>
              <w:overflowPunct w:val="1"/>
              <w:autoSpaceDE w:val="0"/>
              <w:autoSpaceDN w:val="0"/>
              <w:ind w:right="840" w:rightChars="400" w:firstLine="4480" w:firstLineChars="1400"/>
              <w:jc w:val="both"/>
              <w:rPr>
                <w:rFonts w:hint="eastAsia"/>
                <w:sz w:val="16"/>
              </w:rPr>
            </w:pPr>
          </w:p>
          <w:p>
            <w:pPr>
              <w:pStyle w:val="0"/>
              <w:kinsoku w:val="1"/>
              <w:wordWrap w:val="0"/>
              <w:overflowPunct w:val="1"/>
              <w:autoSpaceDE w:val="0"/>
              <w:autoSpaceDN w:val="0"/>
              <w:ind w:left="0" w:leftChars="0" w:firstLine="0" w:firstLineChars="0"/>
              <w:jc w:val="left"/>
              <w:rPr>
                <w:rFonts w:hint="eastAsia"/>
                <w:b w:val="0"/>
                <w:color w:val="auto"/>
                <w:sz w:val="16"/>
              </w:rPr>
            </w:pPr>
            <w:r>
              <w:rPr>
                <w:rFonts w:hint="eastAsia"/>
                <w:sz w:val="16"/>
              </w:rPr>
              <w:t>　　　　　　　　　　　　</w:t>
            </w:r>
            <w:r>
              <w:rPr>
                <w:rFonts w:hint="eastAsia"/>
                <w:b w:val="0"/>
                <w:color w:val="auto"/>
                <w:sz w:val="16"/>
              </w:rPr>
              <w:t>　住所（自署）</w:t>
            </w:r>
          </w:p>
          <w:p>
            <w:pPr>
              <w:pStyle w:val="0"/>
              <w:kinsoku w:val="1"/>
              <w:wordWrap w:val="0"/>
              <w:overflowPunct w:val="1"/>
              <w:autoSpaceDE w:val="0"/>
              <w:autoSpaceDN w:val="0"/>
              <w:ind w:leftChars="0" w:firstLine="1592" w:firstLineChars="1115"/>
              <w:jc w:val="left"/>
              <w:rPr>
                <w:rFonts w:hint="eastAsia"/>
                <w:b w:val="0"/>
                <w:color w:val="auto"/>
                <w:sz w:val="16"/>
              </w:rPr>
            </w:pPr>
          </w:p>
          <w:p>
            <w:pPr>
              <w:pStyle w:val="0"/>
              <w:suppressAutoHyphens w:val="1"/>
              <w:kinsoku w:val="1"/>
              <w:wordWrap w:val="0"/>
              <w:overflowPunct w:val="1"/>
              <w:autoSpaceDE w:val="0"/>
              <w:autoSpaceDN w:val="0"/>
              <w:adjustRightInd w:val="0"/>
              <w:spacing w:line="294" w:lineRule="atLeast"/>
              <w:ind w:left="0" w:leftChars="0" w:firstLine="143" w:firstLineChars="100"/>
              <w:jc w:val="both"/>
              <w:textAlignment w:val="baseline"/>
              <w:rPr>
                <w:rFonts w:hint="default" w:ascii="ＭＳ 明朝" w:hAnsi="ＭＳ 明朝" w:eastAsia="ＭＳ 明朝"/>
                <w:color w:val="000000"/>
                <w:kern w:val="0"/>
                <w:sz w:val="16"/>
              </w:rPr>
            </w:pPr>
            <w:r>
              <w:rPr>
                <w:rFonts w:hint="eastAsia"/>
                <w:b w:val="0"/>
                <w:color w:val="auto"/>
                <w:sz w:val="16"/>
              </w:rPr>
              <w:t>　　　　　　　　　　　　氏名（自署）</w:t>
            </w: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r>
              <w:rPr>
                <w:rFonts w:hint="eastAsia"/>
              </w:rPr>
              <w:drawing>
                <wp:inline distT="0" distB="0" distL="203200" distR="203200">
                  <wp:extent cx="3181350" cy="454088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3181350" cy="4540885"/>
                          </a:xfrm>
                          <a:prstGeom prst="rect">
                            <a:avLst/>
                          </a:prstGeom>
                        </pic:spPr>
                      </pic:pic>
                    </a:graphicData>
                  </a:graphic>
                </wp:inline>
              </w:drawing>
            </w:r>
          </w:p>
          <w:p>
            <w:pPr>
              <w:pStyle w:val="0"/>
              <w:kinsoku w:val="1"/>
              <w:wordWrap w:val="0"/>
              <w:overflowPunct w:val="1"/>
              <w:autoSpaceDE w:val="0"/>
              <w:autoSpaceDN w:val="0"/>
              <w:rPr>
                <w:rFonts w:hint="default" w:ascii="ＭＳ 明朝" w:hAnsi="ＭＳ 明朝" w:eastAsia="ＭＳ 明朝"/>
                <w:color w:val="000000"/>
                <w:kern w:val="0"/>
                <w:sz w:val="20"/>
              </w:rPr>
            </w:pPr>
          </w:p>
          <w:p>
            <w:pPr>
              <w:pStyle w:val="0"/>
              <w:kinsoku w:val="1"/>
              <w:wordWrap w:val="0"/>
              <w:overflowPunct w:val="1"/>
              <w:autoSpaceDE w:val="0"/>
              <w:autoSpaceDN w:val="0"/>
              <w:rPr>
                <w:rFonts w:hint="default" w:ascii="ＭＳ 明朝" w:hAnsi="ＭＳ 明朝" w:eastAsia="ＭＳ 明朝"/>
                <w:color w:val="000000"/>
                <w:kern w:val="0"/>
                <w:sz w:val="20"/>
              </w:rPr>
            </w:pPr>
            <w:bookmarkStart w:id="0" w:name="_GoBack"/>
            <w:bookmarkEnd w:id="0"/>
          </w:p>
        </w:tc>
      </w:tr>
    </w:tbl>
    <w:p>
      <w:pPr>
        <w:pStyle w:val="0"/>
        <w:autoSpaceDE w:val="0"/>
        <w:autoSpaceDN w:val="0"/>
        <w:adjustRightInd w:val="0"/>
        <w:jc w:val="left"/>
        <w:rPr>
          <w:rFonts w:hint="default" w:ascii="ＭＳ 明朝" w:hAnsi="ＭＳ 明朝" w:eastAsia="ＭＳ 明朝"/>
          <w:color w:val="000000"/>
          <w:kern w:val="0"/>
          <w:sz w:val="20"/>
        </w:rPr>
      </w:pPr>
      <w:r>
        <w:rPr>
          <w:rFonts w:hint="default" w:ascii="ＭＳ 明朝" w:hAnsi="ＭＳ 明朝" w:eastAsia="ＭＳ 明朝"/>
          <w:color w:val="auto"/>
          <w:kern w:val="0"/>
          <w:sz w:val="24"/>
        </w:rPr>
        <w:br w:type="page"/>
      </w:r>
      <w:r>
        <w:rPr>
          <w:rFonts w:hint="eastAsia" w:ascii="ＭＳ 明朝" w:hAnsi="ＭＳ 明朝" w:eastAsia="ＭＳ 明朝"/>
          <w:color w:val="000000"/>
          <w:kern w:val="0"/>
          <w:sz w:val="20"/>
        </w:rPr>
        <w:t>　様式例第２号</w:t>
      </w:r>
    </w:p>
    <w:tbl>
      <w:tblPr>
        <w:tblStyle w:val="24"/>
        <w:tblW w:w="9963" w:type="dxa"/>
        <w:jc w:val="left"/>
        <w:tblInd w:w="45" w:type="dxa"/>
        <w:tblLayout w:type="fixed"/>
        <w:tblCellMar>
          <w:left w:w="52" w:type="dxa"/>
          <w:right w:w="52" w:type="dxa"/>
        </w:tblCellMar>
        <w:tblLook w:firstRow="0" w:lastRow="0" w:firstColumn="0" w:lastColumn="0" w:noHBand="0" w:noVBand="0" w:val="0000"/>
      </w:tblPr>
      <w:tblGrid>
        <w:gridCol w:w="5025"/>
        <w:gridCol w:w="4938"/>
      </w:tblGrid>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成分検査委託業務規程記載事項（例）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成分検査委託業務規程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第１章　総　則</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第２条第５項の登録検査機関として行う同条第４項の成分検査（以下「成分検査」という。）に関する業務のうち、法第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委託する業務（以下「委託業務」という。）に関しては、この規程の定めるところによる。なお、本会が委託業務の実施に関し、この規程に定めていない事項については、業務の委託を受ける者（以下「受託者」という。）の業務規程の定めるところによ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成分検査委託業務規程が適用される範囲を示していること。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成分検査委託業務規程に定められていない事項（検査の方針、検査を行う時間等）については、受託者の農産物検査業務規程によることが明記されていること。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受託者は、委託業務を適正かつ円滑に誠実をもって行うとともに、委託業務の実施に責任を負うものとする。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受託者の責任の範囲を明確にしていること。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本会は、委託業務のうち○○、○○に係る業務を委託する。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委託業務の内容は次のとおりとする。</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検査試料の採取及び送付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委託業務に係る農産物の種類の範囲を明確にしていること。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成分検査の請求の受付場所は、受託者の農産物検査業務規程に定める検査請求の受付場所とする。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成分検査の請求の受付場所の設置が、受検者の利便に資するものであること。</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受託者は、成分検査の検査の請求をしようとする者（以下「検査請求者」という。）から別記様式による成分検査の検査請求書（以下「検査請求書」という。）が提出されたときは、これを受理し、委託業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受託者は、請求の受理に当たっては、その内容を十分に確認するとともに、検査請求者に対して成分検査に要する日数、受検準備、検査手数料単価及び支払方法その他必要な事項を説明するものとする。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受託者は、正当な理由がない限り、成分検査の請求の受理を拒否することができないものとし、受理を拒否する場合は、その理由を検査請求者に通知するとともに、本会に成分検査の請求の受理を拒否した旨をその理由を付して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受託者は、検査請求書を受理したときは、検査請求者に証明番号を通知するとともに、次に掲げる本会の事務所のうち最寄りの事務所に検査請求書に証明番号を付して、速やかにこれを送付するものとする。</w:t>
            </w:r>
          </w:p>
          <w:tbl>
            <w:tblPr>
              <w:tblStyle w:val="25"/>
              <w:tblW w:w="0" w:type="auto"/>
              <w:jc w:val="left"/>
              <w:tblInd w:w="96" w:type="dxa"/>
              <w:tblLayout w:type="fixed"/>
              <w:tblLook w:firstRow="1" w:lastRow="0" w:firstColumn="1" w:lastColumn="0" w:noHBand="0" w:noVBand="1" w:val="04A0"/>
            </w:tblPr>
            <w:tblGrid>
              <w:gridCol w:w="1548"/>
              <w:gridCol w:w="1548"/>
              <w:gridCol w:w="1548"/>
            </w:tblGrid>
            <w:tr>
              <w:trPr/>
              <w:tc>
                <w:tcPr>
                  <w:tcW w:w="1548" w:type="dxa"/>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eastAsia"/>
                    </w:rPr>
                  </w:pPr>
                  <w:r>
                    <w:rPr>
                      <w:rFonts w:hint="eastAsia" w:ascii="ＭＳ 明朝" w:hAnsi="ＭＳ 明朝" w:eastAsia="ＭＳ 明朝"/>
                      <w:color w:val="000000"/>
                      <w:kern w:val="0"/>
                      <w:sz w:val="20"/>
                    </w:rPr>
                    <w:t>名称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所在地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電話番号</w:t>
                  </w: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検査請求者に対して、成分検査について十分な説明が行われていること。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検査請求書の回付先を明らかにしていること。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受託者は、検査請求書を受理した時は、検査手数料の請求書に明細書を付して検査請求者に請求し、本会が定める手数料を検査請求者から徴収するものとする。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本会に対し、検査手数料額から委託業務に係る手数料額及び本会への試料送付料を控除して得た額を、本会が指定する方法で支払うとともに、成分検査の請求一件毎の検査手数料の請求書及びその明細書並びに委託業務に係る手数料の計算書を本会に送付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検査手数料の支払方法等が適正に行われるものであること。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検査手数料の取扱い</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受託者から本会への検査手数料の支払方法、本会から受託者への業務委託手数料の支払方法及び本会への試料送付料の支払方法）、支払方法を明確にすること。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受託者は、委託業務を円滑かつ効率的に行う観点から、検査請求者に対して、次に示す受検のための準備を指示するものとする。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受検ロットの編成</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条第５項の表示の添付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検査請求者に対する指示が、検査を円滑かつ効率的に行う観点から妥当なものであること。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検査試料の採取は、受託者に属する農産物検査員が、受検ロットごとに農林水産大臣が定める標準抽出法に従って行うものとする。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条第１項第６号において「農産物検査員」という。）は、自ら指示するところにより試料の採取を補助者に行わせることができる。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採取した試料については、１キログラムに合成縮分し、そのうち</w:t>
            </w:r>
            <w:r>
              <w:rPr>
                <w:rFonts w:hint="default" w:ascii="ＭＳ 明朝" w:hAnsi="ＭＳ 明朝" w:eastAsia="ＭＳ 明朝"/>
                <w:color w:val="000000"/>
                <w:kern w:val="0"/>
                <w:sz w:val="20"/>
              </w:rPr>
              <w:t>500</w:t>
            </w:r>
            <w:r>
              <w:rPr>
                <w:rFonts w:hint="eastAsia" w:ascii="ＭＳ 明朝" w:hAnsi="ＭＳ 明朝" w:eastAsia="ＭＳ 明朝"/>
                <w:color w:val="000000"/>
                <w:kern w:val="0"/>
                <w:sz w:val="20"/>
              </w:rPr>
              <w:t>グラムを別紙様式による試料採取調書を添付の上、本会の指定する検査場所（測定所）に送付するものとする。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採取に際しては、受検ロットに、水濡れ、汚損等の事故品が含まれていないことを確認するとともに、受検ロットと検査請求書の記載内容が異なる場合又は確認できない場合は、必要に応じ円滑な試料の採取ができるよう措置を講ず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受託者は、本会に送付した残りの試料については品質の劣化防止に留意の上、当該試料に係る検査証明書の発行後○日間は保管するものとし、その後は廃棄するものとする。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農産物検査員が標準抽出法に従って行うことを規定していること。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試料の取扱を明確にしていること。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試料採取における留意事項を明確にしていること。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受託者は、成分の測定に係る検査証明書が本会から送付された場合は、検査請求者に対し検査証明書を交付するとともに、次条の帳簿に交付年月日等を記入しておくものとする。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検査証明書の交付状況等について明確に記録しておくこと。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受託者は、委託に係る業務について次に掲げる事項を記載した帳簿を備え、他の業務との区別を明確にしておくものとする。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証明番号</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検査請求者名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検査受付年月日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試料採取年月日及び試料採取者名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五　種類、生産年度、銘柄、包装、量目及び検査数量</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六　成分項目別測定結果</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七　検査証明年月日及び交付年月日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八　検査手数料の単価及び手数料の額、委託手数料の額及び控除後の検査手数料の額</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帳簿については、業務完了後５年間保存しておくものとする。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帳簿については、電子記録媒体に記録した電磁的記録として、保存することも差し支えないものとする。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業務内容が明確に整理されるよう規定すること。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帳簿が必要な期間適正に保存されるよう規定すること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pPr w:leftFromText="142" w:rightFromText="142" w:topFromText="0" w:bottomFromText="0" w:vertAnchor="text" w:horzAnchor="text" w:tblpX="143" w:tblpY="8"/>
              <w:tblW w:w="0" w:type="auto"/>
              <w:tblLayout w:type="fixed"/>
              <w:tblLook w:firstRow="1" w:lastRow="0" w:firstColumn="1" w:lastColumn="0" w:noHBand="0" w:noVBand="1" w:val="04A0"/>
            </w:tblPr>
            <w:tblGrid>
              <w:gridCol w:w="4645"/>
            </w:tblGrid>
            <w:tr>
              <w:trPr/>
              <w:tc>
                <w:tcPr>
                  <w:tcW w:w="4645" w:type="dxa"/>
                  <w:vAlign w:val="top"/>
                </w:tcPr>
                <w:p>
                  <w:pPr>
                    <w:pStyle w:val="0"/>
                    <w:kinsoku w:val="1"/>
                    <w:wordWrap w:val="0"/>
                    <w:overflowPunct w:val="1"/>
                    <w:autoSpaceDE w:val="0"/>
                    <w:autoSpaceDN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2293620</wp:posOffset>
                            </wp:positionH>
                            <wp:positionV relativeFrom="paragraph">
                              <wp:posOffset>3259455</wp:posOffset>
                            </wp:positionV>
                            <wp:extent cx="249555" cy="30988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64pt;mso-position-vertical-relative:text;mso-position-horizontal-relative:text;position:absolute;height:24.4pt;mso-wrap-distance-top:0pt;width:19.64pt;mso-wrap-distance-left:5.65pt;margin-left:180.6pt;z-index:13;" o:spid="_x0000_s1037"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12415" cy="41643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2812415" cy="416433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bl>
    <w:p>
      <w:pPr>
        <w:pStyle w:val="0"/>
        <w:ind w:right="480"/>
        <w:jc w:val="left"/>
        <w:textAlignment w:val="baseline"/>
        <w:rPr>
          <w:rFonts w:hint="default" w:ascii="ＭＳ 明朝" w:hAnsi="ＭＳ 明朝" w:eastAsia="ＭＳ ゴシック"/>
          <w:color w:val="000000"/>
          <w:kern w:val="0"/>
          <w:sz w:val="24"/>
        </w:rPr>
      </w:pPr>
    </w:p>
    <w:sectPr>
      <w:headerReference r:id="rId5" w:type="default"/>
      <w:footerReference r:id="rId7" w:type="default"/>
      <w:footerReference r:id="rId6" w:type="first"/>
      <w:pgSz w:w="11906" w:h="16838"/>
      <w:pgMar w:top="1134" w:right="1134" w:bottom="454" w:left="1134" w:header="851" w:footer="113" w:gutter="0"/>
      <w:cols w:space="720"/>
      <w:titlePg w:val="1"/>
      <w:textDirection w:val="lrTb"/>
      <w:docGrid w:type="linesAndChars" w:linePitch="297" w:charSpace="-353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w:t>
        </w:r>
        <w:r>
          <w:rPr>
            <w:rFonts w:hint="eastAsia"/>
          </w:rPr>
          <w:fldChar w:fldCharType="end"/>
        </w: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10</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defaultTableStyle w:val="25"/>
  <w:drawingGridHorizontalSpacing w:val="193"/>
  <w:drawingGridVerticalSpacing w:val="297"/>
  <w:displayHorizontalDrawingGridEvery w:val="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name w:val="List Paragraph"/>
    <w:basedOn w:val="0"/>
    <w:next w:val="20"/>
    <w:link w:val="0"/>
    <w:uiPriority w:val="0"/>
    <w:qFormat/>
    <w:pPr>
      <w:ind w:left="840" w:leftChars="400"/>
    </w:p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character" w:styleId="23">
    <w:name w:val="page number"/>
    <w:basedOn w:val="10"/>
    <w:next w:val="23"/>
    <w:link w:val="0"/>
    <w:uiPriority w:val="0"/>
  </w:style>
  <w:style w:type="table" w:styleId="24" w:customStyle="1">
    <w:name w:val="スタイル1"/>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none" w:color="auto" w:sz="2" w:space="0"/>
        <w:insideV w:val="none" w:color="auto" w:sz="2" w:space="0"/>
      </w:tblBorders>
    </w:tblPr>
    <w:trPr/>
    <w:tcPr>
      <w:tcBorders>
        <w:tl2br w:val="none" w:color="auto" w:sz="2" w:space="0"/>
        <w:tr2bl w:val="none" w:color="auto" w:sz="2" w:space="0"/>
      </w:tcBorders>
    </w:tcPr>
  </w:style>
  <w:style w:type="table" w:styleId="25" w:customStyle="1">
    <w:name w:val="表（シンプル 1）"/>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ライトアップ">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1991</TotalTime>
  <Pages>17</Pages>
  <Words>86</Words>
  <Characters>14723</Characters>
  <Application>JUST Note</Application>
  <Lines>1264</Lines>
  <Paragraphs>456</Paragraphs>
  <Company>農林水産省</Company>
  <CharactersWithSpaces>15118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農林水産省</dc:creator>
  <cp:lastModifiedBy>Z22030</cp:lastModifiedBy>
  <cp:lastPrinted>2021-06-09T07:06:11Z</cp:lastPrinted>
  <dcterms:created xsi:type="dcterms:W3CDTF">2016-02-22T01:49:00Z</dcterms:created>
  <dcterms:modified xsi:type="dcterms:W3CDTF">2022-05-26T00:14:20Z</dcterms:modified>
  <cp:revision>51</cp:revision>
</cp:coreProperties>
</file>