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r>
        <w:rPr>
          <w:rFonts w:hint="eastAsia"/>
          <w:sz w:val="21"/>
        </w:rPr>
        <w:t>別表第２</w:t>
      </w:r>
    </w:p>
    <w:tbl>
      <w:tblPr>
        <w:tblStyle w:val="17"/>
        <w:tblW w:w="8504" w:type="auto"/>
        <w:tblInd w:w="0" w:type="dxa"/>
        <w:tblLayout w:type="fixed"/>
        <w:tblLook w:firstRow="0" w:lastRow="0" w:firstColumn="0" w:lastColumn="0" w:noHBand="1" w:noVBand="1" w:val="0600"/>
      </w:tblPr>
      <w:tblGrid>
        <w:gridCol w:w="1255"/>
        <w:gridCol w:w="1680"/>
        <w:gridCol w:w="3360"/>
        <w:gridCol w:w="2209"/>
      </w:tblGrid>
      <w:tr>
        <w:trPr>
          <w:cantSplit/>
        </w:trPr>
        <w:tc>
          <w:tcPr>
            <w:tcW w:w="1255" w:type="dxa"/>
            <w:vAlign w:val="top"/>
          </w:tcPr>
          <w:p>
            <w:pPr>
              <w:pStyle w:val="0"/>
              <w:jc w:val="center"/>
              <w:rPr>
                <w:rFonts w:hint="eastAsia"/>
                <w:sz w:val="21"/>
              </w:rPr>
            </w:pPr>
            <w:r>
              <w:rPr>
                <w:rFonts w:hint="eastAsia"/>
                <w:sz w:val="21"/>
              </w:rPr>
              <w:t>費目</w:t>
            </w:r>
          </w:p>
        </w:tc>
        <w:tc>
          <w:tcPr>
            <w:tcW w:w="1680" w:type="dxa"/>
            <w:vAlign w:val="top"/>
          </w:tcPr>
          <w:p>
            <w:pPr>
              <w:pStyle w:val="0"/>
              <w:jc w:val="center"/>
              <w:rPr>
                <w:rFonts w:hint="eastAsia"/>
                <w:sz w:val="21"/>
              </w:rPr>
            </w:pPr>
            <w:r>
              <w:rPr>
                <w:rFonts w:hint="eastAsia"/>
                <w:sz w:val="21"/>
              </w:rPr>
              <w:t>細目</w:t>
            </w:r>
          </w:p>
        </w:tc>
        <w:tc>
          <w:tcPr>
            <w:tcW w:w="3360" w:type="dxa"/>
            <w:vAlign w:val="top"/>
          </w:tcPr>
          <w:p>
            <w:pPr>
              <w:pStyle w:val="0"/>
              <w:jc w:val="center"/>
              <w:rPr>
                <w:rFonts w:hint="eastAsia"/>
                <w:sz w:val="21"/>
              </w:rPr>
            </w:pPr>
            <w:r>
              <w:rPr>
                <w:rFonts w:hint="eastAsia"/>
                <w:sz w:val="21"/>
              </w:rPr>
              <w:t>内容</w:t>
            </w:r>
          </w:p>
        </w:tc>
        <w:tc>
          <w:tcPr>
            <w:tcW w:w="2209" w:type="dxa"/>
            <w:vAlign w:val="top"/>
          </w:tcPr>
          <w:p>
            <w:pPr>
              <w:pStyle w:val="0"/>
              <w:jc w:val="center"/>
              <w:rPr>
                <w:rFonts w:hint="eastAsia"/>
                <w:sz w:val="21"/>
              </w:rPr>
            </w:pPr>
            <w:r>
              <w:rPr>
                <w:rFonts w:hint="eastAsia"/>
                <w:sz w:val="21"/>
              </w:rPr>
              <w:t>注意点</w:t>
            </w:r>
          </w:p>
        </w:tc>
      </w:tr>
      <w:tr>
        <w:trPr>
          <w:cantSplit/>
        </w:trPr>
        <w:tc>
          <w:tcPr>
            <w:tcW w:w="1255" w:type="dxa"/>
            <w:vAlign w:val="top"/>
          </w:tcPr>
          <w:p>
            <w:pPr>
              <w:pStyle w:val="0"/>
              <w:rPr>
                <w:rFonts w:hint="eastAsia"/>
                <w:sz w:val="21"/>
              </w:rPr>
            </w:pPr>
            <w:r>
              <w:rPr>
                <w:rFonts w:hint="eastAsia"/>
                <w:sz w:val="21"/>
              </w:rPr>
              <w:t>賃金等</w:t>
            </w:r>
          </w:p>
        </w:tc>
        <w:tc>
          <w:tcPr>
            <w:tcW w:w="1680" w:type="dxa"/>
            <w:vAlign w:val="top"/>
          </w:tcPr>
          <w:p>
            <w:pPr>
              <w:pStyle w:val="0"/>
              <w:rPr>
                <w:rFonts w:hint="eastAsia"/>
                <w:sz w:val="21"/>
              </w:rPr>
            </w:pPr>
          </w:p>
        </w:tc>
        <w:tc>
          <w:tcPr>
            <w:tcW w:w="3360" w:type="dxa"/>
            <w:vAlign w:val="top"/>
          </w:tcPr>
          <w:p>
            <w:pPr>
              <w:pStyle w:val="0"/>
              <w:rPr>
                <w:rFonts w:hint="eastAsia"/>
                <w:sz w:val="21"/>
              </w:rPr>
            </w:pPr>
            <w:r>
              <w:rPr>
                <w:rFonts w:hint="eastAsia"/>
                <w:sz w:val="21"/>
              </w:rPr>
              <w:t>・本事業を実施するために直接必要な業務を目的として、雇用した者に対して支払う実働に応じた対価（日給又は時間給）及び通勤に要する交通費並びに雇用に伴う社会保険料等の事業主負担経費</w:t>
            </w:r>
          </w:p>
        </w:tc>
        <w:tc>
          <w:tcPr>
            <w:tcW w:w="2209" w:type="dxa"/>
            <w:vAlign w:val="top"/>
          </w:tcPr>
          <w:p>
            <w:pPr>
              <w:pStyle w:val="0"/>
              <w:rPr>
                <w:rFonts w:hint="eastAsia"/>
                <w:sz w:val="21"/>
              </w:rPr>
            </w:pPr>
            <w:r>
              <w:rPr>
                <w:rFonts w:hint="eastAsia"/>
                <w:sz w:val="21"/>
              </w:rPr>
              <w:t>・賃金については、「補助事業等の実施に要する人件費の算定等の適正化について（平成</w:t>
            </w:r>
            <w:r>
              <w:rPr>
                <w:rFonts w:hint="eastAsia"/>
                <w:sz w:val="21"/>
              </w:rPr>
              <w:t>22</w:t>
            </w:r>
            <w:r>
              <w:rPr>
                <w:rFonts w:hint="eastAsia"/>
                <w:sz w:val="21"/>
              </w:rPr>
              <w:t>年９月</w:t>
            </w:r>
            <w:r>
              <w:rPr>
                <w:rFonts w:hint="eastAsia"/>
                <w:sz w:val="21"/>
              </w:rPr>
              <w:t>27</w:t>
            </w:r>
            <w:r>
              <w:rPr>
                <w:rFonts w:hint="eastAsia"/>
                <w:sz w:val="21"/>
              </w:rPr>
              <w:t>日付け</w:t>
            </w:r>
            <w:r>
              <w:rPr>
                <w:rFonts w:hint="eastAsia"/>
                <w:sz w:val="21"/>
              </w:rPr>
              <w:t>22</w:t>
            </w:r>
            <w:r>
              <w:rPr>
                <w:rFonts w:hint="eastAsia"/>
                <w:sz w:val="21"/>
              </w:rPr>
              <w:t>経第</w:t>
            </w:r>
            <w:r>
              <w:rPr>
                <w:rFonts w:hint="eastAsia"/>
                <w:sz w:val="21"/>
              </w:rPr>
              <w:t>960</w:t>
            </w:r>
            <w:r>
              <w:rPr>
                <w:rFonts w:hint="eastAsia"/>
                <w:sz w:val="21"/>
              </w:rPr>
              <w:t>号農林水産省大臣官房経理課長通知）」に定めるところにより取り扱うものとする。</w:t>
            </w:r>
          </w:p>
          <w:p>
            <w:pPr>
              <w:pStyle w:val="0"/>
              <w:rPr>
                <w:rFonts w:hint="eastAsia"/>
                <w:sz w:val="21"/>
              </w:rPr>
            </w:pPr>
            <w:r>
              <w:rPr>
                <w:rFonts w:hint="eastAsia"/>
                <w:sz w:val="21"/>
              </w:rPr>
              <w:t>・賃金の単価の設定の根拠となる資料を添付すること。</w:t>
            </w:r>
          </w:p>
          <w:p>
            <w:pPr>
              <w:pStyle w:val="0"/>
              <w:rPr>
                <w:rFonts w:hint="eastAsia"/>
                <w:sz w:val="21"/>
              </w:rPr>
            </w:pPr>
            <w:r>
              <w:rPr>
                <w:rFonts w:hint="eastAsia"/>
                <w:sz w:val="21"/>
              </w:rPr>
              <w:t>・雇用通知書等により本事業にて雇用したことを明らかにすること。</w:t>
            </w:r>
          </w:p>
          <w:p>
            <w:pPr>
              <w:pStyle w:val="0"/>
              <w:rPr>
                <w:rFonts w:hint="eastAsia"/>
                <w:sz w:val="21"/>
              </w:rPr>
            </w:pPr>
            <w:r>
              <w:rPr>
                <w:rFonts w:hint="eastAsia"/>
                <w:sz w:val="21"/>
              </w:rPr>
              <w:t>・実働に応じた対価以外の有給休暇や各種手当ては認めない。</w:t>
            </w:r>
          </w:p>
        </w:tc>
      </w:tr>
      <w:tr>
        <w:trPr>
          <w:cantSplit/>
        </w:trPr>
        <w:tc>
          <w:tcPr>
            <w:tcW w:w="1255"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r>
              <w:rPr>
                <w:rFonts w:hint="eastAsia"/>
                <w:sz w:val="21"/>
              </w:rPr>
              <w:t>事業費</w:t>
            </w:r>
            <w:bookmarkStart w:id="0" w:name="_GoBack"/>
            <w:bookmarkEnd w:id="0"/>
          </w:p>
        </w:tc>
        <w:tc>
          <w:tcPr>
            <w:tcW w:w="1680" w:type="dxa"/>
            <w:vAlign w:val="top"/>
          </w:tcPr>
          <w:p>
            <w:pPr>
              <w:pStyle w:val="0"/>
              <w:rPr>
                <w:rFonts w:hint="eastAsia"/>
                <w:sz w:val="21"/>
              </w:rPr>
            </w:pPr>
            <w:r>
              <w:rPr>
                <w:rFonts w:hint="eastAsia"/>
                <w:sz w:val="21"/>
              </w:rPr>
              <w:t>通信・運搬費</w:t>
            </w:r>
          </w:p>
        </w:tc>
        <w:tc>
          <w:tcPr>
            <w:tcW w:w="3360" w:type="dxa"/>
            <w:vAlign w:val="top"/>
          </w:tcPr>
          <w:p>
            <w:pPr>
              <w:pStyle w:val="0"/>
              <w:rPr>
                <w:rFonts w:hint="eastAsia"/>
                <w:sz w:val="21"/>
              </w:rPr>
            </w:pPr>
            <w:r>
              <w:rPr>
                <w:rFonts w:hint="eastAsia"/>
                <w:sz w:val="21"/>
              </w:rPr>
              <w:t>・本事業を実施するために直接必要な郵便、運送、電話等の通信に係る経費</w:t>
            </w:r>
          </w:p>
        </w:tc>
        <w:tc>
          <w:tcPr>
            <w:tcW w:w="2209" w:type="dxa"/>
            <w:vAlign w:val="top"/>
          </w:tcPr>
          <w:p>
            <w:pPr>
              <w:pStyle w:val="0"/>
              <w:rPr>
                <w:rFonts w:hint="eastAsia"/>
                <w:sz w:val="21"/>
              </w:rPr>
            </w:pPr>
            <w:r>
              <w:rPr>
                <w:rFonts w:hint="eastAsia"/>
                <w:sz w:val="21"/>
              </w:rPr>
              <w:t>・切手は物品受払簿で管理すること。</w:t>
            </w:r>
          </w:p>
          <w:p>
            <w:pPr>
              <w:pStyle w:val="0"/>
              <w:rPr>
                <w:rFonts w:hint="eastAsia"/>
                <w:sz w:val="21"/>
              </w:rPr>
            </w:pPr>
            <w:r>
              <w:rPr>
                <w:rFonts w:hint="eastAsia"/>
                <w:sz w:val="21"/>
              </w:rPr>
              <w:t>・電話等の通信費については、基本料を除く。</w:t>
            </w:r>
          </w:p>
        </w:tc>
      </w:tr>
      <w:tr>
        <w:trPr>
          <w:cantSplit/>
        </w:trPr>
        <w:tc>
          <w:tcPr>
            <w:tcW w:w="125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20"/>
              </w:rPr>
            </w:pPr>
          </w:p>
        </w:tc>
        <w:tc>
          <w:tcPr>
            <w:tcW w:w="1680" w:type="dxa"/>
            <w:vAlign w:val="top"/>
          </w:tcPr>
          <w:p>
            <w:pPr>
              <w:pStyle w:val="0"/>
              <w:rPr>
                <w:rFonts w:hint="eastAsia"/>
                <w:sz w:val="21"/>
              </w:rPr>
            </w:pPr>
            <w:r>
              <w:rPr>
                <w:rFonts w:hint="eastAsia"/>
                <w:sz w:val="21"/>
              </w:rPr>
              <w:t>借上料</w:t>
            </w:r>
          </w:p>
        </w:tc>
        <w:tc>
          <w:tcPr>
            <w:tcW w:w="3360" w:type="dxa"/>
            <w:vAlign w:val="top"/>
          </w:tcPr>
          <w:p>
            <w:pPr>
              <w:pStyle w:val="0"/>
              <w:rPr>
                <w:rFonts w:hint="eastAsia"/>
                <w:sz w:val="21"/>
              </w:rPr>
            </w:pPr>
            <w:r>
              <w:rPr>
                <w:rFonts w:hint="eastAsia"/>
                <w:sz w:val="21"/>
              </w:rPr>
              <w:t>・本事業を実施するために直接必要なパソコン、プリンター等の事務機器及び事務所等の借上経費</w:t>
            </w:r>
          </w:p>
          <w:p>
            <w:pPr>
              <w:pStyle w:val="0"/>
              <w:rPr>
                <w:rFonts w:hint="eastAsia"/>
                <w:sz w:val="21"/>
              </w:rPr>
            </w:pPr>
            <w:r>
              <w:rPr>
                <w:rFonts w:hint="eastAsia"/>
                <w:sz w:val="21"/>
              </w:rPr>
              <w:t>・現地確認のための自動車の借上経費</w:t>
            </w:r>
          </w:p>
        </w:tc>
        <w:tc>
          <w:tcPr>
            <w:tcW w:w="2209" w:type="dxa"/>
            <w:vAlign w:val="top"/>
          </w:tcPr>
          <w:p>
            <w:pPr>
              <w:pStyle w:val="0"/>
              <w:rPr>
                <w:rFonts w:hint="eastAsia"/>
                <w:sz w:val="21"/>
              </w:rPr>
            </w:pPr>
            <w:r>
              <w:rPr>
                <w:rFonts w:hint="eastAsia"/>
                <w:sz w:val="21"/>
              </w:rPr>
              <w:t>・レンタルが困難な場合は、リースも対象とする。ただし、補助対象経費は、本事業を実施するために必要な期間に係る経費に限るものとする。</w:t>
            </w:r>
          </w:p>
        </w:tc>
      </w:tr>
      <w:tr>
        <w:trPr>
          <w:cantSplit/>
        </w:trPr>
        <w:tc>
          <w:tcPr>
            <w:tcW w:w="125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印刷製本費</w:t>
            </w: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・本事業を実施するために直接必要な資料等の印刷費の経費</w:t>
            </w:r>
          </w:p>
        </w:tc>
        <w:tc>
          <w:tcPr>
            <w:tcW w:w="22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p>
        </w:tc>
      </w:tr>
      <w:tr>
        <w:trPr>
          <w:cantSplit/>
        </w:trPr>
        <w:tc>
          <w:tcPr>
            <w:tcW w:w="125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68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21"/>
              </w:rPr>
            </w:pPr>
            <w:r>
              <w:rPr>
                <w:rFonts w:hint="eastAsia"/>
                <w:sz w:val="21"/>
              </w:rPr>
              <w:t>消耗品費</w:t>
            </w:r>
          </w:p>
          <w:p>
            <w:pPr>
              <w:pStyle w:val="0"/>
              <w:rPr>
                <w:rFonts w:hint="eastAsia"/>
                <w:sz w:val="21"/>
              </w:rPr>
            </w:pPr>
          </w:p>
        </w:tc>
        <w:tc>
          <w:tcPr>
            <w:tcW w:w="336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21"/>
              </w:rPr>
            </w:pPr>
            <w:r>
              <w:rPr>
                <w:rFonts w:hint="eastAsia"/>
                <w:sz w:val="21"/>
              </w:rPr>
              <w:t>・本事業を実施するために直接必要な以下の経費</w:t>
            </w:r>
          </w:p>
          <w:p>
            <w:pPr>
              <w:pStyle w:val="0"/>
              <w:rPr>
                <w:rFonts w:hint="eastAsia"/>
                <w:sz w:val="21"/>
              </w:rPr>
            </w:pPr>
            <w:r>
              <w:rPr>
                <w:rFonts w:hint="eastAsia"/>
                <w:sz w:val="21"/>
              </w:rPr>
              <w:t>・短期間（補助対象事業実施期間内）又は一度の使用によって消費されその効力を失う低廉な物品</w:t>
            </w:r>
          </w:p>
          <w:p>
            <w:pPr>
              <w:pStyle w:val="0"/>
              <w:rPr>
                <w:rFonts w:hint="eastAsia"/>
                <w:sz w:val="21"/>
              </w:rPr>
            </w:pPr>
            <w:r>
              <w:rPr>
                <w:rFonts w:hint="eastAsia"/>
                <w:sz w:val="21"/>
              </w:rPr>
              <w:t>・ＵＳＢメモリ等の低廉な記録媒体</w:t>
            </w:r>
          </w:p>
        </w:tc>
        <w:tc>
          <w:tcPr>
            <w:tcW w:w="22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sz w:val="21"/>
              </w:rPr>
            </w:pPr>
            <w:r>
              <w:rPr>
                <w:rFonts w:hint="eastAsia"/>
                <w:sz w:val="21"/>
              </w:rPr>
              <w:t>・消耗品は物品受払簿で管理すること。</w:t>
            </w:r>
          </w:p>
        </w:tc>
      </w:tr>
      <w:tr>
        <w:trPr>
          <w:cantSplit/>
        </w:trPr>
        <w:tc>
          <w:tcPr>
            <w:tcW w:w="12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委託費</w:t>
            </w: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360" w:type="dxa"/>
            <w:vAlign w:val="top"/>
          </w:tcPr>
          <w:p>
            <w:pPr>
              <w:pStyle w:val="0"/>
              <w:rPr>
                <w:rFonts w:hint="eastAsia"/>
                <w:sz w:val="21"/>
              </w:rPr>
            </w:pPr>
            <w:r>
              <w:rPr>
                <w:rFonts w:hint="eastAsia"/>
                <w:sz w:val="21"/>
              </w:rPr>
              <w:t>・本事業を効率的に実施するために行う、事務の一部（申請書の記載確認、とりまとめ等）を他の者に委託するために必要な経費</w:t>
            </w:r>
          </w:p>
        </w:tc>
        <w:tc>
          <w:tcPr>
            <w:tcW w:w="2209" w:type="dxa"/>
            <w:vAlign w:val="top"/>
          </w:tcPr>
          <w:p>
            <w:pPr>
              <w:pStyle w:val="0"/>
              <w:rPr>
                <w:rFonts w:hint="eastAsia"/>
                <w:sz w:val="21"/>
              </w:rPr>
            </w:pPr>
            <w:r>
              <w:rPr>
                <w:rFonts w:hint="eastAsia"/>
                <w:sz w:val="21"/>
              </w:rPr>
              <w:t>・内部で社内発注を行う場合は、利潤を除外した実費弁済の経費に限るものとする。</w:t>
            </w:r>
          </w:p>
        </w:tc>
      </w:tr>
      <w:tr>
        <w:trPr>
          <w:cantSplit/>
        </w:trPr>
        <w:tc>
          <w:tcPr>
            <w:tcW w:w="1255" w:type="dxa"/>
            <w:vMerge w:val="restart"/>
            <w:vAlign w:val="top"/>
          </w:tcPr>
          <w:p>
            <w:pPr>
              <w:pStyle w:val="0"/>
              <w:rPr>
                <w:rFonts w:hint="eastAsia"/>
                <w:sz w:val="21"/>
              </w:rPr>
            </w:pPr>
            <w:r>
              <w:rPr>
                <w:rFonts w:hint="eastAsia"/>
                <w:sz w:val="21"/>
              </w:rPr>
              <w:t>雑役務費</w:t>
            </w:r>
          </w:p>
        </w:tc>
        <w:tc>
          <w:tcPr>
            <w:tcW w:w="1680" w:type="dxa"/>
            <w:vAlign w:val="top"/>
          </w:tcPr>
          <w:p>
            <w:pPr>
              <w:pStyle w:val="0"/>
              <w:rPr>
                <w:rFonts w:hint="eastAsia"/>
                <w:sz w:val="21"/>
              </w:rPr>
            </w:pPr>
            <w:r>
              <w:rPr>
                <w:rFonts w:hint="eastAsia"/>
                <w:sz w:val="21"/>
              </w:rPr>
              <w:t>手数料</w:t>
            </w:r>
          </w:p>
        </w:tc>
        <w:tc>
          <w:tcPr>
            <w:tcW w:w="3360" w:type="dxa"/>
            <w:vAlign w:val="top"/>
          </w:tcPr>
          <w:p>
            <w:pPr>
              <w:pStyle w:val="0"/>
              <w:rPr>
                <w:rFonts w:hint="eastAsia"/>
                <w:sz w:val="21"/>
              </w:rPr>
            </w:pPr>
            <w:r>
              <w:rPr>
                <w:rFonts w:hint="eastAsia"/>
                <w:sz w:val="21"/>
              </w:rPr>
              <w:t>・本事業を実施するために直接必要な振込手数料</w:t>
            </w:r>
          </w:p>
        </w:tc>
        <w:tc>
          <w:tcPr>
            <w:tcW w:w="2209" w:type="dxa"/>
            <w:vAlign w:val="top"/>
          </w:tcPr>
          <w:p>
            <w:pPr>
              <w:pStyle w:val="0"/>
              <w:rPr>
                <w:rFonts w:hint="eastAsia"/>
                <w:sz w:val="21"/>
              </w:rPr>
            </w:pPr>
          </w:p>
        </w:tc>
      </w:tr>
      <w:tr>
        <w:trPr>
          <w:cantSplit/>
        </w:trPr>
        <w:tc>
          <w:tcPr>
            <w:tcW w:w="1255" w:type="dxa"/>
            <w:vMerge w:val="continue"/>
            <w:vAlign w:val="top"/>
          </w:tcPr>
          <w:p>
            <w:pPr>
              <w:pStyle w:val="0"/>
              <w:rPr>
                <w:rFonts w:hint="eastAsia"/>
              </w:rPr>
            </w:pPr>
          </w:p>
        </w:tc>
        <w:tc>
          <w:tcPr>
            <w:tcW w:w="1680" w:type="dxa"/>
            <w:vMerge w:val="restart"/>
            <w:vAlign w:val="top"/>
          </w:tcPr>
          <w:p>
            <w:pPr>
              <w:pStyle w:val="0"/>
              <w:rPr>
                <w:rFonts w:hint="eastAsia"/>
                <w:sz w:val="21"/>
              </w:rPr>
            </w:pPr>
            <w:r>
              <w:rPr>
                <w:rFonts w:hint="eastAsia"/>
                <w:sz w:val="21"/>
              </w:rPr>
              <w:t>租税公課</w:t>
            </w:r>
          </w:p>
        </w:tc>
        <w:tc>
          <w:tcPr>
            <w:tcW w:w="3360" w:type="dxa"/>
            <w:vMerge w:val="restart"/>
            <w:vAlign w:val="top"/>
          </w:tcPr>
          <w:p>
            <w:pPr>
              <w:pStyle w:val="0"/>
              <w:rPr>
                <w:rFonts w:hint="eastAsia"/>
                <w:sz w:val="21"/>
              </w:rPr>
            </w:pPr>
            <w:r>
              <w:rPr>
                <w:rFonts w:hint="eastAsia"/>
                <w:sz w:val="21"/>
              </w:rPr>
              <w:t>・本事業を実施するために直接必要な委託の契約書に貼付する印紙等に係る経費</w:t>
            </w:r>
          </w:p>
        </w:tc>
        <w:tc>
          <w:tcPr>
            <w:tcW w:w="2209" w:type="dxa"/>
            <w:vAlign w:val="top"/>
          </w:tcPr>
          <w:p>
            <w:pPr>
              <w:pStyle w:val="0"/>
              <w:rPr>
                <w:rFonts w:hint="eastAsia"/>
                <w:sz w:val="21"/>
              </w:rPr>
            </w:pPr>
          </w:p>
        </w:tc>
      </w:tr>
    </w:tbl>
    <w:p>
      <w:pPr>
        <w:pStyle w:val="0"/>
        <w:ind w:leftChars="0" w:hanging="840" w:hangingChars="400"/>
        <w:rPr>
          <w:rFonts w:hint="eastAsia"/>
          <w:sz w:val="21"/>
        </w:rPr>
      </w:pPr>
      <w:r>
        <w:rPr>
          <w:rFonts w:hint="eastAsia"/>
          <w:sz w:val="21"/>
        </w:rPr>
        <w:t>注意　１　上記の経費であっても補助事業の有無にかかわらず事業実施主体で具備すべき備品・物品等の購入及びリース・レンタルの場合は認めないものとする。</w:t>
      </w:r>
    </w:p>
    <w:p>
      <w:pPr>
        <w:pStyle w:val="0"/>
        <w:ind w:left="840" w:leftChars="300" w:hanging="210" w:hangingChars="100"/>
        <w:rPr>
          <w:rFonts w:hint="eastAsia"/>
          <w:sz w:val="21"/>
        </w:rPr>
      </w:pPr>
      <w:r>
        <w:rPr>
          <w:rFonts w:hint="eastAsia"/>
          <w:sz w:val="21"/>
        </w:rPr>
        <w:t>２　補助対象経費は、本事業に対象として明確に区分できるもので、かつ、証拠書類によって金額等が確認できるもののみとする。なお、その経理に当たっては、費目ごとに整理するとともに他事業等の会計と区分すること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4</Words>
  <Characters>971</Characters>
  <Application>JUST Note</Application>
  <Lines>135</Lines>
  <Paragraphs>37</Paragraphs>
  <CharactersWithSpaces>974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442923</cp:lastModifiedBy>
  <dcterms:modified xsi:type="dcterms:W3CDTF">2022-10-11T02:58:59Z</dcterms:modified>
  <cp:revision>3</cp:revision>
</cp:coreProperties>
</file>