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harts/chart1.xml" ContentType="application/vnd.openxmlformats-officedocument.drawingml.chart+xml"/>
  <Override PartName="/word/embeddings/Microsoft_Office_Excel_______3.xlsx" ContentType="application/vnd.openxmlformats-officedocument.spreadsheetml.sheet"/>
  <Override PartName="/word/drawings/drawing2.xml" ContentType="application/vnd.openxmlformats-officedocument.drawingml.chartshapes+xml"/>
  <Override PartName="/word/theme/themeOverride1.xml" ContentType="application/vnd.openxmlformats-officedocument.themeOverride+xml"/>
  <Override PartName="/word/charts/chart2.xml" ContentType="application/vnd.openxmlformats-officedocument.drawingml.chart+xml"/>
  <Override PartName="/word/embeddings/JUSTCalc_Worksheet1.xlsx" ContentType="application/vnd.openxmlformats-officedocument.spreadsheetml.sheet"/>
  <Override PartName="/word/drawings/drawing1.xml" ContentType="application/vnd.openxmlformats-officedocument.drawingml.chartshapes+xml"/>
  <Override PartName="/word/charts/chart3.xml" ContentType="application/vnd.openxmlformats-officedocument.drawingml.chart+xml"/>
  <Override PartName="/word/embeddings/JUSTCalc_Worksheet2.xlsx" ContentType="application/vnd.openxmlformats-officedocument.spreadsheetml.sheet"/>
  <Override PartName="/word/drawings/drawing3.xml" ContentType="application/vnd.openxmlformats-officedocument.drawingml.chartshapes+xml"/>
  <Override PartName="/word/charts/chart4.xml" ContentType="application/vnd.openxmlformats-officedocument.drawingml.chart+xml"/>
  <Override PartName="/word/embeddings/Microsoft_Office_Excel_______6.xlsx" ContentType="application/vnd.openxmlformats-officedocument.spreadsheetml.sheet"/>
  <Override PartName="/word/drawings/drawing4.xml" ContentType="application/vnd.openxmlformats-officedocument.drawingml.chartshapes+xml"/>
  <Override PartName="/word/charts/chart5.xml" ContentType="application/vnd.openxmlformats-officedocument.drawingml.chart+xml"/>
  <Override PartName="/word/embeddings/Microsoft_Excel_Worksheet4.xlsx" ContentType="application/vnd.openxmlformats-officedocument.spreadsheetml.sheet"/>
  <Override PartName="/word/charts/chart6.xml" ContentType="application/vnd.openxmlformats-officedocument.drawingml.chart+xml"/>
  <Override PartName="/word/embeddings/JUSTCalc_Worksheet10.xlsx" ContentType="application/vnd.openxmlformats-officedocument.spreadsheetml.sheet"/>
  <Override PartName="/word/theme/themeOverride2.xml" ContentType="application/vnd.openxmlformats-officedocument.themeOverride+xml"/>
  <Override PartName="/word/charts/colors1.xml" ContentType="application/vnd.ms-office.chartcolorstyle+xml"/>
  <Override PartName="/word/charts/style1.xml" ContentType="application/vnd.ms-office.chartstyle+xml"/>
  <Override PartName="/word/charts/chart7.xml" ContentType="application/vnd.openxmlformats-officedocument.drawingml.chart+xml"/>
  <Override PartName="/word/embeddings/JUSTCalc_Worksheet16.xlsx" ContentType="application/vnd.openxmlformats-officedocument.spreadsheetml.sheet"/>
  <Override PartName="/word/charts/colors2.xml" ContentType="application/vnd.ms-office.chartcolorstyle+xml"/>
  <Override PartName="/word/charts/style2.xml" ContentType="application/vnd.ms-office.chartstyle+xml"/>
  <Override PartName="/word/charts/chart8.xml" ContentType="application/vnd.openxmlformats-officedocument.drawingml.chart+xml"/>
  <Override PartName="/word/charts/colors3.xml" ContentType="application/vnd.ms-office.chartcolorstyle+xml"/>
  <Override PartName="/word/charts/style3.xml" ContentType="application/vnd.ms-office.chartstyle+xml"/>
  <Override PartName="/word/charts/chart9.xml" ContentType="application/vnd.openxmlformats-officedocument.drawingml.chart+xml"/>
  <Override PartName="/word/charts/colors4.xml" ContentType="application/vnd.ms-office.chartcolorstyle+xml"/>
  <Override PartName="/word/charts/style4.xml" ContentType="application/vnd.ms-office.chartstyle+xml"/>
  <Override PartName="/word/charts/chart10.xml" ContentType="application/vnd.openxmlformats-officedocument.drawingml.chart+xml"/>
  <Override PartName="/word/embeddings/JUST_Calc____(xlsx)11.xlsx" ContentType="application/vnd.openxmlformats-officedocument.spreadsheetml.sheet"/>
  <Override PartName="/word/charts/chart11.xml" ContentType="application/vnd.openxmlformats-officedocument.drawingml.chart+xml"/>
  <Override PartName="/word/theme/themeOverride3.xml" ContentType="application/vnd.openxmlformats-officedocument.themeOverride+xml"/>
  <Override PartName="/word/charts/colors5.xml" ContentType="application/vnd.ms-office.chartcolorstyle+xml"/>
  <Override PartName="/word/charts/style5.xml" ContentType="application/vnd.ms-office.chartstyle+xml"/>
  <Override PartName="/word/charts/chart12.xml" ContentType="application/vnd.openxmlformats-officedocument.drawingml.chart+xml"/>
  <Override PartName="/word/theme/themeOverride4.xml" ContentType="application/vnd.openxmlformats-officedocument.themeOverride+xml"/>
  <Override PartName="/word/charts/colors6.xml" ContentType="application/vnd.ms-office.chartcolorstyle+xml"/>
  <Override PartName="/word/charts/style6.xml" ContentType="application/vnd.ms-office.chartstyle+xml"/>
  <Override PartName="/word/charts/chart13.xml" ContentType="application/vnd.openxmlformats-officedocument.drawingml.chart+xml"/>
  <Override PartName="/word/theme/themeOverride5.xml" ContentType="application/vnd.openxmlformats-officedocument.themeOverride+xml"/>
  <Override PartName="/word/charts/colors7.xml" ContentType="application/vnd.ms-office.chartcolorstyle+xml"/>
  <Override PartName="/word/charts/style7.xml" ContentType="application/vnd.ms-office.chartstyle+xml"/>
  <Override PartName="/word/charts/chart14.xml" ContentType="application/vnd.openxmlformats-officedocument.drawingml.chart+xml"/>
  <Override PartName="/word/theme/themeOverride6.xml" ContentType="application/vnd.openxmlformats-officedocument.themeOverride+xml"/>
  <Override PartName="/word/charts/colors8.xml" ContentType="application/vnd.ms-office.chartcolorstyle+xml"/>
  <Override PartName="/word/charts/style8.xml" ContentType="application/vnd.ms-office.chartstyle+xml"/>
  <Override PartName="/word/charts/chart15.xml" ContentType="application/vnd.openxmlformats-officedocument.drawingml.chart+xml"/>
  <Override PartName="/word/charts/colors9.xml" ContentType="application/vnd.ms-office.chartcolorstyle+xml"/>
  <Override PartName="/word/charts/style9.xml" ContentType="application/vnd.ms-office.chartstyle+xml"/>
  <Override PartName="/word/charts/chart16.xml" ContentType="application/vnd.openxmlformats-officedocument.drawingml.chart+xml"/>
  <Override PartName="/word/theme/themeOverride7.xml" ContentType="application/vnd.openxmlformats-officedocument.themeOverride+xml"/>
  <Override PartName="/word/charts/colors10.xml" ContentType="application/vnd.ms-office.chartcolorstyle+xml"/>
  <Override PartName="/word/charts/style10.xml" ContentType="application/vnd.ms-office.chartstyle+xml"/>
  <Override PartName="/word/charts/chart17.xml" ContentType="application/vnd.openxmlformats-officedocument.drawingml.chart+xml"/>
  <Override PartName="/word/theme/themeOverride8.xml" ContentType="application/vnd.openxmlformats-officedocument.themeOverride+xml"/>
  <Override PartName="/word/charts/colors11.xml" ContentType="application/vnd.ms-office.chartcolorstyle+xml"/>
  <Override PartName="/word/charts/style11.xml" ContentType="application/vnd.ms-office.chartstyle+xml"/>
  <Override PartName="/word/charts/chart18.xml" ContentType="application/vnd.openxmlformats-officedocument.drawingml.chart+xml"/>
  <Override PartName="/word/theme/themeOverride9.xml" ContentType="application/vnd.openxmlformats-officedocument.themeOverride+xml"/>
  <Override PartName="/word/charts/colors12.xml" ContentType="application/vnd.ms-office.chartcolorstyle+xml"/>
  <Override PartName="/word/charts/style12.xml" ContentType="application/vnd.ms-office.chartstyle+xml"/>
  <Override PartName="/word/charts/chart19.xml" ContentType="application/vnd.openxmlformats-officedocument.drawingml.chart+xml"/>
  <Override PartName="/word/charts/colors13.xml" ContentType="application/vnd.ms-office.chartcolorstyle+xml"/>
  <Override PartName="/word/charts/style13.xml" ContentType="application/vnd.ms-office.chartstyle+xml"/>
  <Override PartName="/word/charts/chart20.xml" ContentType="application/vnd.openxmlformats-officedocument.drawingml.chart+xml"/>
  <Override PartName="/word/drawings/drawing5.xml" ContentType="application/vnd.openxmlformats-officedocument.drawingml.chartshapes+xml"/>
  <Override PartName="/word/theme/themeOverride10.xml" ContentType="application/vnd.openxmlformats-officedocument.themeOverride+xml"/>
  <Override PartName="/word/charts/colors14.xml" ContentType="application/vnd.ms-office.chartcolorstyle+xml"/>
  <Override PartName="/word/charts/style14.xml" ContentType="application/vnd.ms-office.chartstyle+xml"/>
  <Override PartName="/word/charts/chart21.xml" ContentType="application/vnd.openxmlformats-officedocument.drawingml.chart+xml"/>
  <Override PartName="/word/drawings/drawing6.xml" ContentType="application/vnd.openxmlformats-officedocument.drawingml.chartshapes+xml"/>
  <Override PartName="/word/theme/themeOverride11.xml" ContentType="application/vnd.openxmlformats-officedocument.themeOverride+xml"/>
  <Override PartName="/word/charts/colors15.xml" ContentType="application/vnd.ms-office.chartcolorstyle+xml"/>
  <Override PartName="/word/charts/style15.xml" ContentType="application/vnd.ms-office.chartstyle+xml"/>
  <Override PartName="/word/charts/chart22.xml" ContentType="application/vnd.openxmlformats-officedocument.drawingml.chart+xml"/>
  <Override PartName="/word/theme/themeOverride12.xml" ContentType="application/vnd.openxmlformats-officedocument.themeOverride+xml"/>
  <Override PartName="/word/charts/colors16.xml" ContentType="application/vnd.ms-office.chartcolorstyle+xml"/>
  <Override PartName="/word/charts/style16.xml" ContentType="application/vnd.ms-office.chartstyle+xml"/>
  <Override PartName="/word/charts/chart23.xml" ContentType="application/vnd.openxmlformats-officedocument.drawingml.chart+xml"/>
  <Override PartName="/word/theme/themeOverride13.xml" ContentType="application/vnd.openxmlformats-officedocument.themeOverride+xml"/>
  <Override PartName="/word/charts/colors17.xml" ContentType="application/vnd.ms-office.chartcolorstyle+xml"/>
  <Override PartName="/word/charts/style17.xml" ContentType="application/vnd.ms-office.chartsty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rPr>
          <w:rFonts w:hint="default"/>
          <w:color w:val="002060"/>
          <w:sz w:val="36"/>
          <w:highlight w:val="none"/>
        </w:rPr>
      </w:pPr>
      <w:r>
        <w:rPr>
          <w:rFonts w:hint="eastAsia" w:asciiTheme="minorEastAsia" w:hAnsiTheme="minorEastAsia"/>
          <w:b w:val="1"/>
          <w:color w:val="002060"/>
          <w:sz w:val="28"/>
          <w:highlight w:val="none"/>
        </w:rPr>
        <w:t>第２節　脳卒中</w:t>
      </w:r>
    </w:p>
    <w:p>
      <w:pPr>
        <w:pStyle w:val="0"/>
        <w:spacing w:before="160" w:beforeLines="50" w:beforeAutospacing="0" w:line="240" w:lineRule="auto"/>
        <w:ind w:right="272" w:rightChars="1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脳卒中には、脳血管を閉塞する脳梗塞、脳の血管が破綻し脳内に出血する脳出血、脳動脈瘤が破綻し、くも膜下腔に出血するくも膜下出血があります。</w:t>
      </w:r>
    </w:p>
    <w:p>
      <w:pPr>
        <w:pStyle w:val="0"/>
        <w:spacing w:line="240" w:lineRule="auto"/>
        <w:ind w:right="272" w:rightChars="1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脳卒中の発症に直接的に影響を与える要因には、高血圧、糖尿病、脂質異常症、不整脈（特に心房細動</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、喫煙、過度の飲酒があり、発症予防のためにはこれらの管理が重要です。</w:t>
      </w:r>
    </w:p>
    <w:p>
      <w:pPr>
        <w:pStyle w:val="0"/>
        <w:spacing w:line="240" w:lineRule="auto"/>
        <w:ind w:right="272" w:rightChars="1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脳卒中による死亡者を減少させ、予後を向上させるためには、発症後できるだけ早期に適切な治療を開始できるよう治療へのアクセス向上を図ることが重要です。</w:t>
      </w:r>
    </w:p>
    <w:p>
      <w:pPr>
        <w:pStyle w:val="0"/>
        <w:spacing w:line="240" w:lineRule="auto"/>
        <w:ind w:right="272" w:rightChars="1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また、脳卒中は介護が必要となる主な原因のひとつであり、社会生活に復帰するまでに、身体機能の回復を目的としたリハビリテーションが必要です。さらに、多職種の連携による再発予防や誤嚥性肺炎等の合併症予防も重要です。</w:t>
      </w:r>
    </w:p>
    <w:p>
      <w:pPr>
        <w:pStyle w:val="0"/>
        <w:spacing w:line="240" w:lineRule="auto"/>
        <w:ind w:right="272" w:rightChars="123" w:firstLine="221"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u w:val="none" w:color="auto"/>
        </w:rPr>
        <w:t>このように患者の予後やＱＯＬを高めるためには、各関係機関が連携し、予防から急性期、回復期、維持期にかけての切れ目ない医療提供体制や、脳卒中患者を中心とした包括的な支援体制の強化が必要になります。</w:t>
      </w:r>
    </w:p>
    <w:p>
      <w:pPr>
        <w:pStyle w:val="0"/>
        <w:tabs>
          <w:tab w:val="left" w:leader="none" w:pos="567"/>
        </w:tabs>
        <w:spacing w:line="240" w:lineRule="auto"/>
        <w:ind w:right="132" w:rightChars="58"/>
        <w:rPr>
          <w:rFonts w:hint="eastAsia" w:ascii="ＭＳ 明朝" w:hAnsi="ＭＳ 明朝" w:eastAsia="ＭＳ 明朝"/>
          <w:b w:val="1"/>
          <w:color w:val="auto"/>
          <w:highlight w:val="none"/>
          <w:bdr w:val="single" w:color="auto" w:sz="4" w:space="0"/>
          <w:shd w:val="clear" w:color="auto" w:themeFill="accent4" w:themeFillTint="33" w:themeFillShade="FF"/>
        </w:rPr>
      </w:pPr>
    </w:p>
    <w:p>
      <w:pPr>
        <w:pStyle w:val="0"/>
        <w:rPr>
          <w:rFonts w:hint="eastAsia" w:ascii="ＭＳ 明朝" w:hAnsi="ＭＳ 明朝" w:eastAsia="ＭＳ 明朝"/>
          <w:b w:val="1"/>
          <w:color w:val="auto"/>
          <w:sz w:val="22"/>
          <w:highlight w:val="none"/>
          <w:bdr w:val="single" w:color="auto" w:sz="4" w:space="0"/>
          <w:shd w:val="clear" w:color="auto" w:themeFill="accent4" w:themeFillTint="33" w:themeFillShade="FF"/>
        </w:rPr>
      </w:pPr>
      <w:r>
        <w:rPr>
          <w:rFonts w:hint="eastAsia" w:ascii="ＭＳ 明朝" w:hAnsi="ＭＳ 明朝" w:eastAsia="ＭＳ 明朝"/>
          <w:b w:val="1"/>
          <w:color w:val="auto"/>
          <w:kern w:val="2"/>
          <w:sz w:val="22"/>
          <w:highlight w:val="none"/>
          <w:bdr w:val="single" w:color="auto" w:sz="4" w:space="0"/>
          <w:shd w:val="clear" w:color="auto" w:fill="E5DFEC"/>
        </w:rPr>
        <w:t>現状</w:t>
      </w:r>
    </w:p>
    <w:p>
      <w:pPr>
        <w:pStyle w:val="0"/>
        <w:rPr>
          <w:rFonts w:hint="eastAsia" w:ascii="ＭＳ 明朝" w:hAnsi="ＭＳ 明朝" w:eastAsia="ＭＳ 明朝"/>
          <w:b w:val="1"/>
          <w:color w:val="002060"/>
          <w:highlight w:val="none"/>
        </w:rPr>
      </w:pPr>
      <w:r>
        <w:rPr>
          <w:rFonts w:hint="eastAsia" w:ascii="ＭＳ 明朝" w:hAnsi="ＭＳ 明朝" w:eastAsia="ＭＳ 明朝"/>
          <w:b w:val="1"/>
          <w:color w:val="0070C0"/>
          <w:sz w:val="22"/>
          <w:highlight w:val="none"/>
        </w:rPr>
        <w:t>１　予防の状況</w:t>
      </w:r>
    </w:p>
    <w:p>
      <w:pPr>
        <w:pStyle w:val="0"/>
        <w:spacing w:line="240" w:lineRule="auto"/>
        <w:rPr>
          <w:rFonts w:hint="eastAsia" w:ascii="ＭＳ 明朝" w:hAnsi="ＭＳ 明朝" w:eastAsia="ＭＳ 明朝"/>
          <w:b w:val="1"/>
          <w:color w:val="auto"/>
          <w:sz w:val="22"/>
          <w:highlight w:val="none"/>
          <w:u w:val="none" w:color="auto"/>
        </w:rPr>
      </w:pPr>
      <w:r>
        <w:rPr>
          <w:rFonts w:hint="eastAsia" w:ascii="ＭＳ 明朝" w:hAnsi="ＭＳ 明朝" w:eastAsia="ＭＳ 明朝"/>
          <w:b w:val="1"/>
          <w:color w:val="auto"/>
          <w:sz w:val="22"/>
          <w:highlight w:val="none"/>
          <w:u w:val="none" w:color="auto"/>
        </w:rPr>
        <w:t>（１）生活習慣の状況</w:t>
      </w:r>
    </w:p>
    <w:p>
      <w:pPr>
        <w:pStyle w:val="0"/>
        <w:spacing w:line="240" w:lineRule="auto"/>
        <w:ind w:left="221" w:leftChars="100" w:right="272" w:rightChars="123" w:firstLine="221"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u w:val="none" w:color="auto"/>
        </w:rPr>
        <w:t>脳卒中の発症に関係する生活習慣には食塩の過剰摂取、運動不足、喫煙などがあります。</w:t>
      </w:r>
    </w:p>
    <w:p>
      <w:pPr>
        <w:pStyle w:val="0"/>
        <w:spacing w:line="240" w:lineRule="auto"/>
        <w:ind w:left="221" w:leftChars="100" w:right="272" w:rightChars="1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１日の食塩摂取量は減少傾向にありましたが、令和４年高知県県民健康・栄養調査によると、男性</w:t>
      </w:r>
      <w:r>
        <w:rPr>
          <w:rFonts w:hint="eastAsia" w:ascii="ＭＳ 明朝" w:hAnsi="ＭＳ 明朝" w:eastAsia="ＭＳ 明朝"/>
          <w:color w:val="auto"/>
          <w:sz w:val="22"/>
          <w:highlight w:val="none"/>
          <w:u w:val="none" w:color="auto"/>
        </w:rPr>
        <w:t>9.7g</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8.4g</w:t>
      </w:r>
      <w:r>
        <w:rPr>
          <w:rFonts w:hint="eastAsia" w:ascii="ＭＳ 明朝" w:hAnsi="ＭＳ 明朝" w:eastAsia="ＭＳ 明朝"/>
          <w:color w:val="auto"/>
          <w:sz w:val="22"/>
          <w:highlight w:val="none"/>
          <w:u w:val="none" w:color="auto"/>
        </w:rPr>
        <w:t>となっています。男性が増加傾向にあり、目標の８</w:t>
      </w:r>
      <w:r>
        <w:rPr>
          <w:rFonts w:hint="eastAsia" w:ascii="ＭＳ 明朝" w:hAnsi="ＭＳ 明朝" w:eastAsia="ＭＳ 明朝"/>
          <w:color w:val="auto"/>
          <w:sz w:val="22"/>
          <w:highlight w:val="none"/>
          <w:u w:val="none" w:color="auto"/>
        </w:rPr>
        <w:t>g</w:t>
      </w:r>
      <w:r>
        <w:rPr>
          <w:rFonts w:hint="eastAsia" w:ascii="ＭＳ 明朝" w:hAnsi="ＭＳ 明朝" w:eastAsia="ＭＳ 明朝"/>
          <w:color w:val="auto"/>
          <w:sz w:val="22"/>
          <w:highlight w:val="none"/>
          <w:u w:val="none" w:color="auto"/>
        </w:rPr>
        <w:t>以下には達していません（図表</w:t>
      </w:r>
      <w:r>
        <w:rPr>
          <w:rFonts w:hint="eastAsia" w:ascii="ＭＳ 明朝" w:hAnsi="ＭＳ 明朝" w:eastAsia="ＭＳ 明朝"/>
          <w:color w:val="auto"/>
          <w:sz w:val="22"/>
          <w:highlight w:val="none"/>
          <w:u w:val="none" w:color="auto"/>
        </w:rPr>
        <w:t>6-2-1</w:t>
      </w:r>
      <w:r>
        <w:rPr>
          <w:rFonts w:hint="eastAsia" w:ascii="ＭＳ 明朝" w:hAnsi="ＭＳ 明朝" w:eastAsia="ＭＳ 明朝"/>
          <w:color w:val="auto"/>
          <w:sz w:val="22"/>
          <w:highlight w:val="none"/>
          <w:u w:val="none" w:color="auto"/>
        </w:rPr>
        <w:t>）。</w:t>
      </w:r>
    </w:p>
    <w:p>
      <w:pPr>
        <w:pStyle w:val="0"/>
        <w:spacing w:line="240" w:lineRule="auto"/>
        <w:ind w:left="221" w:leftChars="100" w:right="272" w:rightChars="123" w:firstLine="221"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u w:val="none" w:color="auto"/>
        </w:rPr>
        <w:t>また、１日推定食塩摂取量が８</w:t>
      </w:r>
      <w:r>
        <w:rPr>
          <w:rFonts w:hint="eastAsia" w:ascii="ＭＳ 明朝" w:hAnsi="ＭＳ 明朝" w:eastAsia="ＭＳ 明朝"/>
          <w:color w:val="auto"/>
          <w:sz w:val="22"/>
          <w:highlight w:val="none"/>
          <w:u w:val="none" w:color="auto"/>
        </w:rPr>
        <w:t>g</w:t>
      </w:r>
      <w:r>
        <w:rPr>
          <w:rFonts w:hint="eastAsia" w:ascii="ＭＳ 明朝" w:hAnsi="ＭＳ 明朝" w:eastAsia="ＭＳ 明朝"/>
          <w:color w:val="auto"/>
          <w:sz w:val="22"/>
          <w:highlight w:val="none"/>
          <w:u w:val="none" w:color="auto"/>
        </w:rPr>
        <w:t>以上の人の割合は、男性の</w:t>
      </w:r>
      <w:r>
        <w:rPr>
          <w:rFonts w:hint="eastAsia" w:ascii="ＭＳ 明朝" w:hAnsi="ＭＳ 明朝" w:eastAsia="ＭＳ 明朝"/>
          <w:color w:val="auto"/>
          <w:sz w:val="22"/>
          <w:highlight w:val="none"/>
          <w:u w:val="none" w:color="auto"/>
        </w:rPr>
        <w:t>40</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64</w:t>
      </w:r>
      <w:r>
        <w:rPr>
          <w:rFonts w:hint="eastAsia" w:ascii="ＭＳ 明朝" w:hAnsi="ＭＳ 明朝" w:eastAsia="ＭＳ 明朝"/>
          <w:color w:val="auto"/>
          <w:sz w:val="22"/>
          <w:highlight w:val="none"/>
          <w:u w:val="none" w:color="auto"/>
        </w:rPr>
        <w:t>歳で</w:t>
      </w:r>
      <w:r>
        <w:rPr>
          <w:rFonts w:hint="eastAsia" w:ascii="ＭＳ 明朝" w:hAnsi="ＭＳ 明朝" w:eastAsia="ＭＳ 明朝"/>
          <w:color w:val="auto"/>
          <w:sz w:val="22"/>
          <w:highlight w:val="none"/>
          <w:u w:val="none" w:color="auto"/>
        </w:rPr>
        <w:t>73.3</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65</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74</w:t>
      </w:r>
      <w:r>
        <w:rPr>
          <w:rFonts w:hint="eastAsia" w:ascii="ＭＳ 明朝" w:hAnsi="ＭＳ 明朝" w:eastAsia="ＭＳ 明朝"/>
          <w:color w:val="auto"/>
          <w:sz w:val="22"/>
          <w:highlight w:val="none"/>
          <w:u w:val="none" w:color="auto"/>
        </w:rPr>
        <w:t>歳で</w:t>
      </w:r>
      <w:r>
        <w:rPr>
          <w:rFonts w:hint="eastAsia" w:ascii="ＭＳ 明朝" w:hAnsi="ＭＳ 明朝" w:eastAsia="ＭＳ 明朝"/>
          <w:color w:val="auto"/>
          <w:sz w:val="22"/>
          <w:highlight w:val="none"/>
          <w:u w:val="none" w:color="auto"/>
        </w:rPr>
        <w:t>73.8</w:t>
      </w:r>
      <w:r>
        <w:rPr>
          <w:rFonts w:hint="eastAsia" w:ascii="ＭＳ 明朝" w:hAnsi="ＭＳ 明朝" w:eastAsia="ＭＳ 明朝"/>
          <w:color w:val="auto"/>
          <w:sz w:val="22"/>
          <w:highlight w:val="none"/>
          <w:u w:val="none" w:color="auto"/>
        </w:rPr>
        <w:t>％、女性の</w:t>
      </w:r>
      <w:r>
        <w:rPr>
          <w:rFonts w:hint="eastAsia" w:ascii="ＭＳ 明朝" w:hAnsi="ＭＳ 明朝" w:eastAsia="ＭＳ 明朝"/>
          <w:color w:val="auto"/>
          <w:sz w:val="22"/>
          <w:highlight w:val="none"/>
          <w:u w:val="none" w:color="auto"/>
        </w:rPr>
        <w:t>40</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64</w:t>
      </w:r>
      <w:r>
        <w:rPr>
          <w:rFonts w:hint="eastAsia" w:ascii="ＭＳ 明朝" w:hAnsi="ＭＳ 明朝" w:eastAsia="ＭＳ 明朝"/>
          <w:color w:val="auto"/>
          <w:sz w:val="22"/>
          <w:highlight w:val="none"/>
          <w:u w:val="none" w:color="auto"/>
        </w:rPr>
        <w:t>歳で</w:t>
      </w:r>
      <w:r>
        <w:rPr>
          <w:rFonts w:hint="eastAsia" w:ascii="ＭＳ 明朝" w:hAnsi="ＭＳ 明朝" w:eastAsia="ＭＳ 明朝"/>
          <w:color w:val="auto"/>
          <w:sz w:val="22"/>
          <w:highlight w:val="none"/>
          <w:u w:val="none" w:color="auto"/>
        </w:rPr>
        <w:t>68.1</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65</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74</w:t>
      </w:r>
      <w:r>
        <w:rPr>
          <w:rFonts w:hint="eastAsia" w:ascii="ＭＳ 明朝" w:hAnsi="ＭＳ 明朝" w:eastAsia="ＭＳ 明朝"/>
          <w:color w:val="auto"/>
          <w:sz w:val="22"/>
          <w:highlight w:val="none"/>
          <w:u w:val="none" w:color="auto"/>
        </w:rPr>
        <w:t>歳で</w:t>
      </w:r>
      <w:r>
        <w:rPr>
          <w:rFonts w:hint="eastAsia" w:ascii="ＭＳ 明朝" w:hAnsi="ＭＳ 明朝" w:eastAsia="ＭＳ 明朝"/>
          <w:color w:val="auto"/>
          <w:sz w:val="22"/>
          <w:highlight w:val="none"/>
          <w:u w:val="none" w:color="auto"/>
        </w:rPr>
        <w:t>69.7</w:t>
      </w:r>
      <w:r>
        <w:rPr>
          <w:rFonts w:hint="eastAsia" w:ascii="ＭＳ 明朝" w:hAnsi="ＭＳ 明朝" w:eastAsia="ＭＳ 明朝"/>
          <w:color w:val="auto"/>
          <w:sz w:val="22"/>
          <w:highlight w:val="none"/>
          <w:u w:val="none" w:color="auto"/>
        </w:rPr>
        <w:t>％を占めています（令和４年度推定塩分摂取量測定事業結果）。</w:t>
      </w:r>
    </w:p>
    <w:p>
      <w:pPr>
        <w:pStyle w:val="0"/>
        <w:spacing w:line="240" w:lineRule="auto"/>
        <w:ind w:left="227" w:leftChars="100" w:firstLine="227" w:firstLineChars="100"/>
        <w:rPr>
          <w:rFonts w:hint="eastAsia" w:ascii="ＭＳ 明朝" w:hAnsi="ＭＳ 明朝" w:eastAsia="ＭＳ 明朝"/>
          <w:color w:val="auto"/>
          <w:highlight w:val="none"/>
        </w:rPr>
      </w:pPr>
      <w:r>
        <w:rPr>
          <w:rFonts w:hint="eastAsia"/>
        </w:rPr>
        <mc:AlternateContent>
          <mc:Choice Requires="wpg">
            <w:drawing>
              <wp:anchor simplePos="0" relativeHeight="14" behindDoc="0" locked="0" layoutInCell="1" hidden="0" allowOverlap="1">
                <wp:simplePos x="0" y="0"/>
                <wp:positionH relativeFrom="column">
                  <wp:posOffset>939165</wp:posOffset>
                </wp:positionH>
                <wp:positionV relativeFrom="paragraph">
                  <wp:posOffset>43815</wp:posOffset>
                </wp:positionV>
                <wp:extent cx="4768215" cy="1965960"/>
                <wp:effectExtent l="0" t="0" r="635" b="635"/>
                <wp:wrapNone/>
                <wp:docPr id="1026" name="オブジェクト 0"/>
                <a:graphic xmlns:a="http://schemas.openxmlformats.org/drawingml/2006/main">
                  <a:graphicData uri="http://schemas.microsoft.com/office/word/2010/wordprocessingGroup">
                    <wpg:wgp>
                      <wpg:cNvGrpSpPr/>
                      <wpg:grpSpPr>
                        <a:xfrm>
                          <a:off x="0" y="0"/>
                          <a:ext cx="4768215" cy="1965960"/>
                          <a:chOff x="2897" y="10523"/>
                          <a:chExt cx="7509" cy="3096"/>
                        </a:xfrm>
                      </wpg:grpSpPr>
                      <wpg:graphicFrame>
                        <wpg:cNvPr id="1027" name="オブジェクト 0"/>
                        <wpg:cNvFrPr/>
                        <wpg:xfrm>
                          <a:off x="2897" y="10714"/>
                          <a:ext cx="6223" cy="2756"/>
                        </wpg:xfrm>
                        <a:graphic>
                          <a:graphicData uri="http://schemas.openxmlformats.org/drawingml/2006/chart">
                            <c:chart xmlns:c="http://schemas.openxmlformats.org/drawingml/2006/chart" r:id="rId6"/>
                          </a:graphicData>
                        </a:graphic>
                      </wpg:graphicFrame>
                      <wps:wsp>
                        <wps:cNvPr id="1028" name="オブジェクト 0"/>
                        <wps:cNvSpPr txBox="1">
                          <a:spLocks noChangeArrowheads="1"/>
                        </wps:cNvSpPr>
                        <wps:spPr>
                          <a:xfrm>
                            <a:off x="7515" y="13177"/>
                            <a:ext cx="2891" cy="442"/>
                          </a:xfrm>
                          <a:prstGeom prst="rect">
                            <a:avLst/>
                          </a:prstGeom>
                          <a:noFill/>
                          <a:ln>
                            <a:miter/>
                          </a:ln>
                        </wps:spPr>
                        <wps:txbx>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wps:txbx>
                        <wps:bodyPr vertOverflow="overflow" horzOverflow="overflow" wrap="square" lIns="74295" tIns="8890" rIns="74295" bIns="8890" upright="1"/>
                      </wps:wsp>
                      <wps:wsp>
                        <wps:cNvPr id="1029" name="テキスト ボックス 2"/>
                        <wps:cNvSpPr txBox="1">
                          <a:spLocks noChangeArrowheads="1"/>
                        </wps:cNvSpPr>
                        <wps:spPr>
                          <a:xfrm>
                            <a:off x="3486" y="10523"/>
                            <a:ext cx="4965" cy="465"/>
                          </a:xfrm>
                          <a:prstGeom prst="rect">
                            <a:avLst/>
                          </a:prstGeom>
                          <a:noFill/>
                          <a:ln w="9525">
                            <a:noFill/>
                            <a:miter lim="800000"/>
                            <a:headEnd/>
                            <a:tailEnd/>
                          </a:ln>
                        </wps:spPr>
                        <wps:txbx>
                          <w:txbxContent>
                            <w:p>
                              <w:pPr>
                                <w:pStyle w:val="0"/>
                                <w:snapToGrid w:val="0"/>
                                <w:ind w:left="0"/>
                                <w:jc w:val="center"/>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w:t>
                              </w:r>
                              <w:r>
                                <w:rPr>
                                  <w:rFonts w:hint="eastAsia" w:ascii="ＭＳ ゴシック" w:hAnsi="ＭＳ ゴシック" w:eastAsia="ＭＳ ゴシック"/>
                                  <w:color w:val="000000"/>
                                  <w:sz w:val="22"/>
                                </w:rPr>
                                <w:t>）１日あたりの食塩摂取量</w:t>
                              </w:r>
                            </w:p>
                          </w:txbxContent>
                        </wps:txbx>
                        <wps:bodyPr vertOverflow="overflow" horzOverflow="overflow" wrap="square"/>
                      </wps:wsp>
                    </wpg:wgp>
                  </a:graphicData>
                </a:graphic>
              </wp:anchor>
            </w:drawing>
          </mc:Choice>
          <mc:Fallback>
            <w:pict>
              <v:group id="オブジェクト 0" style="margin-top:3.45pt;mso-position-vertical-relative:text;mso-position-horizontal-relative:text;position:absolute;height:154.80000000000001pt;width:375.45pt;margin-left:73.95pt;z-index:14;" coordsize="7509,3096" coordorigin="2897,10523" o:spid="_x0000_s1026"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756;width:6223;top:10714;left:2897;position:absolute;" o:spid="_x0000_s1027" filled="f" stroked="f" o:spt="75" type="#_x0000_t75">
                  <v:fill/>
                  <v:imagedata o:title="" r:id="rId7"/>
                  <w10:wrap type="none" anchorx="text" anchory="text"/>
                </v:shape>
                <v:shapetype id="_x0000_t202" coordsize="21600,21600" o:spt="202" path="m,l,21600r21600,l21600,xe">
                  <v:stroke joinstyle="miter"/>
                  <v:path gradientshapeok="t" o:connecttype="rect"/>
                </v:shapetype>
                <v:shape id="オブジェクト 0" style="height:442;width:2891;top:13177;left:7515;position:absolute;" o:spid="_x0000_s1028"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v:textbox>
                  <v:imagedata o:title=""/>
                  <w10:wrap type="none" anchorx="text" anchory="text"/>
                </v:shape>
                <v:shape id="テキスト ボックス 2" style="height:465;width:4965;top:10523;left:3486;position:absolute;" o:spid="_x0000_s1029" filled="f" stroked="f" strokeweight="0.75pt" o:spt="202" type="#_x0000_t202">
                  <v:fill/>
                  <v:stroke miterlimit="8"/>
                  <v:textbox style="layout-flow:horizontal;">
                    <w:txbxContent>
                      <w:p>
                        <w:pPr>
                          <w:pStyle w:val="0"/>
                          <w:snapToGrid w:val="0"/>
                          <w:ind w:left="0"/>
                          <w:jc w:val="center"/>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w:t>
                        </w:r>
                        <w:r>
                          <w:rPr>
                            <w:rFonts w:hint="eastAsia" w:ascii="ＭＳ ゴシック" w:hAnsi="ＭＳ ゴシック" w:eastAsia="ＭＳ ゴシック"/>
                            <w:color w:val="000000"/>
                            <w:sz w:val="22"/>
                          </w:rPr>
                          <w:t>）１日あたりの食塩摂取量</w:t>
                        </w:r>
                      </w:p>
                    </w:txbxContent>
                  </v:textbox>
                  <v:imagedata o:title=""/>
                  <w10:wrap type="none" anchorx="text" anchory="text"/>
                </v:shape>
                <w10:wrap type="none" anchorx="text" anchory="text"/>
              </v:group>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32" w:leftChars="105" w:right="272" w:rightChars="123" w:firstLine="221" w:firstLineChars="1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2"/>
          <w:highlight w:val="none"/>
          <w:u w:val="none" w:color="auto"/>
        </w:rPr>
        <w:t>身体活動・運動分野について、平成</w:t>
      </w:r>
      <w:r>
        <w:rPr>
          <w:rFonts w:hint="eastAsia" w:ascii="ＭＳ 明朝" w:hAnsi="ＭＳ 明朝" w:eastAsia="ＭＳ 明朝"/>
          <w:color w:val="auto"/>
          <w:sz w:val="22"/>
          <w:highlight w:val="none"/>
          <w:u w:val="none" w:color="auto"/>
        </w:rPr>
        <w:t>28</w:t>
      </w:r>
      <w:r>
        <w:rPr>
          <w:rFonts w:hint="eastAsia" w:ascii="ＭＳ 明朝" w:hAnsi="ＭＳ 明朝" w:eastAsia="ＭＳ 明朝"/>
          <w:color w:val="auto"/>
          <w:sz w:val="22"/>
          <w:highlight w:val="none"/>
          <w:u w:val="none" w:color="auto"/>
        </w:rPr>
        <w:t>年国民健康・栄養調査によると、</w:t>
      </w:r>
      <w:r>
        <w:rPr>
          <w:rFonts w:hint="eastAsia" w:ascii="ＭＳ 明朝" w:hAnsi="ＭＳ 明朝" w:eastAsia="ＭＳ 明朝"/>
          <w:color w:val="auto"/>
          <w:sz w:val="22"/>
          <w:highlight w:val="none"/>
          <w:u w:val="none" w:color="auto"/>
        </w:rPr>
        <w:t>20</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64</w:t>
      </w:r>
      <w:r>
        <w:rPr>
          <w:rFonts w:hint="eastAsia" w:ascii="ＭＳ 明朝" w:hAnsi="ＭＳ 明朝" w:eastAsia="ＭＳ 明朝"/>
          <w:color w:val="auto"/>
          <w:sz w:val="22"/>
          <w:highlight w:val="none"/>
          <w:u w:val="none" w:color="auto"/>
        </w:rPr>
        <w:t>歳の１日歩数の平均値（年齢調整値）は全国平均を大きく下回っています（図表</w:t>
      </w:r>
      <w:r>
        <w:rPr>
          <w:rFonts w:hint="eastAsia" w:ascii="ＭＳ 明朝" w:hAnsi="ＭＳ 明朝" w:eastAsia="ＭＳ 明朝"/>
          <w:color w:val="auto"/>
          <w:sz w:val="22"/>
          <w:highlight w:val="none"/>
          <w:u w:val="none" w:color="auto"/>
        </w:rPr>
        <w:t>6-2-2)</w:t>
      </w:r>
      <w:r>
        <w:rPr>
          <w:rFonts w:hint="eastAsia" w:ascii="ＭＳ 明朝" w:hAnsi="ＭＳ 明朝" w:eastAsia="ＭＳ 明朝"/>
          <w:color w:val="auto"/>
          <w:sz w:val="22"/>
          <w:highlight w:val="none"/>
          <w:u w:val="none" w:color="auto"/>
        </w:rPr>
        <w:t>。</w:t>
      </w:r>
    </w:p>
    <w:p>
      <w:pPr>
        <w:pStyle w:val="0"/>
        <w:spacing w:line="240" w:lineRule="auto"/>
        <w:ind w:left="232" w:leftChars="105" w:right="272" w:rightChars="123" w:firstLine="221" w:firstLineChars="100"/>
        <w:rPr>
          <w:rFonts w:hint="eastAsia" w:ascii="ＭＳ 明朝" w:hAnsi="ＭＳ 明朝" w:eastAsia="ＭＳ 明朝"/>
          <w:color w:val="auto"/>
          <w:sz w:val="20"/>
          <w:highlight w:val="none"/>
        </w:rPr>
      </w:pPr>
      <w:r>
        <w:rPr>
          <w:rFonts w:hint="eastAsia" w:ascii="ＭＳ 明朝" w:hAnsi="ＭＳ 明朝" w:eastAsia="ＭＳ 明朝"/>
          <w:color w:val="auto"/>
          <w:sz w:val="22"/>
          <w:highlight w:val="none"/>
          <w:u w:val="none" w:color="auto"/>
        </w:rPr>
        <w:t>また、令和４年高知県県民健康・栄養調査によると、運動習慣のある者の割合は</w:t>
      </w:r>
      <w:r>
        <w:rPr>
          <w:rFonts w:hint="eastAsia" w:ascii="ＭＳ 明朝" w:hAnsi="ＭＳ 明朝" w:eastAsia="ＭＳ 明朝"/>
          <w:color w:val="auto"/>
          <w:sz w:val="22"/>
          <w:highlight w:val="none"/>
          <w:u w:val="none" w:color="auto"/>
        </w:rPr>
        <w:t>20</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64</w:t>
      </w:r>
      <w:r>
        <w:rPr>
          <w:rFonts w:hint="eastAsia" w:ascii="ＭＳ 明朝" w:hAnsi="ＭＳ 明朝" w:eastAsia="ＭＳ 明朝"/>
          <w:color w:val="auto"/>
          <w:sz w:val="22"/>
          <w:highlight w:val="none"/>
          <w:u w:val="none" w:color="auto"/>
        </w:rPr>
        <w:t>歳の男性</w:t>
      </w:r>
      <w:r>
        <w:rPr>
          <w:rFonts w:hint="eastAsia" w:ascii="ＭＳ 明朝" w:hAnsi="ＭＳ 明朝" w:eastAsia="ＭＳ 明朝"/>
          <w:color w:val="auto"/>
          <w:sz w:val="22"/>
          <w:highlight w:val="none"/>
          <w:u w:val="none" w:color="auto"/>
        </w:rPr>
        <w:t>25.5</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21.8</w:t>
      </w:r>
      <w:r>
        <w:rPr>
          <w:rFonts w:hint="eastAsia" w:ascii="ＭＳ 明朝" w:hAnsi="ＭＳ 明朝" w:eastAsia="ＭＳ 明朝"/>
          <w:color w:val="auto"/>
          <w:sz w:val="22"/>
          <w:highlight w:val="none"/>
          <w:u w:val="none" w:color="auto"/>
        </w:rPr>
        <w:t>％となっており、</w:t>
      </w:r>
      <w:r>
        <w:rPr>
          <w:rFonts w:hint="eastAsia" w:ascii="ＭＳ 明朝" w:hAnsi="ＭＳ 明朝" w:eastAsia="ＭＳ 明朝"/>
          <w:color w:val="auto"/>
          <w:sz w:val="22"/>
          <w:highlight w:val="none"/>
          <w:u w:val="none" w:color="auto"/>
        </w:rPr>
        <w:t>65</w:t>
      </w:r>
      <w:r>
        <w:rPr>
          <w:rFonts w:hint="eastAsia" w:ascii="ＭＳ 明朝" w:hAnsi="ＭＳ 明朝" w:eastAsia="ＭＳ 明朝"/>
          <w:color w:val="auto"/>
          <w:sz w:val="22"/>
          <w:highlight w:val="none"/>
          <w:u w:val="none" w:color="auto"/>
        </w:rPr>
        <w:t>歳以上（男性</w:t>
      </w:r>
      <w:r>
        <w:rPr>
          <w:rFonts w:hint="eastAsia" w:ascii="ＭＳ 明朝" w:hAnsi="ＭＳ 明朝" w:eastAsia="ＭＳ 明朝"/>
          <w:color w:val="auto"/>
          <w:sz w:val="22"/>
          <w:highlight w:val="none"/>
          <w:u w:val="none" w:color="auto"/>
        </w:rPr>
        <w:t>58.2</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36.7</w:t>
      </w:r>
      <w:r>
        <w:rPr>
          <w:rFonts w:hint="eastAsia" w:ascii="ＭＳ 明朝" w:hAnsi="ＭＳ 明朝" w:eastAsia="ＭＳ 明朝"/>
          <w:color w:val="auto"/>
          <w:sz w:val="22"/>
          <w:highlight w:val="none"/>
          <w:u w:val="none" w:color="auto"/>
        </w:rPr>
        <w:t>％）と比較して少ない状況です。</w:t>
      </w:r>
    </w:p>
    <w:p>
      <w:pPr>
        <w:pStyle w:val="0"/>
        <w:spacing w:line="240" w:lineRule="auto"/>
        <w:ind w:left="227" w:leftChars="100" w:firstLine="227" w:firstLineChars="100"/>
        <w:jc w:val="center"/>
        <w:rPr>
          <w:rFonts w:hint="eastAsia" w:ascii="ＭＳ 明朝" w:hAnsi="ＭＳ 明朝" w:eastAsia="ＭＳ 明朝"/>
          <w:color w:val="auto"/>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w:t>
      </w:r>
      <w:r>
        <w:rPr>
          <w:rFonts w:hint="eastAsia" w:ascii="ＭＳ ゴシック" w:hAnsi="ＭＳ ゴシック" w:eastAsia="ＭＳ ゴシック"/>
          <w:color w:val="auto"/>
          <w:sz w:val="22"/>
          <w:highlight w:val="none"/>
          <w:u w:val="none" w:color="auto"/>
        </w:rPr>
        <w:t>）１日歩数の平均値</w:t>
      </w:r>
      <w:r>
        <w:rPr>
          <w:rFonts w:hint="eastAsia" w:ascii="ＭＳ ゴシック" w:hAnsi="ＭＳ ゴシック" w:eastAsia="ＭＳ ゴシック"/>
          <w:color w:val="auto"/>
          <w:sz w:val="21"/>
          <w:highlight w:val="none"/>
          <w:u w:val="none" w:color="auto"/>
        </w:rPr>
        <w:t>（年齢調整値）</w:t>
      </w:r>
    </w:p>
    <w:p>
      <w:pPr>
        <w:pStyle w:val="0"/>
        <w:spacing w:line="240" w:lineRule="auto"/>
        <w:ind w:left="227" w:leftChars="100" w:firstLine="227" w:firstLineChars="100"/>
        <w:rPr>
          <w:rFonts w:hint="eastAsia" w:ascii="ＭＳ 明朝" w:hAnsi="ＭＳ 明朝" w:eastAsia="ＭＳ 明朝"/>
          <w:color w:val="auto"/>
          <w:highlight w:val="none"/>
        </w:rPr>
      </w:pPr>
      <w:r>
        <w:rPr>
          <w:rFonts w:hint="eastAsia"/>
        </w:rPr>
        <mc:AlternateContent>
          <mc:Choice Requires="wpg">
            <w:drawing>
              <wp:anchor simplePos="0" relativeHeight="105" behindDoc="0" locked="0" layoutInCell="1" hidden="0" allowOverlap="1">
                <wp:simplePos x="0" y="0"/>
                <wp:positionH relativeFrom="column">
                  <wp:posOffset>280670</wp:posOffset>
                </wp:positionH>
                <wp:positionV relativeFrom="paragraph">
                  <wp:posOffset>38735</wp:posOffset>
                </wp:positionV>
                <wp:extent cx="5311775" cy="1253490"/>
                <wp:effectExtent l="0" t="0" r="0" b="0"/>
                <wp:wrapNone/>
                <wp:docPr id="1030" name="オブジェクト 0"/>
                <a:graphic xmlns:a="http://schemas.openxmlformats.org/drawingml/2006/main">
                  <a:graphicData uri="http://schemas.microsoft.com/office/word/2010/wordprocessingGroup">
                    <wpg:wgp>
                      <wpg:cNvGrpSpPr/>
                      <wpg:grpSpPr>
                        <a:xfrm>
                          <a:off x="0" y="0"/>
                          <a:ext cx="5311775" cy="1253490"/>
                          <a:chOff x="1860" y="1820"/>
                          <a:chExt cx="8365" cy="1974"/>
                        </a:xfrm>
                      </wpg:grpSpPr>
                      <wpg:graphicFrame>
                        <wpg:cNvPr id="1031" name="オブジェクト 0"/>
                        <wpg:cNvFrPr/>
                        <wpg:xfrm>
                          <a:off x="1860" y="1820"/>
                          <a:ext cx="4050" cy="1974"/>
                        </wpg:xfrm>
                        <a:graphic>
                          <a:graphicData uri="http://schemas.openxmlformats.org/drawingml/2006/chart">
                            <c:chart xmlns:c="http://schemas.openxmlformats.org/drawingml/2006/chart" r:id="rId8"/>
                          </a:graphicData>
                        </a:graphic>
                      </wpg:graphicFrame>
                      <wpg:graphicFrame>
                        <wpg:cNvPr id="1032" name="オブジェクト 0"/>
                        <wpg:cNvFrPr/>
                        <wpg:xfrm>
                          <a:off x="6220" y="1889"/>
                          <a:ext cx="4005" cy="1905"/>
                        </wpg:xfrm>
                        <a:graphic>
                          <a:graphicData uri="http://schemas.openxmlformats.org/drawingml/2006/chart">
                            <c:chart xmlns:c="http://schemas.openxmlformats.org/drawingml/2006/chart" r:id="rId9"/>
                          </a:graphicData>
                        </a:graphic>
                      </wpg:graphicFrame>
                    </wpg:wgp>
                  </a:graphicData>
                </a:graphic>
              </wp:anchor>
            </w:drawing>
          </mc:Choice>
          <mc:Fallback>
            <w:pict>
              <v:group id="オブジェクト 0" style="margin-top:3.05pt;mso-position-vertical-relative:text;mso-position-horizontal-relative:text;position:absolute;height:98.7pt;width:418.25pt;margin-left:22.1pt;z-index:105;" coordsize="8365,1974" coordorigin="1860,1820" o:spid="_x0000_s1030"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974;width:4050;top:1820;left:1860;position:absolute;" o:spid="_x0000_s1031" filled="f" stroked="f" o:spt="75" type="#_x0000_t75">
                  <v:fill/>
                  <v:imagedata o:title="" r:id="rId10"/>
                  <w10:wrap type="none" anchorx="text" anchory="text"/>
                </v:shape>
                <v:shape id="オブジェクト 0" style="height:1905;width:4005;top:1889;left:6220;position:absolute;" o:spid="_x0000_s1032" filled="f" stroked="f" o:spt="75" type="#_x0000_t75">
                  <v:fill/>
                  <v:imagedata o:title="" r:id="rId11"/>
                  <w10:wrap type="none" anchorx="text" anchory="text"/>
                </v:shape>
                <w10:wrap type="none" anchorx="text" anchory="text"/>
              </v:group>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r>
        <w:rPr>
          <w:rFonts w:hint="eastAsia"/>
        </w:rPr>
        <mc:AlternateContent>
          <mc:Choice Requires="wps">
            <w:drawing>
              <wp:anchor simplePos="0" relativeHeight="104" behindDoc="0" locked="0" layoutInCell="1" hidden="0" allowOverlap="1">
                <wp:simplePos x="0" y="0"/>
                <wp:positionH relativeFrom="column">
                  <wp:posOffset>3582035</wp:posOffset>
                </wp:positionH>
                <wp:positionV relativeFrom="paragraph">
                  <wp:posOffset>10795</wp:posOffset>
                </wp:positionV>
                <wp:extent cx="1951990" cy="375920"/>
                <wp:effectExtent l="0" t="0" r="635" b="635"/>
                <wp:wrapNone/>
                <wp:docPr id="1033" name="オブジェクト 0"/>
                <a:graphic xmlns:a="http://schemas.openxmlformats.org/drawingml/2006/main">
                  <a:graphicData uri="http://schemas.microsoft.com/office/word/2010/wordprocessingShape">
                    <wps:wsp>
                      <wps:cNvPr id="1033" name="オブジェクト 0"/>
                      <wps:cNvSpPr txBox="1">
                        <a:spLocks noChangeArrowheads="1"/>
                      </wps:cNvSpPr>
                      <wps:spPr>
                        <a:xfrm>
                          <a:off x="0" y="0"/>
                          <a:ext cx="1951990" cy="375920"/>
                        </a:xfrm>
                        <a:prstGeom prst="rect">
                          <a:avLst/>
                        </a:prstGeom>
                        <a:noFill/>
                        <a:ln>
                          <a:miter/>
                        </a:ln>
                      </wps:spPr>
                      <wps:txbx>
                        <w:txbxContent>
                          <w:p>
                            <w:pPr>
                              <w:pStyle w:val="0"/>
                              <w:spacing w:line="240" w:lineRule="exact"/>
                              <w:jc w:val="center"/>
                              <w:rPr>
                                <w:rFonts w:hint="eastAsia" w:ascii="ＭＳ 明朝" w:hAnsi="ＭＳ 明朝" w:eastAsia="ＭＳ 明朝"/>
                                <w:color w:val="auto"/>
                                <w:sz w:val="16"/>
                              </w:rPr>
                            </w:pPr>
                            <w:r>
                              <w:rPr>
                                <w:rFonts w:hint="eastAsia"/>
                                <w:color w:val="auto"/>
                                <w:sz w:val="16"/>
                              </w:rPr>
                              <w:t>出典：</w:t>
                            </w:r>
                            <w:r>
                              <w:rPr>
                                <w:rFonts w:hint="eastAsia" w:ascii="ＭＳ 明朝" w:hAnsi="ＭＳ 明朝" w:eastAsia="ＭＳ 明朝"/>
                                <w:sz w:val="16"/>
                              </w:rPr>
                              <w:t>平成</w:t>
                            </w:r>
                            <w:r>
                              <w:rPr>
                                <w:rFonts w:hint="eastAsia" w:ascii="ＭＳ 明朝" w:hAnsi="ＭＳ 明朝" w:eastAsia="ＭＳ 明朝"/>
                                <w:sz w:val="16"/>
                              </w:rPr>
                              <w:t>28</w:t>
                            </w:r>
                            <w:r>
                              <w:rPr>
                                <w:rFonts w:hint="eastAsia" w:ascii="ＭＳ 明朝" w:hAnsi="ＭＳ 明朝" w:eastAsia="ＭＳ 明朝"/>
                                <w:sz w:val="16"/>
                              </w:rPr>
                              <w:t>年国民健康・栄養調査</w:t>
                            </w:r>
                          </w:p>
                          <w:p>
                            <w:pPr>
                              <w:pStyle w:val="0"/>
                              <w:spacing w:line="240" w:lineRule="exact"/>
                              <w:ind w:leftChars="0" w:firstLine="1501" w:firstLineChars="900"/>
                              <w:jc w:val="center"/>
                              <w:rPr>
                                <w:rFonts w:hint="default"/>
                                <w:color w:val="auto"/>
                                <w:sz w:val="16"/>
                              </w:rPr>
                            </w:pPr>
                            <w:r>
                              <w:rPr>
                                <w:rFonts w:hint="eastAsia" w:ascii="ＭＳ 明朝" w:hAnsi="ＭＳ 明朝" w:eastAsia="ＭＳ 明朝"/>
                                <w:color w:val="000000" w:themeColor="text1"/>
                                <w:kern w:val="1200"/>
                                <w:sz w:val="16"/>
                              </w:rPr>
                              <w:t>＊熊本県を除く</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0.85pt;mso-position-vertical-relative:text;mso-position-horizontal-relative:text;position:absolute;height:29.6pt;width:153.69pt;margin-left:282.05pt;z-index:104;" o:spid="_x0000_s1033" o:allowincell="t" o:allowoverlap="t" filled="f" stroked="f" o:spt="202" type="#_x0000_t202">
                <v:fill/>
                <v:textbox style="layout-flow:horizontal;" inset="2.0637499999999998mm,0.24694444444444438mm,2.0637499999999998mm,0.24694444444444438mm">
                  <w:txbxContent>
                    <w:p>
                      <w:pPr>
                        <w:pStyle w:val="0"/>
                        <w:spacing w:line="240" w:lineRule="exact"/>
                        <w:jc w:val="center"/>
                        <w:rPr>
                          <w:rFonts w:hint="eastAsia" w:ascii="ＭＳ 明朝" w:hAnsi="ＭＳ 明朝" w:eastAsia="ＭＳ 明朝"/>
                          <w:color w:val="auto"/>
                          <w:sz w:val="16"/>
                        </w:rPr>
                      </w:pPr>
                      <w:r>
                        <w:rPr>
                          <w:rFonts w:hint="eastAsia"/>
                          <w:color w:val="auto"/>
                          <w:sz w:val="16"/>
                        </w:rPr>
                        <w:t>出典：</w:t>
                      </w:r>
                      <w:r>
                        <w:rPr>
                          <w:rFonts w:hint="eastAsia" w:ascii="ＭＳ 明朝" w:hAnsi="ＭＳ 明朝" w:eastAsia="ＭＳ 明朝"/>
                          <w:sz w:val="16"/>
                        </w:rPr>
                        <w:t>平成</w:t>
                      </w:r>
                      <w:r>
                        <w:rPr>
                          <w:rFonts w:hint="eastAsia" w:ascii="ＭＳ 明朝" w:hAnsi="ＭＳ 明朝" w:eastAsia="ＭＳ 明朝"/>
                          <w:sz w:val="16"/>
                        </w:rPr>
                        <w:t>28</w:t>
                      </w:r>
                      <w:r>
                        <w:rPr>
                          <w:rFonts w:hint="eastAsia" w:ascii="ＭＳ 明朝" w:hAnsi="ＭＳ 明朝" w:eastAsia="ＭＳ 明朝"/>
                          <w:sz w:val="16"/>
                        </w:rPr>
                        <w:t>年国民健康・栄養調査</w:t>
                      </w:r>
                    </w:p>
                    <w:p>
                      <w:pPr>
                        <w:pStyle w:val="0"/>
                        <w:spacing w:line="240" w:lineRule="exact"/>
                        <w:ind w:leftChars="0" w:firstLine="1501" w:firstLineChars="900"/>
                        <w:jc w:val="center"/>
                        <w:rPr>
                          <w:rFonts w:hint="default"/>
                          <w:color w:val="auto"/>
                          <w:sz w:val="16"/>
                        </w:rPr>
                      </w:pPr>
                      <w:r>
                        <w:rPr>
                          <w:rFonts w:hint="eastAsia" w:ascii="ＭＳ 明朝" w:hAnsi="ＭＳ 明朝" w:eastAsia="ＭＳ 明朝"/>
                          <w:color w:val="000000" w:themeColor="text1"/>
                          <w:kern w:val="1200"/>
                          <w:sz w:val="16"/>
                        </w:rPr>
                        <w:t>＊熊本県を除く</w:t>
                      </w:r>
                    </w:p>
                  </w:txbxContent>
                </v:textbox>
                <v:imagedata o:title=""/>
                <w10:wrap type="none" anchorx="text" anchory="text"/>
              </v:shape>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1" w:leftChars="100" w:right="272" w:rightChars="123" w:firstLine="221"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u w:val="none" w:color="auto"/>
        </w:rPr>
        <w:t>飲酒について、令和４年高知県県民健康・栄養調査によると、生活習慣病のリスクを高める量</w:t>
      </w:r>
      <w:r>
        <w:rPr>
          <w:rFonts w:hint="eastAsia" w:ascii="ＭＳ 明朝" w:hAnsi="ＭＳ 明朝" w:eastAsia="ＭＳ 明朝"/>
          <w:color w:val="auto"/>
          <w:sz w:val="22"/>
          <w:highlight w:val="none"/>
          <w:u w:val="none" w:color="auto"/>
          <w:vertAlign w:val="superscript"/>
        </w:rPr>
        <w:t>（注１）</w:t>
      </w:r>
      <w:r>
        <w:rPr>
          <w:rFonts w:hint="eastAsia" w:ascii="ＭＳ 明朝" w:hAnsi="ＭＳ 明朝" w:eastAsia="ＭＳ 明朝"/>
          <w:color w:val="auto"/>
          <w:sz w:val="22"/>
          <w:highlight w:val="none"/>
          <w:u w:val="none" w:color="auto"/>
        </w:rPr>
        <w:t>の飲酒をしている人の割合は、男性</w:t>
      </w:r>
      <w:r>
        <w:rPr>
          <w:rFonts w:hint="eastAsia" w:ascii="ＭＳ 明朝" w:hAnsi="ＭＳ 明朝" w:eastAsia="ＭＳ 明朝"/>
          <w:color w:val="auto"/>
          <w:sz w:val="22"/>
          <w:highlight w:val="none"/>
          <w:u w:val="none" w:color="auto"/>
        </w:rPr>
        <w:t>16.8%</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9.6%</w:t>
      </w:r>
      <w:r>
        <w:rPr>
          <w:rFonts w:hint="eastAsia" w:ascii="ＭＳ 明朝" w:hAnsi="ＭＳ 明朝" w:eastAsia="ＭＳ 明朝"/>
          <w:color w:val="auto"/>
          <w:sz w:val="22"/>
          <w:highlight w:val="none"/>
          <w:u w:val="none" w:color="auto"/>
        </w:rPr>
        <w:t>と、男女とも横ばい傾向ですが</w:t>
      </w:r>
      <w:r>
        <w:rPr>
          <w:rFonts w:hint="eastAsia" w:ascii="ＭＳ 明朝" w:hAnsi="ＭＳ 明朝" w:eastAsia="ＭＳ 明朝"/>
          <w:strike w:val="0"/>
          <w:dstrike w:val="0"/>
          <w:color w:val="auto"/>
          <w:sz w:val="22"/>
          <w:highlight w:val="none"/>
          <w:u w:val="none" w:color="auto"/>
        </w:rPr>
        <w:t>（図表</w:t>
      </w:r>
      <w:r>
        <w:rPr>
          <w:rFonts w:hint="eastAsia" w:ascii="ＭＳ 明朝" w:hAnsi="ＭＳ 明朝" w:eastAsia="ＭＳ 明朝"/>
          <w:strike w:val="0"/>
          <w:dstrike w:val="0"/>
          <w:color w:val="auto"/>
          <w:sz w:val="22"/>
          <w:highlight w:val="none"/>
          <w:u w:val="none" w:color="auto"/>
        </w:rPr>
        <w:t>6-2-3</w:t>
      </w:r>
      <w:r>
        <w:rPr>
          <w:rFonts w:hint="eastAsia" w:ascii="ＭＳ 明朝" w:hAnsi="ＭＳ 明朝" w:eastAsia="ＭＳ 明朝"/>
          <w:strike w:val="0"/>
          <w:dstrike w:val="0"/>
          <w:color w:val="auto"/>
          <w:sz w:val="22"/>
          <w:highlight w:val="none"/>
          <w:u w:val="none" w:color="auto"/>
        </w:rPr>
        <w:t>）、</w:t>
      </w:r>
      <w:r>
        <w:rPr>
          <w:rFonts w:hint="eastAsia" w:ascii="ＭＳ 明朝" w:hAnsi="ＭＳ 明朝" w:eastAsia="ＭＳ 明朝"/>
          <w:color w:val="auto"/>
          <w:sz w:val="22"/>
          <w:highlight w:val="none"/>
          <w:u w:val="none" w:color="auto"/>
        </w:rPr>
        <w:t>全国平均よりも高い割合となっています。</w:t>
      </w:r>
    </w:p>
    <w:p>
      <w:pPr>
        <w:pStyle w:val="0"/>
        <w:spacing w:line="240" w:lineRule="auto"/>
        <w:ind w:left="227" w:leftChars="100" w:firstLine="227" w:firstLineChars="100"/>
        <w:rPr>
          <w:rFonts w:hint="eastAsia" w:ascii="ＭＳ 明朝" w:hAnsi="ＭＳ 明朝" w:eastAsia="ＭＳ 明朝"/>
          <w:color w:val="auto"/>
          <w:highlight w:val="none"/>
        </w:rPr>
      </w:pPr>
      <w:r>
        <w:rPr>
          <w:rFonts w:hint="eastAsia"/>
        </w:rPr>
        <mc:AlternateContent>
          <mc:Choice Requires="wpg">
            <w:drawing>
              <wp:anchor simplePos="0" relativeHeight="18" behindDoc="0" locked="0" layoutInCell="1" hidden="0" allowOverlap="1">
                <wp:simplePos x="0" y="0"/>
                <wp:positionH relativeFrom="column">
                  <wp:posOffset>408305</wp:posOffset>
                </wp:positionH>
                <wp:positionV relativeFrom="paragraph">
                  <wp:posOffset>124460</wp:posOffset>
                </wp:positionV>
                <wp:extent cx="5125720" cy="2070100"/>
                <wp:effectExtent l="0" t="0" r="635" b="635"/>
                <wp:wrapNone/>
                <wp:docPr id="1034" name="オブジェクト 0"/>
                <a:graphic xmlns:a="http://schemas.openxmlformats.org/drawingml/2006/main">
                  <a:graphicData uri="http://schemas.microsoft.com/office/word/2010/wordprocessingGroup">
                    <wpg:wgp>
                      <wpg:cNvGrpSpPr/>
                      <wpg:grpSpPr>
                        <a:xfrm>
                          <a:off x="0" y="0"/>
                          <a:ext cx="5125720" cy="2070100"/>
                          <a:chOff x="2061" y="5706"/>
                          <a:chExt cx="8072" cy="3260"/>
                        </a:xfrm>
                      </wpg:grpSpPr>
                      <wps:wsp>
                        <wps:cNvPr id="1035" name="テキスト ボックス 2"/>
                        <wps:cNvSpPr txBox="1">
                          <a:spLocks noChangeArrowheads="1"/>
                        </wps:cNvSpPr>
                        <wps:spPr>
                          <a:xfrm>
                            <a:off x="2061" y="5706"/>
                            <a:ext cx="7839" cy="473"/>
                          </a:xfrm>
                          <a:prstGeom prst="rect">
                            <a:avLst/>
                          </a:prstGeom>
                          <a:noFill/>
                          <a:ln w="9525">
                            <a:noFill/>
                            <a:miter lim="800000"/>
                            <a:headEnd/>
                            <a:tailEnd/>
                          </a:ln>
                        </wps:spPr>
                        <wps:txbx>
                          <w:txbxContent>
                            <w:p>
                              <w:pPr>
                                <w:pStyle w:val="0"/>
                                <w:spacing w:line="160" w:lineRule="atLeast"/>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w:t>
                              </w:r>
                              <w:r>
                                <w:rPr>
                                  <w:rFonts w:hint="eastAsia" w:ascii="ＭＳ ゴシック" w:hAnsi="ＭＳ ゴシック" w:eastAsia="ＭＳ ゴシック"/>
                                  <w:color w:val="auto"/>
                                  <w:sz w:val="22"/>
                                  <w:u w:val="none" w:color="auto"/>
                                </w:rPr>
                                <w:t>）生活習慣病のリスクを高める量の飲酒をしている者の割合</w:t>
                              </w:r>
                            </w:p>
                          </w:txbxContent>
                        </wps:txbx>
                        <wps:bodyPr vertOverflow="overflow" horzOverflow="overflow" wrap="square"/>
                      </wps:wsp>
                      <wpg:graphicFrame>
                        <wpg:cNvPr id="1036" name="オブジェクト 0"/>
                        <wpg:cNvFrPr/>
                        <wpg:xfrm>
                          <a:off x="3267" y="6103"/>
                          <a:ext cx="5280" cy="2587"/>
                        </wpg:xfrm>
                        <a:graphic>
                          <a:graphicData uri="http://schemas.openxmlformats.org/drawingml/2006/chart">
                            <c:chart xmlns:c="http://schemas.openxmlformats.org/drawingml/2006/chart" r:id="rId12"/>
                          </a:graphicData>
                        </a:graphic>
                      </wpg:graphicFrame>
                      <wps:wsp>
                        <wps:cNvPr id="1037" name="オブジェクト 0"/>
                        <wps:cNvSpPr txBox="1">
                          <a:spLocks noChangeArrowheads="1"/>
                        </wps:cNvSpPr>
                        <wps:spPr>
                          <a:xfrm>
                            <a:off x="7287" y="8524"/>
                            <a:ext cx="2846" cy="442"/>
                          </a:xfrm>
                          <a:prstGeom prst="rect">
                            <a:avLst/>
                          </a:prstGeom>
                          <a:noFill/>
                          <a:ln>
                            <a:miter/>
                          </a:ln>
                        </wps:spPr>
                        <wps:txbx>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wps:txbx>
                        <wps:bodyPr vertOverflow="overflow" horzOverflow="overflow" wrap="square" lIns="74295" tIns="8890" rIns="74295" bIns="8890" upright="1"/>
                      </wps:wsp>
                    </wpg:wgp>
                  </a:graphicData>
                </a:graphic>
              </wp:anchor>
            </w:drawing>
          </mc:Choice>
          <mc:Fallback>
            <w:pict>
              <v:group id="オブジェクト 0" style="margin-top:9.8000000000000007pt;mso-position-vertical-relative:text;mso-position-horizontal-relative:text;position:absolute;height:163pt;width:403.6pt;margin-left:32.15pt;z-index:18;" coordsize="8072,3260" coordorigin="2061,5706" o:spid="_x0000_s1034" o:allowincell="t" o:allowoverlap="t">
                <v:shapetype id="_x0000_t202" coordsize="21600,21600" o:spt="202" path="m,l,21600r21600,l21600,xe">
                  <v:stroke joinstyle="miter"/>
                  <v:path gradientshapeok="t" o:connecttype="rect"/>
                </v:shapetype>
                <v:shape id="テキスト ボックス 2" style="height:473;width:7839;top:5706;left:2061;position:absolute;" o:spid="_x0000_s1035" filled="f" stroked="f" strokeweight="0.75pt" o:spt="202" type="#_x0000_t202">
                  <v:fill/>
                  <v:stroke miterlimit="8"/>
                  <v:textbox style="layout-flow:horizontal;">
                    <w:txbxContent>
                      <w:p>
                        <w:pPr>
                          <w:pStyle w:val="0"/>
                          <w:spacing w:line="160" w:lineRule="atLeast"/>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w:t>
                        </w:r>
                        <w:r>
                          <w:rPr>
                            <w:rFonts w:hint="eastAsia" w:ascii="ＭＳ ゴシック" w:hAnsi="ＭＳ ゴシック" w:eastAsia="ＭＳ ゴシック"/>
                            <w:color w:val="auto"/>
                            <w:sz w:val="22"/>
                            <w:u w:val="none" w:color="auto"/>
                          </w:rPr>
                          <w:t>）生活習慣病のリスクを高める量の飲酒をしている者の割合</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587;width:5280;top:6103;left:3267;position:absolute;" o:spid="_x0000_s1036" filled="f" stroked="f" o:spt="75" type="#_x0000_t75">
                  <v:fill/>
                  <v:imagedata o:title="" r:id="rId13"/>
                  <w10:wrap type="none" anchorx="text" anchory="text"/>
                </v:shape>
                <v:shape id="オブジェクト 0" style="height:442;width:2846;top:8524;left:7287;position:absolute;" o:spid="_x0000_s1037"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v:textbox>
                  <v:imagedata o:title=""/>
                  <w10:wrap type="none" anchorx="text" anchory="text"/>
                </v:shape>
                <w10:wrap type="none" anchorx="text" anchory="text"/>
              </v:group>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napToGrid w:val="0"/>
        <w:spacing w:line="240" w:lineRule="atLeast"/>
        <w:ind w:firstLine="167" w:firstLineChars="100"/>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（注１）生活習慣病のリスクを高める量：次のいずれかに該当</w:t>
      </w:r>
    </w:p>
    <w:p>
      <w:pPr>
        <w:pStyle w:val="0"/>
        <w:snapToGrid w:val="0"/>
        <w:spacing w:line="240" w:lineRule="atLeast"/>
        <w:ind w:left="0" w:leftChars="0" w:firstLine="314" w:firstLineChars="200"/>
        <w:rPr>
          <w:rFonts w:hint="eastAsia" w:ascii="ＭＳ 明朝" w:hAnsi="ＭＳ 明朝" w:eastAsia="ＭＳ 明朝"/>
          <w:color w:val="auto"/>
          <w:highlight w:val="none"/>
        </w:rPr>
      </w:pPr>
      <w:r>
        <w:rPr>
          <w:rFonts w:hint="eastAsia" w:ascii="ＭＳ 明朝" w:hAnsi="ＭＳ 明朝" w:eastAsia="ＭＳ 明朝"/>
          <w:color w:val="auto"/>
          <w:sz w:val="15"/>
          <w:highlight w:val="none"/>
          <w:u w:val="none" w:color="auto"/>
        </w:rPr>
        <w:t>男性　毎日×</w:t>
      </w:r>
      <w:r>
        <w:rPr>
          <w:rFonts w:hint="eastAsia" w:ascii="ＭＳ 明朝" w:hAnsi="ＭＳ 明朝" w:eastAsia="ＭＳ 明朝"/>
          <w:color w:val="auto"/>
          <w:sz w:val="15"/>
          <w:highlight w:val="none"/>
          <w:u w:val="none" w:color="auto"/>
        </w:rPr>
        <w:t>2</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5</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6</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2</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4</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2</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5</w:t>
      </w:r>
      <w:r>
        <w:rPr>
          <w:rFonts w:hint="eastAsia" w:ascii="ＭＳ 明朝" w:hAnsi="ＭＳ 明朝" w:eastAsia="ＭＳ 明朝"/>
          <w:color w:val="auto"/>
          <w:sz w:val="15"/>
          <w:highlight w:val="none"/>
          <w:u w:val="none" w:color="auto"/>
        </w:rPr>
        <w:t>合以上、月</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5</w:t>
      </w:r>
      <w:r>
        <w:rPr>
          <w:rFonts w:hint="eastAsia" w:ascii="ＭＳ 明朝" w:hAnsi="ＭＳ 明朝" w:eastAsia="ＭＳ 明朝"/>
          <w:color w:val="auto"/>
          <w:sz w:val="15"/>
          <w:highlight w:val="none"/>
          <w:u w:val="none" w:color="auto"/>
        </w:rPr>
        <w:t>合以上</w:t>
      </w:r>
    </w:p>
    <w:p>
      <w:pPr>
        <w:pStyle w:val="0"/>
        <w:snapToGrid w:val="0"/>
        <w:spacing w:line="240" w:lineRule="atLeast"/>
        <w:ind w:left="0" w:leftChars="0" w:firstLine="314" w:firstLineChars="200"/>
        <w:rPr>
          <w:rFonts w:hint="eastAsia" w:ascii="ＭＳ 明朝" w:hAnsi="ＭＳ 明朝" w:eastAsia="ＭＳ 明朝"/>
          <w:color w:val="auto"/>
          <w:highlight w:val="none"/>
        </w:rPr>
      </w:pPr>
      <w:r>
        <w:rPr>
          <w:rFonts w:hint="eastAsia" w:ascii="ＭＳ 明朝" w:hAnsi="ＭＳ 明朝" w:eastAsia="ＭＳ 明朝"/>
          <w:color w:val="auto"/>
          <w:sz w:val="15"/>
          <w:highlight w:val="none"/>
          <w:u w:val="none" w:color="auto"/>
        </w:rPr>
        <w:t>女性　毎日×</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5</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6</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4</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合以上、週</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2</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合以上、月</w:t>
      </w:r>
      <w:r>
        <w:rPr>
          <w:rFonts w:hint="eastAsia" w:ascii="ＭＳ 明朝" w:hAnsi="ＭＳ 明朝" w:eastAsia="ＭＳ 明朝"/>
          <w:color w:val="auto"/>
          <w:sz w:val="15"/>
          <w:highlight w:val="none"/>
          <w:u w:val="none" w:color="auto"/>
        </w:rPr>
        <w:t>1</w:t>
      </w:r>
      <w:r>
        <w:rPr>
          <w:rFonts w:hint="eastAsia" w:ascii="ＭＳ 明朝" w:hAnsi="ＭＳ 明朝" w:eastAsia="ＭＳ 明朝"/>
          <w:color w:val="auto"/>
          <w:sz w:val="15"/>
          <w:highlight w:val="none"/>
          <w:u w:val="none" w:color="auto"/>
        </w:rPr>
        <w:t>～</w:t>
      </w:r>
      <w:r>
        <w:rPr>
          <w:rFonts w:hint="eastAsia" w:ascii="ＭＳ 明朝" w:hAnsi="ＭＳ 明朝" w:eastAsia="ＭＳ 明朝"/>
          <w:color w:val="auto"/>
          <w:sz w:val="15"/>
          <w:highlight w:val="none"/>
          <w:u w:val="none" w:color="auto"/>
        </w:rPr>
        <w:t>3</w:t>
      </w:r>
      <w:r>
        <w:rPr>
          <w:rFonts w:hint="eastAsia" w:ascii="ＭＳ 明朝" w:hAnsi="ＭＳ 明朝" w:eastAsia="ＭＳ 明朝"/>
          <w:color w:val="auto"/>
          <w:sz w:val="15"/>
          <w:highlight w:val="none"/>
          <w:u w:val="none" w:color="auto"/>
        </w:rPr>
        <w:t>日×</w:t>
      </w:r>
      <w:r>
        <w:rPr>
          <w:rFonts w:hint="eastAsia" w:ascii="ＭＳ 明朝" w:hAnsi="ＭＳ 明朝" w:eastAsia="ＭＳ 明朝"/>
          <w:color w:val="auto"/>
          <w:sz w:val="15"/>
          <w:highlight w:val="none"/>
          <w:u w:val="none" w:color="auto"/>
        </w:rPr>
        <w:t>5</w:t>
      </w:r>
      <w:r>
        <w:rPr>
          <w:rFonts w:hint="eastAsia" w:ascii="ＭＳ 明朝" w:hAnsi="ＭＳ 明朝" w:eastAsia="ＭＳ 明朝"/>
          <w:color w:val="auto"/>
          <w:sz w:val="15"/>
          <w:highlight w:val="none"/>
          <w:u w:val="none" w:color="auto"/>
        </w:rPr>
        <w:t>合以上</w:t>
      </w:r>
    </w:p>
    <w:p>
      <w:pPr>
        <w:pStyle w:val="0"/>
        <w:spacing w:line="240" w:lineRule="auto"/>
        <w:ind w:left="227" w:leftChars="100" w:firstLine="227" w:firstLineChars="100"/>
        <w:rPr>
          <w:rFonts w:hint="eastAsia" w:ascii="ＭＳ 明朝" w:hAnsi="ＭＳ 明朝" w:eastAsia="ＭＳ 明朝"/>
          <w:color w:val="auto"/>
          <w:highlight w:val="none"/>
        </w:rPr>
      </w:pPr>
    </w:p>
    <w:p>
      <w:pPr>
        <w:pStyle w:val="0"/>
        <w:spacing w:line="240" w:lineRule="auto"/>
        <w:ind w:left="221" w:leftChars="100" w:right="272" w:rightChars="123" w:firstLine="221" w:firstLineChars="100"/>
        <w:rPr>
          <w:rFonts w:hint="eastAsia" w:ascii="ＭＳ 明朝" w:hAnsi="ＭＳ 明朝" w:eastAsia="ＭＳ 明朝"/>
          <w:color w:val="auto"/>
          <w:sz w:val="22"/>
          <w:highlight w:val="none"/>
        </w:rPr>
      </w:pPr>
      <w:r>
        <w:rPr>
          <w:rFonts w:hint="eastAsia" w:ascii="ＭＳ 明朝" w:hAnsi="ＭＳ 明朝" w:eastAsia="ＭＳ 明朝"/>
          <w:color w:val="auto"/>
          <w:sz w:val="22"/>
          <w:highlight w:val="none"/>
        </w:rPr>
        <w:t>喫煙率</w:t>
      </w:r>
      <w:r>
        <w:rPr>
          <w:rFonts w:hint="eastAsia" w:ascii="ＭＳ 明朝" w:hAnsi="ＭＳ 明朝" w:eastAsia="ＭＳ 明朝"/>
          <w:color w:val="auto"/>
          <w:sz w:val="22"/>
          <w:highlight w:val="none"/>
          <w:u w:val="none" w:color="auto"/>
        </w:rPr>
        <w:t>については、令和４年高知県県民健康・栄養調査によると減少傾向です</w:t>
      </w:r>
      <w:r>
        <w:rPr>
          <w:rFonts w:hint="eastAsia" w:ascii="ＭＳ 明朝" w:hAnsi="ＭＳ 明朝" w:eastAsia="ＭＳ 明朝"/>
          <w:color w:val="auto"/>
          <w:sz w:val="22"/>
          <w:highlight w:val="none"/>
        </w:rPr>
        <w:t>（図表</w:t>
      </w:r>
      <w:r>
        <w:rPr>
          <w:rFonts w:hint="eastAsia"/>
        </w:rPr>
        <mc:AlternateContent>
          <mc:Choice Requires="wpg">
            <w:drawing>
              <wp:anchor simplePos="0" relativeHeight="22" behindDoc="0" locked="0" layoutInCell="1" hidden="0" allowOverlap="1">
                <wp:simplePos x="0" y="0"/>
                <wp:positionH relativeFrom="column">
                  <wp:posOffset>408305</wp:posOffset>
                </wp:positionH>
                <wp:positionV relativeFrom="paragraph">
                  <wp:posOffset>389890</wp:posOffset>
                </wp:positionV>
                <wp:extent cx="5184140" cy="1870075"/>
                <wp:effectExtent l="0" t="0" r="635" b="635"/>
                <wp:wrapNone/>
                <wp:docPr id="1038" name="オブジェクト 0"/>
                <a:graphic xmlns:a="http://schemas.openxmlformats.org/drawingml/2006/main">
                  <a:graphicData uri="http://schemas.microsoft.com/office/word/2010/wordprocessingGroup">
                    <wpg:wgp>
                      <wpg:cNvGrpSpPr/>
                      <wpg:grpSpPr>
                        <a:xfrm>
                          <a:off x="0" y="0"/>
                          <a:ext cx="5184140" cy="1870075"/>
                          <a:chOff x="2061" y="10595"/>
                          <a:chExt cx="8164" cy="2945"/>
                        </a:xfrm>
                      </wpg:grpSpPr>
                      <wps:wsp>
                        <wps:cNvPr id="1039" name="テキスト ボックス 2"/>
                        <wps:cNvSpPr txBox="1">
                          <a:spLocks noChangeArrowheads="1"/>
                        </wps:cNvSpPr>
                        <wps:spPr>
                          <a:xfrm>
                            <a:off x="2061" y="10595"/>
                            <a:ext cx="7839" cy="473"/>
                          </a:xfrm>
                          <a:prstGeom prst="rect">
                            <a:avLst/>
                          </a:prstGeom>
                          <a:noFill/>
                          <a:ln w="9525">
                            <a:noFill/>
                            <a:miter lim="800000"/>
                            <a:headEnd/>
                            <a:tailEnd/>
                          </a:ln>
                        </wps:spPr>
                        <wps:txbx>
                          <w:txbxContent>
                            <w:p>
                              <w:pPr>
                                <w:pStyle w:val="0"/>
                                <w:spacing w:line="160" w:lineRule="atLeast"/>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b w:val="0"/>
                                  <w:color w:val="auto"/>
                                  <w:sz w:val="22"/>
                                </w:rPr>
                                <w:t>（図表</w:t>
                              </w:r>
                              <w:r>
                                <w:rPr>
                                  <w:rFonts w:hint="eastAsia" w:ascii="ＭＳ ゴシック" w:hAnsi="ＭＳ ゴシック" w:eastAsia="ＭＳ ゴシック"/>
                                  <w:b w:val="0"/>
                                  <w:color w:val="auto"/>
                                  <w:sz w:val="22"/>
                                </w:rPr>
                                <w:t>6-2-4</w:t>
                              </w:r>
                              <w:r>
                                <w:rPr>
                                  <w:rFonts w:hint="eastAsia" w:ascii="ＭＳ ゴシック" w:hAnsi="ＭＳ ゴシック" w:eastAsia="ＭＳ ゴシック"/>
                                  <w:b w:val="0"/>
                                  <w:color w:val="auto"/>
                                  <w:sz w:val="22"/>
                                </w:rPr>
                                <w:t>）喫煙率の推移</w:t>
                              </w:r>
                            </w:p>
                          </w:txbxContent>
                        </wps:txbx>
                        <wps:bodyPr vertOverflow="overflow" horzOverflow="overflow" wrap="square"/>
                      </wps:wsp>
                      <wpg:graphicFrame>
                        <wpg:cNvPr id="1040" name="オブジェクト 0"/>
                        <wpg:cNvFrPr/>
                        <wpg:xfrm>
                          <a:off x="3796" y="10958"/>
                          <a:ext cx="4358" cy="2479"/>
                        </wpg:xfrm>
                        <a:graphic>
                          <a:graphicData uri="http://schemas.openxmlformats.org/drawingml/2006/chart">
                            <c:chart xmlns:c="http://schemas.openxmlformats.org/drawingml/2006/chart" r:id="rId14"/>
                          </a:graphicData>
                        </a:graphic>
                      </wpg:graphicFrame>
                      <wps:wsp>
                        <wps:cNvPr id="1041" name="テキスト ボックス 1"/>
                        <wps:cNvSpPr txBox="1"/>
                        <wps:spPr>
                          <a:xfrm>
                            <a:off x="3944" y="10853"/>
                            <a:ext cx="790" cy="483"/>
                          </a:xfrm>
                          <a:prstGeom prst="rect">
                            <a:avLst/>
                          </a:prstGeom>
                        </wps:spPr>
                        <wps:txbx>
                          <w:txbxContent>
                            <w:p>
                              <w:pPr>
                                <w:pStyle w:val="0"/>
                                <w:snapToGrid w:val="0"/>
                                <w:ind w:left="0" w:firstLine="0"/>
                                <w:jc w:val="left"/>
                                <w:rPr>
                                  <w:rFonts w:hint="eastAsia" w:ascii="ＭＳ ゴシック" w:hAnsi="ＭＳ ゴシック" w:eastAsia="ＭＳ ゴシック"/>
                                  <w:sz w:val="21"/>
                                </w:rPr>
                              </w:pPr>
                              <w:r>
                                <w:rPr>
                                  <w:rFonts w:hint="eastAsia" w:ascii="ＭＳ ゴシック" w:hAnsi="ＭＳ ゴシック" w:eastAsia="ＭＳ ゴシック"/>
                                  <w:sz w:val="16"/>
                                </w:rPr>
                                <w:t>（％）</w:t>
                              </w:r>
                            </w:p>
                          </w:txbxContent>
                        </wps:txbx>
                        <wps:bodyPr vertOverflow="overflow" horzOverflow="overflow" wrap="square" rtlCol="0"/>
                      </wps:wsp>
                      <wps:wsp>
                        <wps:cNvPr id="1042" name="オブジェクト 0"/>
                        <wps:cNvSpPr txBox="1">
                          <a:spLocks noChangeArrowheads="1"/>
                        </wps:cNvSpPr>
                        <wps:spPr>
                          <a:xfrm>
                            <a:off x="7379" y="13098"/>
                            <a:ext cx="2846" cy="442"/>
                          </a:xfrm>
                          <a:prstGeom prst="rect">
                            <a:avLst/>
                          </a:prstGeom>
                          <a:noFill/>
                          <a:ln>
                            <a:miter/>
                          </a:ln>
                        </wps:spPr>
                        <wps:txbx>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wps:txbx>
                        <wps:bodyPr vertOverflow="overflow" horzOverflow="overflow" wrap="square" lIns="74295" tIns="8890" rIns="74295" bIns="8890" upright="1"/>
                      </wps:wsp>
                    </wpg:wgp>
                  </a:graphicData>
                </a:graphic>
              </wp:anchor>
            </w:drawing>
          </mc:Choice>
          <mc:Fallback>
            <w:pict>
              <v:group id="オブジェクト 0" style="margin-top:30.7pt;mso-position-vertical-relative:text;mso-position-horizontal-relative:text;position:absolute;height:147.25pt;width:408.2pt;margin-left:32.15pt;z-index:22;" coordsize="8164,2945" coordorigin="2061,10595" o:spid="_x0000_s1038" o:allowincell="t" o:allowoverlap="t">
                <v:shapetype id="_x0000_t202" coordsize="21600,21600" o:spt="202" path="m,l,21600r21600,l21600,xe">
                  <v:stroke joinstyle="miter"/>
                  <v:path gradientshapeok="t" o:connecttype="rect"/>
                </v:shapetype>
                <v:shape id="テキスト ボックス 2" style="height:473;width:7839;top:10595;left:2061;position:absolute;" o:spid="_x0000_s1039" filled="f" stroked="f" strokeweight="0.75pt" o:spt="202" type="#_x0000_t202">
                  <v:fill/>
                  <v:stroke miterlimit="8"/>
                  <v:textbox style="layout-flow:horizontal;">
                    <w:txbxContent>
                      <w:p>
                        <w:pPr>
                          <w:pStyle w:val="0"/>
                          <w:spacing w:line="160" w:lineRule="atLeast"/>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b w:val="0"/>
                            <w:color w:val="auto"/>
                            <w:sz w:val="22"/>
                          </w:rPr>
                          <w:t>（図表</w:t>
                        </w:r>
                        <w:r>
                          <w:rPr>
                            <w:rFonts w:hint="eastAsia" w:ascii="ＭＳ ゴシック" w:hAnsi="ＭＳ ゴシック" w:eastAsia="ＭＳ ゴシック"/>
                            <w:b w:val="0"/>
                            <w:color w:val="auto"/>
                            <w:sz w:val="22"/>
                          </w:rPr>
                          <w:t>6-2-4</w:t>
                        </w:r>
                        <w:r>
                          <w:rPr>
                            <w:rFonts w:hint="eastAsia" w:ascii="ＭＳ ゴシック" w:hAnsi="ＭＳ ゴシック" w:eastAsia="ＭＳ ゴシック"/>
                            <w:b w:val="0"/>
                            <w:color w:val="auto"/>
                            <w:sz w:val="22"/>
                          </w:rPr>
                          <w:t>）喫煙率の推移</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479;width:4358;top:10958;left:3796;position:absolute;" o:spid="_x0000_s1040" filled="f" stroked="f" o:spt="75" type="#_x0000_t75">
                  <v:fill/>
                  <v:imagedata o:title="" r:id="rId15"/>
                  <w10:wrap type="none" anchorx="text" anchory="text"/>
                </v:shape>
                <v:shape id="テキスト ボックス 1" style="height:483;width:790;top:10853;left:3944;position:absolute;" o:spid="_x0000_s1041" filled="f" stroked="f" o:spt="202" type="#_x0000_t202">
                  <v:fill/>
                  <v:textbox style="layout-flow:horizontal;">
                    <w:txbxContent>
                      <w:p>
                        <w:pPr>
                          <w:pStyle w:val="0"/>
                          <w:snapToGrid w:val="0"/>
                          <w:ind w:left="0" w:firstLine="0"/>
                          <w:jc w:val="left"/>
                          <w:rPr>
                            <w:rFonts w:hint="eastAsia" w:ascii="ＭＳ ゴシック" w:hAnsi="ＭＳ ゴシック" w:eastAsia="ＭＳ ゴシック"/>
                            <w:sz w:val="21"/>
                          </w:rPr>
                        </w:pPr>
                        <w:r>
                          <w:rPr>
                            <w:rFonts w:hint="eastAsia" w:ascii="ＭＳ ゴシック" w:hAnsi="ＭＳ ゴシック" w:eastAsia="ＭＳ ゴシック"/>
                            <w:sz w:val="16"/>
                          </w:rPr>
                          <w:t>（％）</w:t>
                        </w:r>
                      </w:p>
                    </w:txbxContent>
                  </v:textbox>
                  <v:imagedata o:title=""/>
                  <w10:wrap type="none" anchorx="text" anchory="text"/>
                </v:shape>
                <v:shape id="オブジェクト 0" style="height:442;width:2846;top:13098;left:7379;position:absolute;" o:spid="_x0000_s1042"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出典：高知県県民</w:t>
                        </w:r>
                        <w:r>
                          <w:rPr>
                            <w:rFonts w:hint="eastAsia" w:ascii="ＭＳ 明朝" w:hAnsi="ＭＳ 明朝" w:eastAsia="ＭＳ 明朝"/>
                            <w:sz w:val="16"/>
                          </w:rPr>
                          <w:t>健康・栄養調査</w:t>
                        </w:r>
                      </w:p>
                    </w:txbxContent>
                  </v:textbox>
                  <v:imagedata o:title=""/>
                  <w10:wrap type="none" anchorx="text" anchory="text"/>
                </v:shape>
                <w10:wrap type="none" anchorx="text" anchory="text"/>
              </v:group>
            </w:pict>
          </mc:Fallback>
        </mc:AlternateContent>
      </w:r>
      <w:r>
        <w:rPr>
          <w:rFonts w:hint="eastAsia" w:ascii="ＭＳ 明朝" w:hAnsi="ＭＳ 明朝" w:eastAsia="ＭＳ 明朝"/>
          <w:color w:val="auto"/>
          <w:sz w:val="22"/>
          <w:highlight w:val="none"/>
        </w:rPr>
        <w:t>6-2-4</w:t>
      </w:r>
      <w:r>
        <w:rPr>
          <w:rFonts w:hint="eastAsia" w:ascii="ＭＳ 明朝" w:hAnsi="ＭＳ 明朝" w:eastAsia="ＭＳ 明朝"/>
          <w:color w:val="auto"/>
          <w:sz w:val="22"/>
          <w:highlight w:val="none"/>
        </w:rPr>
        <w:t>）。</w:t>
      </w:r>
    </w:p>
    <w:p>
      <w:pPr>
        <w:pStyle w:val="0"/>
        <w:tabs>
          <w:tab w:val="left" w:leader="none" w:pos="7704"/>
        </w:tabs>
        <w:spacing w:before="160" w:beforeLines="50" w:beforeAutospacing="0" w:line="240" w:lineRule="auto"/>
        <w:jc w:val="center"/>
        <w:rPr>
          <w:rFonts w:hint="eastAsia" w:ascii="ＭＳ 明朝" w:hAnsi="ＭＳ 明朝" w:eastAsia="ＭＳ 明朝"/>
          <w:b w:val="1"/>
          <w:color w:val="auto"/>
          <w:sz w:val="20"/>
          <w:highlight w:val="none"/>
        </w:rPr>
      </w:pPr>
    </w:p>
    <w:p>
      <w:pPr>
        <w:pStyle w:val="0"/>
        <w:spacing w:line="240" w:lineRule="auto"/>
        <w:ind w:left="227" w:leftChars="100" w:firstLine="0" w:firstLineChars="0"/>
        <w:rPr>
          <w:rFonts w:hint="eastAsia" w:ascii="ＭＳ 明朝" w:hAnsi="ＭＳ 明朝" w:eastAsia="ＭＳ 明朝"/>
          <w:color w:val="auto"/>
          <w:highlight w:val="none"/>
        </w:rPr>
      </w:pPr>
    </w:p>
    <w:p>
      <w:pPr>
        <w:pStyle w:val="0"/>
        <w:tabs>
          <w:tab w:val="left" w:leader="none" w:pos="7704"/>
        </w:tabs>
        <w:spacing w:before="160" w:beforeLines="50" w:beforeAutospacing="0" w:line="240" w:lineRule="auto"/>
        <w:rPr>
          <w:rFonts w:hint="eastAsia" w:ascii="ＭＳ 明朝" w:hAnsi="ＭＳ 明朝" w:eastAsia="ＭＳ 明朝"/>
          <w:b w:val="1"/>
          <w:color w:val="auto"/>
          <w:highlight w:val="none"/>
        </w:rPr>
      </w:pPr>
    </w:p>
    <w:p>
      <w:pPr>
        <w:pStyle w:val="0"/>
        <w:tabs>
          <w:tab w:val="left" w:leader="none" w:pos="7704"/>
        </w:tabs>
        <w:spacing w:before="160" w:beforeLines="50" w:beforeAutospacing="0" w:line="240" w:lineRule="auto"/>
        <w:rPr>
          <w:rFonts w:hint="eastAsia" w:ascii="ＭＳ 明朝" w:hAnsi="ＭＳ 明朝" w:eastAsia="ＭＳ 明朝"/>
          <w:b w:val="1"/>
          <w:color w:val="auto"/>
          <w:highlight w:val="none"/>
        </w:rPr>
      </w:pPr>
    </w:p>
    <w:p>
      <w:pPr>
        <w:pStyle w:val="0"/>
        <w:tabs>
          <w:tab w:val="left" w:leader="none" w:pos="7704"/>
        </w:tabs>
        <w:spacing w:before="160" w:beforeLines="50" w:beforeAutospacing="0" w:line="240" w:lineRule="auto"/>
        <w:rPr>
          <w:rFonts w:hint="eastAsia" w:ascii="ＭＳ 明朝" w:hAnsi="ＭＳ 明朝" w:eastAsia="ＭＳ 明朝"/>
          <w:b w:val="1"/>
          <w:color w:val="auto"/>
          <w:highlight w:val="none"/>
        </w:rPr>
      </w:pPr>
    </w:p>
    <w:p>
      <w:pPr>
        <w:pStyle w:val="0"/>
        <w:tabs>
          <w:tab w:val="left" w:leader="none" w:pos="7704"/>
        </w:tabs>
        <w:spacing w:before="160" w:beforeLines="50" w:beforeAutospacing="0" w:line="240" w:lineRule="auto"/>
        <w:rPr>
          <w:rFonts w:hint="eastAsia" w:ascii="ＭＳ 明朝" w:hAnsi="ＭＳ 明朝" w:eastAsia="ＭＳ 明朝"/>
          <w:b w:val="1"/>
          <w:color w:val="auto"/>
          <w:highlight w:val="none"/>
        </w:rPr>
      </w:pPr>
    </w:p>
    <w:p>
      <w:pPr>
        <w:pStyle w:val="0"/>
        <w:spacing w:line="240" w:lineRule="auto"/>
        <w:rPr>
          <w:rFonts w:hint="eastAsia" w:ascii="ＭＳ 明朝" w:hAnsi="ＭＳ 明朝" w:eastAsia="ＭＳ 明朝"/>
          <w:b w:val="1"/>
          <w:color w:val="auto"/>
          <w:sz w:val="22"/>
          <w:highlight w:val="none"/>
          <w:u w:val="none" w:color="auto"/>
        </w:rPr>
      </w:pPr>
      <w:r>
        <w:rPr>
          <w:rFonts w:hint="eastAsia" w:ascii="ＭＳ 明朝" w:hAnsi="ＭＳ 明朝" w:eastAsia="ＭＳ 明朝"/>
          <w:b w:val="1"/>
          <w:color w:val="auto"/>
          <w:sz w:val="22"/>
          <w:highlight w:val="none"/>
          <w:u w:val="none" w:color="auto"/>
        </w:rPr>
        <w:t>（２）特定健康診査・特定保健指導の実施率の向上と健診によるリスク管理</w:t>
      </w:r>
    </w:p>
    <w:p>
      <w:pPr>
        <w:pStyle w:val="0"/>
        <w:spacing w:line="240" w:lineRule="auto"/>
        <w:ind w:left="221" w:leftChars="100" w:right="272" w:rightChars="123" w:firstLine="221" w:firstLineChars="100"/>
        <w:rPr>
          <w:rFonts w:hint="eastAsia"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健康状態の把握及び生活習慣の改善を通じた発症リスクの低減を図るため、保険者による特定健診及び特定保健指導の実施率の向上が重要です。</w:t>
      </w:r>
    </w:p>
    <w:p>
      <w:pPr>
        <w:pStyle w:val="0"/>
        <w:spacing w:line="240" w:lineRule="auto"/>
        <w:ind w:left="227" w:leftChars="100" w:firstLine="227" w:firstLineChars="100"/>
        <w:rPr>
          <w:rFonts w:hint="eastAsia" w:ascii="ＭＳ 明朝" w:hAnsi="ＭＳ 明朝" w:eastAsia="ＭＳ 明朝"/>
          <w:color w:val="FF0000"/>
          <w:sz w:val="22"/>
          <w:highlight w:val="none"/>
          <w:u w:val="single" w:color="auto"/>
        </w:rPr>
      </w:pPr>
    </w:p>
    <w:p>
      <w:pPr>
        <w:pStyle w:val="0"/>
        <w:spacing w:line="240" w:lineRule="auto"/>
        <w:ind w:left="227" w:leftChars="100" w:firstLine="227" w:firstLineChars="100"/>
        <w:rPr>
          <w:rFonts w:hint="eastAsia" w:ascii="ＭＳ 明朝" w:hAnsi="ＭＳ 明朝" w:eastAsia="ＭＳ 明朝"/>
          <w:color w:val="FF0000"/>
          <w:sz w:val="22"/>
          <w:highlight w:val="none"/>
          <w:u w:val="single" w:color="auto"/>
        </w:rPr>
      </w:pPr>
    </w:p>
    <w:p>
      <w:pPr>
        <w:pStyle w:val="0"/>
        <w:spacing w:line="240" w:lineRule="auto"/>
        <w:ind w:left="227" w:leftChars="100" w:firstLine="227" w:firstLineChars="100"/>
        <w:rPr>
          <w:rFonts w:hint="eastAsia"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特定健診の実施率は上昇傾向にあり、令和３年度特定健診の実施率は</w:t>
      </w:r>
      <w:r>
        <w:rPr>
          <w:rFonts w:hint="eastAsia" w:ascii="ＭＳ 明朝" w:hAnsi="ＭＳ 明朝" w:eastAsia="ＭＳ 明朝"/>
          <w:color w:val="auto"/>
          <w:sz w:val="22"/>
          <w:highlight w:val="none"/>
          <w:u w:val="none" w:color="auto"/>
        </w:rPr>
        <w:t>53.7</w:t>
      </w:r>
      <w:r>
        <w:rPr>
          <w:rFonts w:hint="eastAsia" w:ascii="ＭＳ 明朝" w:hAnsi="ＭＳ 明朝" w:eastAsia="ＭＳ 明朝"/>
          <w:color w:val="auto"/>
          <w:sz w:val="22"/>
          <w:highlight w:val="none"/>
          <w:u w:val="none" w:color="auto"/>
        </w:rPr>
        <w:t>％です（図表</w:t>
      </w:r>
      <w:r>
        <w:rPr>
          <w:rFonts w:hint="eastAsia" w:ascii="ＭＳ 明朝" w:hAnsi="ＭＳ 明朝" w:eastAsia="ＭＳ 明朝"/>
          <w:color w:val="auto"/>
          <w:sz w:val="22"/>
          <w:highlight w:val="none"/>
          <w:u w:val="none" w:color="auto"/>
        </w:rPr>
        <w:t>6-2-5</w:t>
      </w:r>
      <w:r>
        <w:rPr>
          <w:rFonts w:hint="eastAsia" w:ascii="ＭＳ 明朝" w:hAnsi="ＭＳ 明朝" w:eastAsia="ＭＳ 明朝"/>
          <w:color w:val="auto"/>
          <w:sz w:val="22"/>
          <w:highlight w:val="none"/>
          <w:u w:val="none" w:color="auto"/>
        </w:rPr>
        <w:t>）。全国との差は縮小しているものの、全国平均より</w:t>
      </w:r>
      <w:r>
        <w:rPr>
          <w:rFonts w:hint="eastAsia" w:ascii="ＭＳ 明朝" w:hAnsi="ＭＳ 明朝" w:eastAsia="ＭＳ 明朝"/>
          <w:color w:val="auto"/>
          <w:sz w:val="22"/>
          <w:highlight w:val="none"/>
          <w:u w:val="none" w:color="auto"/>
        </w:rPr>
        <w:t>2.5</w:t>
      </w:r>
      <w:r>
        <w:rPr>
          <w:rFonts w:hint="eastAsia" w:ascii="ＭＳ 明朝" w:hAnsi="ＭＳ 明朝" w:eastAsia="ＭＳ 明朝"/>
          <w:color w:val="auto"/>
          <w:sz w:val="22"/>
          <w:highlight w:val="none"/>
          <w:u w:val="none" w:color="auto"/>
        </w:rPr>
        <w:t>ポイント低く、全国</w:t>
      </w:r>
      <w:r>
        <w:rPr>
          <w:rFonts w:hint="eastAsia" w:ascii="ＭＳ 明朝" w:hAnsi="ＭＳ 明朝" w:eastAsia="ＭＳ 明朝"/>
          <w:color w:val="auto"/>
          <w:sz w:val="22"/>
          <w:highlight w:val="none"/>
          <w:u w:val="none" w:color="auto"/>
        </w:rPr>
        <w:t>28</w:t>
      </w:r>
      <w:r>
        <w:rPr>
          <w:rFonts w:hint="eastAsia" w:ascii="ＭＳ 明朝" w:hAnsi="ＭＳ 明朝" w:eastAsia="ＭＳ 明朝"/>
          <w:color w:val="auto"/>
          <w:sz w:val="22"/>
          <w:highlight w:val="none"/>
          <w:u w:val="none" w:color="auto"/>
        </w:rPr>
        <w:t>位となっています。保険者別では、市町村国保</w:t>
      </w:r>
      <w:r>
        <w:rPr>
          <w:rFonts w:hint="eastAsia" w:ascii="ＭＳ 明朝" w:hAnsi="ＭＳ 明朝" w:eastAsia="ＭＳ 明朝"/>
          <w:color w:val="auto"/>
          <w:sz w:val="22"/>
          <w:highlight w:val="none"/>
          <w:u w:val="none" w:color="auto"/>
        </w:rPr>
        <w:t>35.6</w:t>
      </w:r>
      <w:r>
        <w:rPr>
          <w:rFonts w:hint="eastAsia" w:ascii="ＭＳ 明朝" w:hAnsi="ＭＳ 明朝" w:eastAsia="ＭＳ 明朝"/>
          <w:color w:val="auto"/>
          <w:sz w:val="22"/>
          <w:highlight w:val="none"/>
          <w:u w:val="none" w:color="auto"/>
        </w:rPr>
        <w:t>％、全国健康保険協会高知支部（以下「協会けんぽ」という。）被保険者</w:t>
      </w:r>
      <w:r>
        <w:rPr>
          <w:rFonts w:hint="eastAsia" w:ascii="ＭＳ 明朝" w:hAnsi="ＭＳ 明朝" w:eastAsia="ＭＳ 明朝"/>
          <w:color w:val="auto"/>
          <w:sz w:val="22"/>
          <w:highlight w:val="none"/>
          <w:u w:val="none" w:color="auto"/>
        </w:rPr>
        <w:t>73.0</w:t>
      </w:r>
      <w:r>
        <w:rPr>
          <w:rFonts w:hint="eastAsia" w:ascii="ＭＳ 明朝" w:hAnsi="ＭＳ 明朝" w:eastAsia="ＭＳ 明朝"/>
          <w:color w:val="auto"/>
          <w:sz w:val="22"/>
          <w:highlight w:val="none"/>
          <w:u w:val="none" w:color="auto"/>
        </w:rPr>
        <w:t>％、協会けんぽ被扶養者</w:t>
      </w:r>
      <w:r>
        <w:rPr>
          <w:rFonts w:hint="eastAsia" w:ascii="ＭＳ 明朝" w:hAnsi="ＭＳ 明朝" w:eastAsia="ＭＳ 明朝"/>
          <w:color w:val="auto"/>
          <w:sz w:val="22"/>
          <w:highlight w:val="none"/>
          <w:u w:val="none" w:color="auto"/>
        </w:rPr>
        <w:t>26.4</w:t>
      </w:r>
      <w:r>
        <w:rPr>
          <w:rFonts w:hint="eastAsia" w:ascii="ＭＳ 明朝" w:hAnsi="ＭＳ 明朝" w:eastAsia="ＭＳ 明朝"/>
          <w:color w:val="auto"/>
          <w:sz w:val="22"/>
          <w:highlight w:val="none"/>
          <w:u w:val="none" w:color="auto"/>
        </w:rPr>
        <w:t>％と、実施率に差があり</w:t>
      </w:r>
      <w:r>
        <w:rPr>
          <w:rFonts w:hint="eastAsia"/>
        </w:rPr>
        <mc:AlternateContent>
          <mc:Choice Requires="wpg">
            <w:drawing>
              <wp:anchor simplePos="0" relativeHeight="27" behindDoc="0" locked="0" layoutInCell="1" hidden="0" allowOverlap="1">
                <wp:simplePos x="0" y="0"/>
                <wp:positionH relativeFrom="column">
                  <wp:posOffset>144780</wp:posOffset>
                </wp:positionH>
                <wp:positionV relativeFrom="paragraph">
                  <wp:posOffset>1079500</wp:posOffset>
                </wp:positionV>
                <wp:extent cx="5575300" cy="3369945"/>
                <wp:effectExtent l="0" t="0" r="635" b="635"/>
                <wp:wrapNone/>
                <wp:docPr id="1043" name="オブジェクト 0"/>
                <a:graphic xmlns:a="http://schemas.openxmlformats.org/drawingml/2006/main">
                  <a:graphicData uri="http://schemas.microsoft.com/office/word/2010/wordprocessingGroup">
                    <wpg:wgp>
                      <wpg:cNvGrpSpPr/>
                      <wpg:grpSpPr>
                        <a:xfrm>
                          <a:off x="0" y="0"/>
                          <a:ext cx="5575300" cy="3369945"/>
                          <a:chOff x="1646" y="3118"/>
                          <a:chExt cx="8997" cy="5424"/>
                        </a:xfrm>
                      </wpg:grpSpPr>
                      <wpg:graphicFrame>
                        <wpg:cNvPr id="1044" name="オブジェクト 0"/>
                        <wpg:cNvFrPr/>
                        <wpg:xfrm>
                          <a:off x="1646" y="3365"/>
                          <a:ext cx="8645" cy="4654"/>
                        </wpg:xfrm>
                        <a:graphic>
                          <a:graphicData uri="http://schemas.openxmlformats.org/drawingml/2006/chart">
                            <c:chart xmlns:c="http://schemas.openxmlformats.org/drawingml/2006/chart" r:id="rId16"/>
                          </a:graphicData>
                        </a:graphic>
                      </wpg:graphicFrame>
                      <wps:wsp>
                        <wps:cNvPr id="1045" name="テキスト ボックス 2"/>
                        <wps:cNvSpPr txBox="1">
                          <a:spLocks noChangeArrowheads="1"/>
                        </wps:cNvSpPr>
                        <wps:spPr>
                          <a:xfrm>
                            <a:off x="1646" y="3118"/>
                            <a:ext cx="8715" cy="525"/>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6-2-5</w:t>
                              </w:r>
                              <w:r>
                                <w:rPr>
                                  <w:rFonts w:hint="eastAsia" w:ascii="ＭＳ ゴシック" w:hAnsi="ＭＳ ゴシック" w:eastAsia="ＭＳ ゴシック"/>
                                  <w:color w:val="auto"/>
                                  <w:sz w:val="22"/>
                                  <w:u w:val="none" w:color="auto"/>
                                </w:rPr>
                                <w:t>）特定健診実施率</w:t>
                              </w:r>
                            </w:p>
                            <w:p>
                              <w:pPr>
                                <w:pStyle w:val="0"/>
                                <w:rPr>
                                  <w:rFonts w:hint="eastAsia" w:ascii="ＭＳ ゴシック" w:hAnsi="ＭＳ ゴシック" w:eastAsia="ＭＳ ゴシック"/>
                                  <w:color w:val="FF0000"/>
                                  <w:sz w:val="22"/>
                                  <w:u w:val="single" w:color="auto"/>
                                </w:rPr>
                              </w:pPr>
                            </w:p>
                          </w:txbxContent>
                        </wps:txbx>
                        <wps:bodyPr vertOverflow="overflow" horzOverflow="overflow" wrap="square"/>
                      </wps:wsp>
                      <wps:wsp>
                        <wps:cNvPr id="1046" name="テキスト ボックス 39"/>
                        <wps:cNvSpPr txBox="1"/>
                        <wps:spPr>
                          <a:xfrm>
                            <a:off x="4701" y="7983"/>
                            <a:ext cx="5942" cy="559"/>
                          </a:xfrm>
                          <a:prstGeom prst="rect">
                            <a:avLst/>
                          </a:prstGeom>
                          <a:noFill/>
                        </wps:spPr>
                        <wps:txbx>
                          <w:txbxContent>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出典：厚生労働省「特定健康診査・特定保健指導に関するデータ」</w:t>
                              </w:r>
                            </w:p>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 xml:space="preserve">      </w:t>
                              </w:r>
                              <w:r>
                                <w:rPr>
                                  <w:rFonts w:hint="eastAsia" w:ascii="ＭＳ 明朝" w:hAnsi="ＭＳ 明朝" w:eastAsia="ＭＳ 明朝"/>
                                  <w:color w:val="000000" w:themeColor="text1"/>
                                  <w:kern w:val="1200"/>
                                  <w:sz w:val="16"/>
                                </w:rPr>
                                <w:t>高知県保険者協議会「特定健康診査・特定保健指導実施状況調べ」</w:t>
                              </w:r>
                            </w:p>
                          </w:txbxContent>
                        </wps:txbx>
                        <wps:bodyPr vertOverflow="overflow" horzOverflow="overflow" wrap="square" rtlCol="0"/>
                      </wps:wsp>
                    </wpg:wgp>
                  </a:graphicData>
                </a:graphic>
              </wp:anchor>
            </w:drawing>
          </mc:Choice>
          <mc:Fallback>
            <w:pict>
              <v:group id="オブジェクト 0" style="margin-top:85pt;mso-position-vertical-relative:text;mso-position-horizontal-relative:text;position:absolute;height:265.35000000000002pt;width:439pt;margin-left:11.4pt;z-index:27;" coordsize="8997,5424" coordorigin="1646,3118" o:spid="_x0000_s1043"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654;width:8645;top:3365;left:1646;position:absolute;" o:spid="_x0000_s1044" filled="f" stroked="f" o:spt="75" type="#_x0000_t75">
                  <v:fill/>
                  <v:imagedata o:title="" r:id="rId17"/>
                  <w10:wrap type="none" anchorx="text" anchory="text"/>
                </v:shape>
                <v:shapetype id="_x0000_t202" coordsize="21600,21600" o:spt="202" path="m,l,21600r21600,l21600,xe">
                  <v:stroke joinstyle="miter"/>
                  <v:path gradientshapeok="t" o:connecttype="rect"/>
                </v:shapetype>
                <v:shape id="テキスト ボックス 2" style="height:525;width:8715;top:3118;left:1646;position:absolute;" o:spid="_x0000_s1045"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6-2-5</w:t>
                        </w:r>
                        <w:r>
                          <w:rPr>
                            <w:rFonts w:hint="eastAsia" w:ascii="ＭＳ ゴシック" w:hAnsi="ＭＳ ゴシック" w:eastAsia="ＭＳ ゴシック"/>
                            <w:color w:val="auto"/>
                            <w:sz w:val="22"/>
                            <w:u w:val="none" w:color="auto"/>
                          </w:rPr>
                          <w:t>）特定健診実施率</w:t>
                        </w:r>
                      </w:p>
                      <w:p>
                        <w:pPr>
                          <w:pStyle w:val="0"/>
                          <w:rPr>
                            <w:rFonts w:hint="eastAsia" w:ascii="ＭＳ ゴシック" w:hAnsi="ＭＳ ゴシック" w:eastAsia="ＭＳ ゴシック"/>
                            <w:color w:val="FF0000"/>
                            <w:sz w:val="22"/>
                            <w:u w:val="single" w:color="auto"/>
                          </w:rPr>
                        </w:pPr>
                      </w:p>
                    </w:txbxContent>
                  </v:textbox>
                  <v:imagedata o:title=""/>
                  <w10:wrap type="none" anchorx="text" anchory="text"/>
                </v:shape>
                <v:shape id="テキスト ボックス 39" style="height:559;width:5942;top:7983;left:4701;position:absolute;" o:spid="_x0000_s1046" filled="f" stroked="f" o:spt="202" type="#_x0000_t202">
                  <v:fill/>
                  <v:textbox style="layout-flow:horizontal;">
                    <w:txbxContent>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出典：厚生労働省「特定健康診査・特定保健指導に関するデータ」</w:t>
                        </w:r>
                      </w:p>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 xml:space="preserve">      </w:t>
                        </w:r>
                        <w:r>
                          <w:rPr>
                            <w:rFonts w:hint="eastAsia" w:ascii="ＭＳ 明朝" w:hAnsi="ＭＳ 明朝" w:eastAsia="ＭＳ 明朝"/>
                            <w:color w:val="000000" w:themeColor="text1"/>
                            <w:kern w:val="1200"/>
                            <w:sz w:val="16"/>
                          </w:rPr>
                          <w:t>高知県保険者協議会「特定健康診査・特定保健指導実施状況調べ」</w:t>
                        </w:r>
                      </w:p>
                    </w:txbxContent>
                  </v:textbox>
                  <v:imagedata o:title=""/>
                  <w10:wrap type="none" anchorx="text" anchory="text"/>
                </v:shape>
                <w10:wrap type="none" anchorx="text" anchory="text"/>
              </v:group>
            </w:pict>
          </mc:Fallback>
        </mc:AlternateContent>
      </w:r>
      <w:r>
        <w:rPr>
          <w:rFonts w:hint="eastAsia" w:ascii="ＭＳ 明朝" w:hAnsi="ＭＳ 明朝" w:eastAsia="ＭＳ 明朝"/>
          <w:color w:val="auto"/>
          <w:sz w:val="22"/>
          <w:highlight w:val="none"/>
          <w:u w:val="none" w:color="auto"/>
        </w:rPr>
        <w:t>ます。</w:t>
      </w: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7" w:firstLineChars="100"/>
        <w:rPr>
          <w:rFonts w:hint="eastAsia" w:ascii="ＭＳ 明朝" w:hAnsi="ＭＳ 明朝" w:eastAsia="ＭＳ 明朝"/>
          <w:color w:val="auto"/>
          <w:highlight w:val="none"/>
        </w:rPr>
      </w:pPr>
    </w:p>
    <w:p>
      <w:pPr>
        <w:pStyle w:val="0"/>
        <w:spacing w:line="100" w:lineRule="exact"/>
        <w:ind w:firstLine="227" w:firstLineChars="100"/>
        <w:rPr>
          <w:rFonts w:hint="eastAsia" w:ascii="ＭＳ 明朝" w:hAnsi="ＭＳ 明朝" w:eastAsia="ＭＳ 明朝"/>
          <w:color w:val="auto"/>
          <w:highlight w:val="none"/>
        </w:rPr>
      </w:pPr>
    </w:p>
    <w:p>
      <w:pPr>
        <w:pStyle w:val="0"/>
        <w:spacing w:line="240" w:lineRule="auto"/>
        <w:ind w:left="221" w:leftChars="100" w:right="272" w:rightChars="123" w:firstLine="232" w:firstLineChars="105"/>
        <w:rPr>
          <w:rFonts w:hint="eastAsia" w:ascii="ＭＳ 明朝" w:hAnsi="ＭＳ 明朝" w:eastAsia="ＭＳ 明朝"/>
          <w:color w:val="FF0000"/>
          <w:sz w:val="22"/>
          <w:highlight w:val="none"/>
          <w:u w:val="single" w:color="auto"/>
        </w:rPr>
      </w:pPr>
      <w:r>
        <w:rPr>
          <w:rFonts w:hint="eastAsia" w:ascii="ＭＳ 明朝" w:hAnsi="ＭＳ 明朝" w:eastAsia="ＭＳ 明朝"/>
          <w:b w:val="0"/>
          <w:color w:val="auto"/>
          <w:sz w:val="22"/>
          <w:highlight w:val="none"/>
          <w:u w:val="none" w:color="auto"/>
        </w:rPr>
        <w:t>特定保健指導の実施率は上昇傾向にあり、令和３年度特定保健指導の実施率は</w:t>
      </w:r>
      <w:r>
        <w:rPr>
          <w:rFonts w:hint="eastAsia" w:ascii="ＭＳ 明朝" w:hAnsi="ＭＳ 明朝" w:eastAsia="ＭＳ 明朝"/>
          <w:b w:val="0"/>
          <w:color w:val="auto"/>
          <w:sz w:val="22"/>
          <w:highlight w:val="none"/>
          <w:u w:val="none" w:color="auto"/>
        </w:rPr>
        <w:t>24.4</w:t>
      </w:r>
      <w:r>
        <w:rPr>
          <w:rFonts w:hint="eastAsia" w:ascii="ＭＳ 明朝" w:hAnsi="ＭＳ 明朝" w:eastAsia="ＭＳ 明朝"/>
          <w:b w:val="0"/>
          <w:color w:val="auto"/>
          <w:sz w:val="22"/>
          <w:highlight w:val="none"/>
          <w:u w:val="none" w:color="auto"/>
        </w:rPr>
        <w:t>％です（図表</w:t>
      </w:r>
      <w:r>
        <w:rPr>
          <w:rFonts w:hint="eastAsia" w:ascii="ＭＳ 明朝" w:hAnsi="ＭＳ 明朝" w:eastAsia="ＭＳ 明朝"/>
          <w:b w:val="0"/>
          <w:color w:val="auto"/>
          <w:sz w:val="22"/>
          <w:highlight w:val="none"/>
          <w:u w:val="none" w:color="auto"/>
        </w:rPr>
        <w:t>6-2-6</w:t>
      </w:r>
      <w:r>
        <w:rPr>
          <w:rFonts w:hint="eastAsia" w:ascii="ＭＳ 明朝" w:hAnsi="ＭＳ 明朝" w:eastAsia="ＭＳ 明朝"/>
          <w:b w:val="0"/>
          <w:color w:val="auto"/>
          <w:sz w:val="22"/>
          <w:highlight w:val="none"/>
          <w:u w:val="none" w:color="auto"/>
        </w:rPr>
        <w:t>）。平成</w:t>
      </w:r>
      <w:r>
        <w:rPr>
          <w:rFonts w:hint="eastAsia" w:ascii="ＭＳ 明朝" w:hAnsi="ＭＳ 明朝" w:eastAsia="ＭＳ 明朝"/>
          <w:b w:val="0"/>
          <w:color w:val="auto"/>
          <w:sz w:val="22"/>
          <w:highlight w:val="none"/>
          <w:u w:val="none" w:color="auto"/>
        </w:rPr>
        <w:t>30</w:t>
      </w:r>
      <w:r>
        <w:rPr>
          <w:rFonts w:hint="eastAsia" w:ascii="ＭＳ 明朝" w:hAnsi="ＭＳ 明朝" w:eastAsia="ＭＳ 明朝"/>
          <w:b w:val="0"/>
          <w:color w:val="auto"/>
          <w:sz w:val="22"/>
          <w:highlight w:val="none"/>
          <w:u w:val="none" w:color="auto"/>
        </w:rPr>
        <w:t>年度から全国平均と同様の傾向で推移していますが、目標値である</w:t>
      </w:r>
      <w:r>
        <w:rPr>
          <w:rFonts w:hint="eastAsia" w:ascii="ＭＳ 明朝" w:hAnsi="ＭＳ 明朝" w:eastAsia="ＭＳ 明朝"/>
          <w:b w:val="0"/>
          <w:color w:val="auto"/>
          <w:sz w:val="22"/>
          <w:highlight w:val="none"/>
          <w:u w:val="none" w:color="auto"/>
        </w:rPr>
        <w:t>45</w:t>
      </w:r>
      <w:r>
        <w:rPr>
          <w:rFonts w:hint="eastAsia" w:ascii="ＭＳ 明朝" w:hAnsi="ＭＳ 明朝" w:eastAsia="ＭＳ 明朝"/>
          <w:b w:val="0"/>
          <w:color w:val="auto"/>
          <w:sz w:val="22"/>
          <w:highlight w:val="none"/>
          <w:u w:val="none" w:color="auto"/>
        </w:rPr>
        <w:t>％には達していません。</w:t>
      </w:r>
    </w:p>
    <w:p>
      <w:pPr>
        <w:pStyle w:val="0"/>
        <w:spacing w:line="240" w:lineRule="auto"/>
        <w:ind w:firstLine="227" w:firstLineChars="100"/>
        <w:rPr>
          <w:rFonts w:hint="eastAsia" w:ascii="ＭＳ 明朝" w:hAnsi="ＭＳ 明朝" w:eastAsia="ＭＳ 明朝"/>
          <w:color w:val="auto"/>
          <w:highlight w:val="none"/>
        </w:rPr>
      </w:pPr>
      <w:r>
        <w:rPr>
          <w:rFonts w:hint="eastAsia"/>
        </w:rPr>
        <mc:AlternateContent>
          <mc:Choice Requires="wpg">
            <w:drawing>
              <wp:anchor simplePos="0" relativeHeight="31" behindDoc="0" locked="0" layoutInCell="1" hidden="0" allowOverlap="1">
                <wp:simplePos x="0" y="0"/>
                <wp:positionH relativeFrom="column">
                  <wp:posOffset>297180</wp:posOffset>
                </wp:positionH>
                <wp:positionV relativeFrom="paragraph">
                  <wp:posOffset>36195</wp:posOffset>
                </wp:positionV>
                <wp:extent cx="5420995" cy="3684905"/>
                <wp:effectExtent l="0" t="0" r="635" b="635"/>
                <wp:wrapNone/>
                <wp:docPr id="1047" name="オブジェクト 0"/>
                <a:graphic xmlns:a="http://schemas.openxmlformats.org/drawingml/2006/main">
                  <a:graphicData uri="http://schemas.microsoft.com/office/word/2010/wordprocessingGroup">
                    <wpg:wgp>
                      <wpg:cNvGrpSpPr/>
                      <wpg:grpSpPr>
                        <a:xfrm>
                          <a:off x="0" y="0"/>
                          <a:ext cx="5420995" cy="3684905"/>
                          <a:chOff x="1799" y="10029"/>
                          <a:chExt cx="8770" cy="4867"/>
                        </a:xfrm>
                      </wpg:grpSpPr>
                      <wpg:graphicFrame>
                        <wpg:cNvPr id="1048" name="オブジェクト 0"/>
                        <wpg:cNvFrPr/>
                        <wpg:xfrm>
                          <a:off x="1799" y="10336"/>
                          <a:ext cx="8334" cy="4026"/>
                        </wpg:xfrm>
                        <a:graphic>
                          <a:graphicData uri="http://schemas.openxmlformats.org/drawingml/2006/chart">
                            <c:chart xmlns:c="http://schemas.openxmlformats.org/drawingml/2006/chart" r:id="rId18"/>
                          </a:graphicData>
                        </a:graphic>
                      </wpg:graphicFrame>
                      <wps:wsp>
                        <wps:cNvPr id="1049" name="テキスト ボックス 2"/>
                        <wps:cNvSpPr txBox="1">
                          <a:spLocks noChangeArrowheads="1"/>
                        </wps:cNvSpPr>
                        <wps:spPr>
                          <a:xfrm>
                            <a:off x="2698" y="10029"/>
                            <a:ext cx="6300" cy="525"/>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6-2-6</w:t>
                              </w:r>
                              <w:r>
                                <w:rPr>
                                  <w:rFonts w:hint="eastAsia" w:ascii="ＭＳ ゴシック" w:hAnsi="ＭＳ ゴシック" w:eastAsia="ＭＳ ゴシック"/>
                                  <w:color w:val="auto"/>
                                  <w:sz w:val="22"/>
                                  <w:u w:val="none" w:color="auto"/>
                                </w:rPr>
                                <w:t>）特定保健指導実施率</w:t>
                              </w:r>
                            </w:p>
                            <w:p>
                              <w:pPr>
                                <w:pStyle w:val="0"/>
                                <w:jc w:val="center"/>
                                <w:rPr>
                                  <w:rFonts w:hint="eastAsia" w:ascii="ＭＳ ゴシック" w:hAnsi="ＭＳ ゴシック" w:eastAsia="ＭＳ ゴシック"/>
                                  <w:color w:val="FF0000"/>
                                  <w:sz w:val="22"/>
                                  <w:u w:val="single" w:color="auto"/>
                                </w:rPr>
                              </w:pPr>
                            </w:p>
                          </w:txbxContent>
                        </wps:txbx>
                        <wps:bodyPr vertOverflow="overflow" horzOverflow="overflow" wrap="square"/>
                      </wps:wsp>
                      <wps:wsp>
                        <wps:cNvPr id="1050" name="テキスト ボックス 39"/>
                        <wps:cNvSpPr txBox="1"/>
                        <wps:spPr>
                          <a:xfrm>
                            <a:off x="4701" y="14445"/>
                            <a:ext cx="5868" cy="451"/>
                          </a:xfrm>
                          <a:prstGeom prst="rect">
                            <a:avLst/>
                          </a:prstGeom>
                          <a:noFill/>
                        </wps:spPr>
                        <wps:txbx>
                          <w:txbxContent>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出典：厚生労働省「特定健康診査・特定保健指導に関するデータ」</w:t>
                              </w:r>
                            </w:p>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 xml:space="preserve">      </w:t>
                              </w:r>
                              <w:r>
                                <w:rPr>
                                  <w:rFonts w:hint="eastAsia" w:ascii="ＭＳ 明朝" w:hAnsi="ＭＳ 明朝" w:eastAsia="ＭＳ 明朝"/>
                                  <w:color w:val="000000" w:themeColor="text1"/>
                                  <w:kern w:val="1200"/>
                                  <w:sz w:val="16"/>
                                </w:rPr>
                                <w:t>高知県保険者協議会「特定健康診査・特定保健指導実施状況調べ」</w:t>
                              </w:r>
                            </w:p>
                          </w:txbxContent>
                        </wps:txbx>
                        <wps:bodyPr vertOverflow="overflow" horzOverflow="overflow" wrap="square" rtlCol="0"/>
                      </wps:wsp>
                    </wpg:wgp>
                  </a:graphicData>
                </a:graphic>
              </wp:anchor>
            </w:drawing>
          </mc:Choice>
          <mc:Fallback>
            <w:pict>
              <v:group id="オブジェクト 0" style="margin-top:2.85pt;mso-position-vertical-relative:text;mso-position-horizontal-relative:text;position:absolute;height:290.14pt;width:426.85pt;margin-left:23.4pt;z-index:31;" coordsize="8770,4867" coordorigin="1799,10029" o:spid="_x0000_s1047"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026;width:8334;top:10336;left:1799;position:absolute;" o:spid="_x0000_s1048" filled="f" stroked="f" o:spt="75" type="#_x0000_t75">
                  <v:fill/>
                  <v:imagedata o:title="" r:id="rId19"/>
                  <w10:wrap type="none" anchorx="text" anchory="text"/>
                </v:shape>
                <v:shapetype id="_x0000_t202" coordsize="21600,21600" o:spt="202" path="m,l,21600r21600,l21600,xe">
                  <v:stroke joinstyle="miter"/>
                  <v:path gradientshapeok="t" o:connecttype="rect"/>
                </v:shapetype>
                <v:shape id="テキスト ボックス 2" style="height:525;width:6300;top:10029;left:2698;position:absolute;" o:spid="_x0000_s1049"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6-2-6</w:t>
                        </w:r>
                        <w:r>
                          <w:rPr>
                            <w:rFonts w:hint="eastAsia" w:ascii="ＭＳ ゴシック" w:hAnsi="ＭＳ ゴシック" w:eastAsia="ＭＳ ゴシック"/>
                            <w:color w:val="auto"/>
                            <w:sz w:val="22"/>
                            <w:u w:val="none" w:color="auto"/>
                          </w:rPr>
                          <w:t>）特定保健指導実施率</w:t>
                        </w:r>
                      </w:p>
                      <w:p>
                        <w:pPr>
                          <w:pStyle w:val="0"/>
                          <w:jc w:val="center"/>
                          <w:rPr>
                            <w:rFonts w:hint="eastAsia" w:ascii="ＭＳ ゴシック" w:hAnsi="ＭＳ ゴシック" w:eastAsia="ＭＳ ゴシック"/>
                            <w:color w:val="FF0000"/>
                            <w:sz w:val="22"/>
                            <w:u w:val="single" w:color="auto"/>
                          </w:rPr>
                        </w:pPr>
                      </w:p>
                    </w:txbxContent>
                  </v:textbox>
                  <v:imagedata o:title=""/>
                  <w10:wrap type="none" anchorx="text" anchory="text"/>
                </v:shape>
                <v:shape id="テキスト ボックス 39" style="height:451;width:5868;top:14445;left:4701;position:absolute;" o:spid="_x0000_s1050" filled="f" stroked="f" o:spt="202" type="#_x0000_t202">
                  <v:fill/>
                  <v:textbox style="layout-flow:horizontal;">
                    <w:txbxContent>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出典：厚生労働省「特定健康診査・特定保健指導に関するデータ」</w:t>
                        </w:r>
                      </w:p>
                      <w:p>
                        <w:pPr>
                          <w:pStyle w:val="0"/>
                          <w:wordWrap w:val="0"/>
                          <w:overflowPunct w:val="1"/>
                          <w:snapToGrid w:val="0"/>
                          <w:ind w:left="0"/>
                          <w:jc w:val="left"/>
                          <w:rPr>
                            <w:rFonts w:hint="eastAsia" w:ascii="ＭＳ 明朝" w:hAnsi="ＭＳ 明朝" w:eastAsia="ＭＳ 明朝"/>
                            <w:sz w:val="16"/>
                          </w:rPr>
                        </w:pPr>
                        <w:r>
                          <w:rPr>
                            <w:rFonts w:hint="eastAsia" w:ascii="ＭＳ 明朝" w:hAnsi="ＭＳ 明朝" w:eastAsia="ＭＳ 明朝"/>
                            <w:color w:val="000000" w:themeColor="text1"/>
                            <w:kern w:val="1200"/>
                            <w:sz w:val="16"/>
                          </w:rPr>
                          <w:t xml:space="preserve">      </w:t>
                        </w:r>
                        <w:r>
                          <w:rPr>
                            <w:rFonts w:hint="eastAsia" w:ascii="ＭＳ 明朝" w:hAnsi="ＭＳ 明朝" w:eastAsia="ＭＳ 明朝"/>
                            <w:color w:val="000000" w:themeColor="text1"/>
                            <w:kern w:val="1200"/>
                            <w:sz w:val="16"/>
                          </w:rPr>
                          <w:t>高知県保険者協議会「特定健康診査・特定保健指導実施状況調べ」</w:t>
                        </w:r>
                      </w:p>
                    </w:txbxContent>
                  </v:textbox>
                  <v:imagedata o:title=""/>
                  <w10:wrap type="none" anchorx="text" anchory="text"/>
                </v:shape>
                <w10:wrap type="none" anchorx="text" anchory="text"/>
              </v:group>
            </w:pict>
          </mc:Fallback>
        </mc:AlternateContent>
      </w:r>
    </w:p>
    <w:p>
      <w:pPr>
        <w:pStyle w:val="0"/>
        <w:spacing w:line="240" w:lineRule="auto"/>
        <w:ind w:firstLine="227" w:firstLineChars="100"/>
        <w:rPr>
          <w:rFonts w:hint="eastAsia" w:ascii="ＭＳ 明朝" w:hAnsi="ＭＳ 明朝" w:eastAsia="ＭＳ 明朝"/>
          <w:color w:val="auto"/>
          <w:highlight w:val="none"/>
        </w:rPr>
      </w:pPr>
      <w:r>
        <w:rPr>
          <w:rFonts w:hint="eastAsia" w:ascii="ＭＳ 明朝" w:hAnsi="ＭＳ 明朝" w:eastAsia="ＭＳ 明朝"/>
          <w:color w:val="auto"/>
          <w:highlight w:val="none"/>
        </w:rPr>
        <w:br w:type="page"/>
      </w:r>
    </w:p>
    <w:p>
      <w:pPr>
        <w:pStyle w:val="0"/>
        <w:spacing w:line="240" w:lineRule="auto"/>
        <w:ind w:left="221" w:leftChars="100" w:right="272" w:rightChars="123" w:firstLineChars="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rPr>
        <w:t>　</w:t>
      </w:r>
      <w:r>
        <w:rPr>
          <w:rFonts w:hint="eastAsia" w:ascii="ＭＳ 明朝" w:hAnsi="ＭＳ 明朝" w:eastAsia="ＭＳ 明朝"/>
          <w:b w:val="0"/>
          <w:color w:val="auto"/>
          <w:sz w:val="22"/>
          <w:highlight w:val="none"/>
          <w:u w:val="none" w:color="auto"/>
        </w:rPr>
        <w:t>令和３年度特定健診の結果によると、内臓脂肪症候群（メタボリックシンドローム）該当者及び予備群の割合が</w:t>
      </w:r>
      <w:r>
        <w:rPr>
          <w:rFonts w:hint="eastAsia" w:ascii="ＭＳ 明朝" w:hAnsi="ＭＳ 明朝" w:eastAsia="ＭＳ 明朝"/>
          <w:b w:val="0"/>
          <w:color w:val="auto"/>
          <w:sz w:val="22"/>
          <w:highlight w:val="none"/>
          <w:u w:val="none" w:color="auto"/>
        </w:rPr>
        <w:t>30.4%</w:t>
      </w:r>
      <w:r>
        <w:rPr>
          <w:rFonts w:hint="eastAsia" w:ascii="ＭＳ 明朝" w:hAnsi="ＭＳ 明朝" w:eastAsia="ＭＳ 明朝"/>
          <w:b w:val="0"/>
          <w:color w:val="auto"/>
          <w:sz w:val="22"/>
          <w:highlight w:val="none"/>
          <w:u w:val="none" w:color="auto"/>
        </w:rPr>
        <w:t>（該当者</w:t>
      </w:r>
      <w:r>
        <w:rPr>
          <w:rFonts w:hint="eastAsia" w:ascii="ＭＳ 明朝" w:hAnsi="ＭＳ 明朝" w:eastAsia="ＭＳ 明朝"/>
          <w:b w:val="0"/>
          <w:color w:val="auto"/>
          <w:sz w:val="22"/>
          <w:highlight w:val="none"/>
          <w:u w:val="none" w:color="auto"/>
        </w:rPr>
        <w:t>18.2</w:t>
      </w:r>
      <w:r>
        <w:rPr>
          <w:rFonts w:hint="eastAsia" w:ascii="ＭＳ 明朝" w:hAnsi="ＭＳ 明朝" w:eastAsia="ＭＳ 明朝"/>
          <w:b w:val="0"/>
          <w:color w:val="auto"/>
          <w:sz w:val="22"/>
          <w:highlight w:val="none"/>
          <w:u w:val="none" w:color="auto"/>
        </w:rPr>
        <w:t>％、予備群者</w:t>
      </w:r>
      <w:r>
        <w:rPr>
          <w:rFonts w:hint="eastAsia" w:ascii="ＭＳ 明朝" w:hAnsi="ＭＳ 明朝" w:eastAsia="ＭＳ 明朝"/>
          <w:b w:val="0"/>
          <w:color w:val="auto"/>
          <w:sz w:val="22"/>
          <w:highlight w:val="none"/>
          <w:u w:val="none" w:color="auto"/>
        </w:rPr>
        <w:t>12.1</w:t>
      </w:r>
      <w:r>
        <w:rPr>
          <w:rFonts w:hint="eastAsia" w:ascii="ＭＳ 明朝" w:hAnsi="ＭＳ 明朝" w:eastAsia="ＭＳ 明朝"/>
          <w:b w:val="0"/>
          <w:color w:val="auto"/>
          <w:sz w:val="22"/>
          <w:highlight w:val="none"/>
          <w:u w:val="none" w:color="auto"/>
        </w:rPr>
        <w:t>％）となっており、全国の</w:t>
      </w:r>
      <w:r>
        <w:rPr>
          <w:rFonts w:hint="eastAsia" w:ascii="ＭＳ 明朝" w:hAnsi="ＭＳ 明朝" w:eastAsia="ＭＳ 明朝"/>
          <w:b w:val="0"/>
          <w:color w:val="auto"/>
          <w:sz w:val="22"/>
          <w:highlight w:val="none"/>
          <w:u w:val="none" w:color="auto"/>
        </w:rPr>
        <w:t>29.1</w:t>
      </w:r>
      <w:r>
        <w:rPr>
          <w:rFonts w:hint="eastAsia" w:ascii="ＭＳ 明朝" w:hAnsi="ＭＳ 明朝" w:eastAsia="ＭＳ 明朝"/>
          <w:b w:val="0"/>
          <w:color w:val="auto"/>
          <w:sz w:val="22"/>
          <w:highlight w:val="none"/>
          <w:u w:val="none" w:color="auto"/>
        </w:rPr>
        <w:t>％（該当者</w:t>
      </w:r>
      <w:r>
        <w:rPr>
          <w:rFonts w:hint="eastAsia" w:ascii="ＭＳ 明朝" w:hAnsi="ＭＳ 明朝" w:eastAsia="ＭＳ 明朝"/>
          <w:b w:val="0"/>
          <w:color w:val="auto"/>
          <w:sz w:val="22"/>
          <w:highlight w:val="none"/>
          <w:u w:val="none" w:color="auto"/>
        </w:rPr>
        <w:t>16.6</w:t>
      </w:r>
      <w:r>
        <w:rPr>
          <w:rFonts w:hint="eastAsia" w:ascii="ＭＳ 明朝" w:hAnsi="ＭＳ 明朝" w:eastAsia="ＭＳ 明朝"/>
          <w:b w:val="0"/>
          <w:color w:val="auto"/>
          <w:sz w:val="22"/>
          <w:highlight w:val="none"/>
          <w:u w:val="none" w:color="auto"/>
        </w:rPr>
        <w:t>％、予備群者</w:t>
      </w:r>
      <w:r>
        <w:rPr>
          <w:rFonts w:hint="eastAsia" w:ascii="ＭＳ 明朝" w:hAnsi="ＭＳ 明朝" w:eastAsia="ＭＳ 明朝"/>
          <w:b w:val="0"/>
          <w:color w:val="auto"/>
          <w:sz w:val="22"/>
          <w:highlight w:val="none"/>
          <w:u w:val="none" w:color="auto"/>
        </w:rPr>
        <w:t>12.5</w:t>
      </w:r>
      <w:r>
        <w:rPr>
          <w:rFonts w:hint="eastAsia" w:ascii="ＭＳ 明朝" w:hAnsi="ＭＳ 明朝" w:eastAsia="ＭＳ 明朝"/>
          <w:b w:val="0"/>
          <w:color w:val="auto"/>
          <w:sz w:val="22"/>
          <w:highlight w:val="none"/>
          <w:u w:val="none" w:color="auto"/>
        </w:rPr>
        <w:t>％）と比較すると高くなっています。</w:t>
      </w:r>
    </w:p>
    <w:p>
      <w:pPr>
        <w:pStyle w:val="0"/>
        <w:spacing w:line="240" w:lineRule="auto"/>
        <w:ind w:left="221" w:leftChars="100" w:right="272" w:rightChars="123" w:firstLineChars="0"/>
        <w:rPr>
          <w:rFonts w:hint="eastAsia" w:ascii="ＭＳ 明朝" w:hAnsi="ＭＳ 明朝" w:eastAsia="ＭＳ 明朝"/>
          <w:color w:val="auto"/>
          <w:sz w:val="22"/>
          <w:highlight w:val="none"/>
        </w:rPr>
      </w:pPr>
      <w:r>
        <w:rPr>
          <w:rFonts w:hint="eastAsia" w:ascii="ＭＳ 明朝" w:hAnsi="ＭＳ 明朝" w:eastAsia="ＭＳ 明朝"/>
          <w:b w:val="0"/>
          <w:color w:val="auto"/>
          <w:sz w:val="22"/>
          <w:highlight w:val="none"/>
          <w:u w:val="none" w:color="auto"/>
        </w:rPr>
        <w:t>　また、令和４年度の市町村国保特定健診結果では、血圧の有所見者が</w:t>
      </w:r>
      <w:r>
        <w:rPr>
          <w:rFonts w:hint="eastAsia" w:ascii="ＭＳ 明朝" w:hAnsi="ＭＳ 明朝" w:eastAsia="ＭＳ 明朝"/>
          <w:b w:val="0"/>
          <w:color w:val="auto"/>
          <w:sz w:val="22"/>
          <w:highlight w:val="none"/>
          <w:u w:val="none" w:color="auto"/>
        </w:rPr>
        <w:t>48.2</w:t>
      </w:r>
      <w:r>
        <w:rPr>
          <w:rFonts w:hint="eastAsia" w:ascii="ＭＳ 明朝" w:hAnsi="ＭＳ 明朝" w:eastAsia="ＭＳ 明朝"/>
          <w:b w:val="0"/>
          <w:color w:val="auto"/>
          <w:sz w:val="22"/>
          <w:highlight w:val="none"/>
          <w:u w:val="none" w:color="auto"/>
        </w:rPr>
        <w:t>％、血糖の有所見者が</w:t>
      </w:r>
      <w:r>
        <w:rPr>
          <w:rFonts w:hint="eastAsia" w:ascii="ＭＳ 明朝" w:hAnsi="ＭＳ 明朝" w:eastAsia="ＭＳ 明朝"/>
          <w:b w:val="0"/>
          <w:color w:val="auto"/>
          <w:sz w:val="22"/>
          <w:highlight w:val="none"/>
          <w:u w:val="none" w:color="auto"/>
        </w:rPr>
        <w:t>66.2</w:t>
      </w:r>
      <w:r>
        <w:rPr>
          <w:rFonts w:hint="eastAsia" w:ascii="ＭＳ 明朝" w:hAnsi="ＭＳ 明朝" w:eastAsia="ＭＳ 明朝"/>
          <w:b w:val="0"/>
          <w:color w:val="auto"/>
          <w:sz w:val="22"/>
          <w:highlight w:val="none"/>
          <w:u w:val="none" w:color="auto"/>
        </w:rPr>
        <w:t>％と高い割合となっており、発症リスクを認識し、生活習慣を見直す機会となっています。</w:t>
      </w:r>
    </w:p>
    <w:p>
      <w:pPr>
        <w:pStyle w:val="0"/>
        <w:spacing w:line="240" w:lineRule="auto"/>
        <w:ind w:left="227" w:leftChars="100" w:firstLineChars="0"/>
        <w:rPr>
          <w:rFonts w:hint="eastAsia" w:ascii="ＭＳ 明朝" w:hAnsi="ＭＳ 明朝" w:eastAsia="ＭＳ 明朝"/>
          <w:color w:val="auto"/>
          <w:sz w:val="22"/>
          <w:highlight w:val="none"/>
        </w:rPr>
      </w:pPr>
    </w:p>
    <w:p>
      <w:pPr>
        <w:pStyle w:val="0"/>
        <w:rPr>
          <w:rFonts w:hint="eastAsia" w:ascii="ＭＳ 明朝" w:hAnsi="ＭＳ 明朝" w:eastAsia="ＭＳ 明朝"/>
          <w:b w:val="1"/>
          <w:color w:val="auto"/>
          <w:sz w:val="22"/>
          <w:highlight w:val="none"/>
          <w:u w:val="none" w:color="auto"/>
        </w:rPr>
      </w:pPr>
      <w:r>
        <w:rPr>
          <w:rFonts w:hint="eastAsia" w:ascii="ＭＳ 明朝" w:hAnsi="ＭＳ 明朝" w:eastAsia="ＭＳ 明朝"/>
          <w:b w:val="1"/>
          <w:color w:val="auto"/>
          <w:sz w:val="22"/>
          <w:highlight w:val="none"/>
          <w:u w:val="none" w:color="auto"/>
        </w:rPr>
        <w:t>（３）脳卒中の危険因子の管理</w:t>
      </w:r>
    </w:p>
    <w:p>
      <w:pPr>
        <w:pStyle w:val="0"/>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脳卒中の最大の危険因子は高血圧であり、その他に、糖尿病、脂質異常症、心房細動などの影響が大きいといわれています。</w:t>
      </w:r>
    </w:p>
    <w:p>
      <w:pPr>
        <w:pStyle w:val="0"/>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特定健診結果によると、高血圧治療者（服薬有）で収縮期血圧</w:t>
      </w:r>
      <w:r>
        <w:rPr>
          <w:rFonts w:hint="eastAsia" w:ascii="ＭＳ 明朝" w:hAnsi="ＭＳ 明朝" w:eastAsia="ＭＳ 明朝"/>
          <w:color w:val="auto"/>
          <w:sz w:val="22"/>
          <w:highlight w:val="none"/>
          <w:u w:val="none" w:color="auto"/>
        </w:rPr>
        <w:t>140mmHg</w:t>
      </w:r>
      <w:r>
        <w:rPr>
          <w:rFonts w:hint="eastAsia" w:ascii="ＭＳ 明朝" w:hAnsi="ＭＳ 明朝" w:eastAsia="ＭＳ 明朝"/>
          <w:color w:val="auto"/>
          <w:sz w:val="22"/>
          <w:highlight w:val="none"/>
          <w:u w:val="none" w:color="auto"/>
        </w:rPr>
        <w:t>以上の人の割合は、平成</w:t>
      </w:r>
      <w:r>
        <w:rPr>
          <w:rFonts w:hint="eastAsia" w:ascii="ＭＳ 明朝" w:hAnsi="ＭＳ 明朝" w:eastAsia="ＭＳ 明朝"/>
          <w:color w:val="auto"/>
          <w:sz w:val="22"/>
          <w:highlight w:val="none"/>
          <w:u w:val="none" w:color="auto"/>
        </w:rPr>
        <w:t>27</w:t>
      </w:r>
      <w:r>
        <w:rPr>
          <w:rFonts w:hint="eastAsia" w:ascii="ＭＳ 明朝" w:hAnsi="ＭＳ 明朝" w:eastAsia="ＭＳ 明朝"/>
          <w:color w:val="auto"/>
          <w:sz w:val="22"/>
          <w:highlight w:val="none"/>
          <w:u w:val="none" w:color="auto"/>
        </w:rPr>
        <w:t>年度と比較すると増加傾向にあります（図表</w:t>
      </w:r>
      <w:r>
        <w:rPr>
          <w:rFonts w:hint="eastAsia" w:ascii="ＭＳ 明朝" w:hAnsi="ＭＳ 明朝" w:eastAsia="ＭＳ 明朝"/>
          <w:color w:val="auto"/>
          <w:sz w:val="22"/>
          <w:highlight w:val="none"/>
          <w:u w:val="none" w:color="auto"/>
        </w:rPr>
        <w:t>6-2-7</w:t>
      </w:r>
      <w:r>
        <w:rPr>
          <w:rFonts w:hint="eastAsia" w:ascii="ＭＳ 明朝" w:hAnsi="ＭＳ 明朝" w:eastAsia="ＭＳ 明朝"/>
          <w:color w:val="auto"/>
          <w:sz w:val="22"/>
          <w:highlight w:val="none"/>
          <w:u w:val="none" w:color="auto"/>
        </w:rPr>
        <w:t>）。平成</w:t>
      </w:r>
      <w:r>
        <w:rPr>
          <w:rFonts w:hint="eastAsia" w:ascii="ＭＳ 明朝" w:hAnsi="ＭＳ 明朝" w:eastAsia="ＭＳ 明朝"/>
          <w:color w:val="auto"/>
          <w:sz w:val="22"/>
          <w:highlight w:val="none"/>
          <w:u w:val="none" w:color="auto"/>
        </w:rPr>
        <w:t>28</w:t>
      </w:r>
      <w:r>
        <w:rPr>
          <w:rFonts w:hint="eastAsia" w:ascii="ＭＳ 明朝" w:hAnsi="ＭＳ 明朝" w:eastAsia="ＭＳ 明朝"/>
          <w:color w:val="auto"/>
          <w:sz w:val="22"/>
          <w:highlight w:val="none"/>
          <w:u w:val="none" w:color="auto"/>
        </w:rPr>
        <w:t>年高知県県民健康・栄養調査によると、</w:t>
      </w:r>
      <w:r>
        <w:rPr>
          <w:rFonts w:hint="eastAsia" w:ascii="ＭＳ 明朝" w:hAnsi="ＭＳ 明朝" w:eastAsia="ＭＳ 明朝"/>
          <w:color w:val="auto"/>
          <w:sz w:val="22"/>
          <w:highlight w:val="none"/>
          <w:u w:val="none" w:color="auto"/>
        </w:rPr>
        <w:t>40</w:t>
      </w:r>
      <w:r>
        <w:rPr>
          <w:rFonts w:hint="eastAsia" w:ascii="ＭＳ 明朝" w:hAnsi="ＭＳ 明朝" w:eastAsia="ＭＳ 明朝"/>
          <w:color w:val="auto"/>
          <w:sz w:val="22"/>
          <w:highlight w:val="none"/>
          <w:u w:val="none" w:color="auto"/>
        </w:rPr>
        <w:t>歳以上の収縮期血圧の平均値は男性</w:t>
      </w:r>
      <w:r>
        <w:rPr>
          <w:rFonts w:hint="eastAsia" w:ascii="ＭＳ 明朝" w:hAnsi="ＭＳ 明朝" w:eastAsia="ＭＳ 明朝"/>
          <w:color w:val="auto"/>
          <w:sz w:val="22"/>
          <w:highlight w:val="none"/>
          <w:u w:val="none" w:color="auto"/>
        </w:rPr>
        <w:t>141mmHg</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134mmHg</w:t>
      </w:r>
      <w:r>
        <w:rPr>
          <w:rFonts w:hint="eastAsia" w:ascii="ＭＳ 明朝" w:hAnsi="ＭＳ 明朝" w:eastAsia="ＭＳ 明朝"/>
          <w:color w:val="auto"/>
          <w:sz w:val="22"/>
          <w:highlight w:val="none"/>
          <w:u w:val="none" w:color="auto"/>
        </w:rPr>
        <w:t>となっており、全国（男性</w:t>
      </w:r>
      <w:r>
        <w:rPr>
          <w:rFonts w:hint="eastAsia" w:ascii="ＭＳ 明朝" w:hAnsi="ＭＳ 明朝" w:eastAsia="ＭＳ 明朝"/>
          <w:color w:val="auto"/>
          <w:sz w:val="22"/>
          <w:highlight w:val="none"/>
          <w:u w:val="none" w:color="auto"/>
        </w:rPr>
        <w:t>134mmHg</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127mmHg</w:t>
      </w:r>
      <w:r>
        <w:rPr>
          <w:rFonts w:hint="eastAsia" w:ascii="ＭＳ 明朝" w:hAnsi="ＭＳ 明朝" w:eastAsia="ＭＳ 明朝"/>
          <w:color w:val="auto"/>
          <w:sz w:val="22"/>
          <w:highlight w:val="none"/>
          <w:u w:val="none" w:color="auto"/>
        </w:rPr>
        <w:t>）と比較して高いです。</w:t>
      </w: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r>
        <w:rPr>
          <w:rFonts w:hint="eastAsia"/>
        </w:rPr>
        <mc:AlternateContent>
          <mc:Choice Requires="wpg">
            <w:drawing>
              <wp:anchor simplePos="0" relativeHeight="119" behindDoc="0" locked="0" layoutInCell="1" hidden="0" allowOverlap="1">
                <wp:simplePos x="0" y="0"/>
                <wp:positionH relativeFrom="column">
                  <wp:posOffset>241935</wp:posOffset>
                </wp:positionH>
                <wp:positionV relativeFrom="paragraph">
                  <wp:posOffset>85725</wp:posOffset>
                </wp:positionV>
                <wp:extent cx="5714365" cy="3160395"/>
                <wp:effectExtent l="0" t="0" r="0" b="635"/>
                <wp:wrapNone/>
                <wp:docPr id="1051" name="オブジェクト 0"/>
                <a:graphic xmlns:a="http://schemas.openxmlformats.org/drawingml/2006/main">
                  <a:graphicData uri="http://schemas.microsoft.com/office/word/2010/wordprocessingGroup">
                    <wpg:wgp>
                      <wpg:cNvGrpSpPr/>
                      <wpg:grpSpPr>
                        <a:xfrm>
                          <a:off x="0" y="0"/>
                          <a:ext cx="5714365" cy="3160395"/>
                          <a:chOff x="1799" y="6327"/>
                          <a:chExt cx="8999" cy="4977"/>
                        </a:xfrm>
                      </wpg:grpSpPr>
                      <wps:wsp>
                        <wps:cNvPr id="1052" name="テキスト ボックス 2"/>
                        <wps:cNvSpPr txBox="1">
                          <a:spLocks noChangeArrowheads="1"/>
                        </wps:cNvSpPr>
                        <wps:spPr>
                          <a:xfrm>
                            <a:off x="4363" y="6327"/>
                            <a:ext cx="5076" cy="525"/>
                          </a:xfrm>
                          <a:prstGeom prst="rect">
                            <a:avLst/>
                          </a:prstGeom>
                          <a:noFill/>
                          <a:ln w="9525">
                            <a:noFill/>
                            <a:miter lim="800000"/>
                            <a:headEnd/>
                            <a:tailEnd/>
                          </a:ln>
                        </wps:spPr>
                        <wps:txbx>
                          <w:txbxContent>
                            <w:p>
                              <w:pPr>
                                <w:pStyle w:val="0"/>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6-2-7</w:t>
                              </w:r>
                              <w:r>
                                <w:rPr>
                                  <w:rFonts w:hint="eastAsia" w:ascii="ＭＳ ゴシック" w:hAnsi="ＭＳ ゴシック" w:eastAsia="ＭＳ ゴシック"/>
                                  <w:color w:val="auto"/>
                                  <w:sz w:val="22"/>
                                  <w:u w:val="none" w:color="auto"/>
                                </w:rPr>
                                <w:t>）降圧剤服用者の収縮期血圧</w:t>
                              </w:r>
                            </w:p>
                            <w:p>
                              <w:pPr>
                                <w:pStyle w:val="0"/>
                                <w:rPr>
                                  <w:rFonts w:hint="eastAsia" w:ascii="ＭＳ ゴシック" w:hAnsi="ＭＳ ゴシック" w:eastAsia="ＭＳ ゴシック"/>
                                  <w:color w:val="FF0000"/>
                                  <w:sz w:val="22"/>
                                  <w:u w:val="single" w:color="auto"/>
                                </w:rPr>
                              </w:pPr>
                            </w:p>
                          </w:txbxContent>
                        </wps:txbx>
                        <wps:bodyPr vertOverflow="overflow" horzOverflow="overflow" wrap="square"/>
                      </wps:wsp>
                      <wps:wsp>
                        <wps:cNvPr id="1053" name="テキスト ボックス 2"/>
                        <wps:cNvSpPr txBox="1">
                          <a:spLocks noChangeArrowheads="1"/>
                        </wps:cNvSpPr>
                        <wps:spPr>
                          <a:xfrm>
                            <a:off x="3949" y="6680"/>
                            <a:ext cx="914" cy="465"/>
                          </a:xfrm>
                          <a:prstGeom prst="rect">
                            <a:avLst/>
                          </a:prstGeom>
                          <a:noFill/>
                          <a:ln w="9525">
                            <a:noFill/>
                            <a:miter lim="800000"/>
                            <a:headEnd/>
                            <a:tailEnd/>
                          </a:ln>
                        </wps:spPr>
                        <wps:txbx>
                          <w:txbxContent>
                            <w:p>
                              <w:pPr>
                                <w:pStyle w:val="0"/>
                                <w:snapToGrid w:val="0"/>
                                <w:ind w:left="0"/>
                                <w:jc w:val="center"/>
                                <w:rPr>
                                  <w:rFonts w:hint="default"/>
                                  <w:sz w:val="22"/>
                                </w:rPr>
                              </w:pPr>
                              <w:r>
                                <w:rPr>
                                  <w:rFonts w:hint="eastAsia" w:asciiTheme="minorEastAsia" w:hAnsiTheme="minorEastAsia" w:eastAsiaTheme="minorEastAsia"/>
                                  <w:color w:val="000000"/>
                                  <w:sz w:val="20"/>
                                </w:rPr>
                                <w:t>男性</w:t>
                              </w:r>
                            </w:p>
                          </w:txbxContent>
                        </wps:txbx>
                        <wps:bodyPr vertOverflow="overflow" horzOverflow="overflow" wrap="square"/>
                      </wps:wsp>
                      <wps:wsp>
                        <wps:cNvPr id="1054" name="テキスト ボックス 2"/>
                        <wps:cNvSpPr txBox="1">
                          <a:spLocks noChangeArrowheads="1"/>
                        </wps:cNvSpPr>
                        <wps:spPr>
                          <a:xfrm>
                            <a:off x="8157" y="6695"/>
                            <a:ext cx="1215" cy="452"/>
                          </a:xfrm>
                          <a:prstGeom prst="rect">
                            <a:avLst/>
                          </a:prstGeom>
                          <a:noFill/>
                          <a:ln w="9525">
                            <a:noFill/>
                            <a:miter lim="800000"/>
                            <a:headEnd/>
                            <a:tailEnd/>
                          </a:ln>
                        </wps:spPr>
                        <wps:txbx>
                          <w:txbxContent>
                            <w:p>
                              <w:pPr>
                                <w:pStyle w:val="0"/>
                                <w:snapToGrid w:val="0"/>
                                <w:ind w:left="0"/>
                                <w:jc w:val="center"/>
                                <w:rPr>
                                  <w:rFonts w:hint="default"/>
                                  <w:sz w:val="22"/>
                                </w:rPr>
                              </w:pPr>
                              <w:r>
                                <w:rPr>
                                  <w:rFonts w:hint="eastAsia" w:asciiTheme="minorEastAsia" w:hAnsiTheme="minorEastAsia" w:eastAsiaTheme="minorEastAsia"/>
                                  <w:color w:val="000000"/>
                                  <w:sz w:val="20"/>
                                </w:rPr>
                                <w:t>女性</w:t>
                              </w:r>
                            </w:p>
                          </w:txbxContent>
                        </wps:txbx>
                        <wps:bodyPr vertOverflow="overflow" horzOverflow="overflow" wrap="square"/>
                      </wps:wsp>
                      <wpg:graphicFrame>
                        <wpg:cNvPr id="1055" name="オブジェクト 0"/>
                        <wpg:cNvFrPr/>
                        <wpg:xfrm>
                          <a:off x="1799" y="7019"/>
                          <a:ext cx="4609" cy="3445"/>
                        </wpg:xfrm>
                        <a:graphic>
                          <a:graphicData uri="http://schemas.openxmlformats.org/drawingml/2006/chart">
                            <c:chart xmlns:c="http://schemas.openxmlformats.org/drawingml/2006/chart" r:id="rId20"/>
                          </a:graphicData>
                        </a:graphic>
                      </wpg:graphicFrame>
                      <wpg:graphicFrame>
                        <wpg:cNvPr id="1056" name="オブジェクト 0"/>
                        <wpg:cNvFrPr/>
                        <wpg:xfrm>
                          <a:off x="6259" y="7031"/>
                          <a:ext cx="4539" cy="3433"/>
                        </wpg:xfrm>
                        <a:graphic>
                          <a:graphicData uri="http://schemas.openxmlformats.org/drawingml/2006/chart">
                            <c:chart xmlns:c="http://schemas.openxmlformats.org/drawingml/2006/chart" r:id="rId21"/>
                          </a:graphicData>
                        </a:graphic>
                      </wpg:graphicFrame>
                      <pic:pic xmlns:pic="http://schemas.openxmlformats.org/drawingml/2006/picture">
                        <pic:nvPicPr>
                          <pic:cNvPr id="1057" name="図 777"/>
                          <pic:cNvPicPr>
                            <a:picLocks noChangeAspect="1" noChangeArrowheads="1"/>
                          </pic:cNvPicPr>
                        </pic:nvPicPr>
                        <pic:blipFill>
                          <a:blip r:embed="rId22"/>
                          <a:srcRect l="16289" t="4037" r="6587" b="88223"/>
                          <a:stretch>
                            <a:fillRect/>
                          </a:stretch>
                        </pic:blipFill>
                        <pic:spPr>
                          <a:xfrm>
                            <a:off x="4097" y="10574"/>
                            <a:ext cx="4535" cy="307"/>
                          </a:xfrm>
                          <a:prstGeom prst="rect">
                            <a:avLst/>
                          </a:prstGeom>
                          <a:noFill/>
                        </pic:spPr>
                      </pic:pic>
                      <wps:wsp>
                        <wps:cNvPr id="1058" name="オブジェクト 0"/>
                        <wps:cNvSpPr txBox="1">
                          <a:spLocks noChangeArrowheads="1"/>
                        </wps:cNvSpPr>
                        <wps:spPr>
                          <a:xfrm>
                            <a:off x="6660" y="10900"/>
                            <a:ext cx="4035" cy="404"/>
                          </a:xfrm>
                          <a:prstGeom prst="rect">
                            <a:avLst/>
                          </a:prstGeom>
                          <a:noFill/>
                          <a:ln>
                            <a:miter/>
                          </a:ln>
                        </wps:spPr>
                        <wps:txbx>
                          <w:txbxContent>
                            <w:p>
                              <w:pPr>
                                <w:pStyle w:val="0"/>
                                <w:rPr>
                                  <w:rFonts w:hint="eastAsia" w:ascii="ＭＳ 明朝" w:hAnsi="ＭＳ 明朝" w:eastAsia="ＭＳ 明朝"/>
                                  <w:color w:val="auto"/>
                                  <w:sz w:val="16"/>
                                </w:rPr>
                              </w:pPr>
                              <w:r>
                                <w:rPr>
                                  <w:rFonts w:hint="eastAsia" w:ascii="ＭＳ 明朝" w:hAnsi="ＭＳ 明朝" w:eastAsia="ＭＳ 明朝"/>
                                  <w:color w:val="auto"/>
                                  <w:sz w:val="16"/>
                                </w:rPr>
                                <w:t>出典：</w:t>
                              </w:r>
                              <w:r>
                                <w:rPr>
                                  <w:rFonts w:hint="eastAsia" w:ascii="ＭＳ 明朝" w:hAnsi="ＭＳ 明朝" w:eastAsia="ＭＳ 明朝"/>
                                  <w:sz w:val="16"/>
                                </w:rPr>
                                <w:t>市町村国保・協会けんぽ「特定健診実績」</w:t>
                              </w:r>
                            </w:p>
                          </w:txbxContent>
                        </wps:txbx>
                        <wps:bodyPr vertOverflow="overflow" horzOverflow="overflow" wrap="square" lIns="74295" tIns="8890" rIns="74295" bIns="8890" upright="1"/>
                      </wps:wsp>
                    </wpg:wgp>
                  </a:graphicData>
                </a:graphic>
              </wp:anchor>
            </w:drawing>
          </mc:Choice>
          <mc:Fallback>
            <w:pict>
              <v:group id="オブジェクト 0" style="margin-top:6.75pt;mso-position-vertical-relative:text;mso-position-horizontal-relative:text;position:absolute;height:248.85pt;width:449.95pt;margin-left:19.05pt;z-index:119;" coordsize="8999,4977" coordorigin="1799,6327" o:spid="_x0000_s1051" o:allowincell="t" o:allowoverlap="t">
                <v:shapetype id="_x0000_t202" coordsize="21600,21600" o:spt="202" path="m,l,21600r21600,l21600,xe">
                  <v:stroke joinstyle="miter"/>
                  <v:path gradientshapeok="t" o:connecttype="rect"/>
                </v:shapetype>
                <v:shape id="テキスト ボックス 2" style="height:525;width:5076;top:6327;left:4363;position:absolute;" o:spid="_x0000_s1052" filled="f" stroked="f" strokeweight="0.75pt" o:spt="202" type="#_x0000_t202">
                  <v:fill/>
                  <v:stroke miterlimit="8"/>
                  <v:textbox style="layout-flow:horizontal;">
                    <w:txbxContent>
                      <w:p>
                        <w:pPr>
                          <w:pStyle w:val="0"/>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6-2-7</w:t>
                        </w:r>
                        <w:r>
                          <w:rPr>
                            <w:rFonts w:hint="eastAsia" w:ascii="ＭＳ ゴシック" w:hAnsi="ＭＳ ゴシック" w:eastAsia="ＭＳ ゴシック"/>
                            <w:color w:val="auto"/>
                            <w:sz w:val="22"/>
                            <w:u w:val="none" w:color="auto"/>
                          </w:rPr>
                          <w:t>）降圧剤服用者の収縮期血圧</w:t>
                        </w:r>
                      </w:p>
                      <w:p>
                        <w:pPr>
                          <w:pStyle w:val="0"/>
                          <w:rPr>
                            <w:rFonts w:hint="eastAsia" w:ascii="ＭＳ ゴシック" w:hAnsi="ＭＳ ゴシック" w:eastAsia="ＭＳ ゴシック"/>
                            <w:color w:val="FF0000"/>
                            <w:sz w:val="22"/>
                            <w:u w:val="single" w:color="auto"/>
                          </w:rPr>
                        </w:pPr>
                      </w:p>
                    </w:txbxContent>
                  </v:textbox>
                  <v:imagedata o:title=""/>
                  <w10:wrap type="none" anchorx="text" anchory="text"/>
                </v:shape>
                <v:shape id="テキスト ボックス 2" style="height:465;width:914;top:6680;left:3949;position:absolute;" o:spid="_x0000_s1053" filled="f" stroked="f" strokeweight="0.75pt" o:spt="202" type="#_x0000_t202">
                  <v:fill/>
                  <v:stroke miterlimit="8"/>
                  <v:textbox style="layout-flow:horizontal;">
                    <w:txbxContent>
                      <w:p>
                        <w:pPr>
                          <w:pStyle w:val="0"/>
                          <w:snapToGrid w:val="0"/>
                          <w:ind w:left="0"/>
                          <w:jc w:val="center"/>
                          <w:rPr>
                            <w:rFonts w:hint="default"/>
                            <w:sz w:val="22"/>
                          </w:rPr>
                        </w:pPr>
                        <w:r>
                          <w:rPr>
                            <w:rFonts w:hint="eastAsia" w:asciiTheme="minorEastAsia" w:hAnsiTheme="minorEastAsia" w:eastAsiaTheme="minorEastAsia"/>
                            <w:color w:val="000000"/>
                            <w:sz w:val="20"/>
                          </w:rPr>
                          <w:t>男性</w:t>
                        </w:r>
                      </w:p>
                    </w:txbxContent>
                  </v:textbox>
                  <v:imagedata o:title=""/>
                  <w10:wrap type="none" anchorx="text" anchory="text"/>
                </v:shape>
                <v:shape id="テキスト ボックス 2" style="height:452;width:1215;top:6695;left:8157;position:absolute;" o:spid="_x0000_s1054" filled="f" stroked="f" strokeweight="0.75pt" o:spt="202" type="#_x0000_t202">
                  <v:fill/>
                  <v:stroke miterlimit="8"/>
                  <v:textbox style="layout-flow:horizontal;">
                    <w:txbxContent>
                      <w:p>
                        <w:pPr>
                          <w:pStyle w:val="0"/>
                          <w:snapToGrid w:val="0"/>
                          <w:ind w:left="0"/>
                          <w:jc w:val="center"/>
                          <w:rPr>
                            <w:rFonts w:hint="default"/>
                            <w:sz w:val="22"/>
                          </w:rPr>
                        </w:pPr>
                        <w:r>
                          <w:rPr>
                            <w:rFonts w:hint="eastAsia" w:asciiTheme="minorEastAsia" w:hAnsiTheme="minorEastAsia" w:eastAsiaTheme="minorEastAsia"/>
                            <w:color w:val="000000"/>
                            <w:sz w:val="20"/>
                          </w:rPr>
                          <w:t>女性</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45;width:4609;top:7019;left:1799;position:absolute;" o:spid="_x0000_s1055" filled="f" stroked="f" o:spt="75" type="#_x0000_t75">
                  <v:fill/>
                  <v:imagedata o:title="" r:id="rId23"/>
                  <w10:wrap type="none" anchorx="text" anchory="text"/>
                </v:shape>
                <v:shape id="オブジェクト 0" style="height:3433;width:4539;top:7031;left:6259;position:absolute;" o:spid="_x0000_s1056" filled="f" stroked="f" o:spt="75" type="#_x0000_t75">
                  <v:fill/>
                  <v:imagedata o:title="" r:id="rId24"/>
                  <w10:wrap type="none" anchorx="text" anchory="text"/>
                </v:shape>
                <v:shape id="図 777" style="height:307;width:4535;top:10574;left:4097;position:absolute;" o:spid="_x0000_s1057" filled="f" stroked="f" o:spt="75" type="#_x0000_t75">
                  <v:fill/>
                  <v:imagedata cropleft="10675f" croptop="2646f" cropright="4317f" cropbottom="57818f" o:title="" r:id="rId22"/>
                  <w10:wrap type="none" anchorx="text" anchory="text"/>
                </v:shape>
                <v:shape id="オブジェクト 0" style="height:404;width:4035;top:10900;left:6660;position:absolute;" o:spid="_x0000_s1058" filled="f" stroked="f" o:spt="202" type="#_x0000_t202">
                  <v:fill/>
                  <v:textbox style="layout-flow:horizontal;" inset="2.0637499999999998mm,0.24694444444444438mm,2.0637499999999998mm,0.24694444444444438mm">
                    <w:txbxContent>
                      <w:p>
                        <w:pPr>
                          <w:pStyle w:val="0"/>
                          <w:rPr>
                            <w:rFonts w:hint="eastAsia" w:ascii="ＭＳ 明朝" w:hAnsi="ＭＳ 明朝" w:eastAsia="ＭＳ 明朝"/>
                            <w:color w:val="auto"/>
                            <w:sz w:val="16"/>
                          </w:rPr>
                        </w:pPr>
                        <w:r>
                          <w:rPr>
                            <w:rFonts w:hint="eastAsia" w:ascii="ＭＳ 明朝" w:hAnsi="ＭＳ 明朝" w:eastAsia="ＭＳ 明朝"/>
                            <w:color w:val="auto"/>
                            <w:sz w:val="16"/>
                          </w:rPr>
                          <w:t>出典：</w:t>
                        </w:r>
                        <w:r>
                          <w:rPr>
                            <w:rFonts w:hint="eastAsia" w:ascii="ＭＳ 明朝" w:hAnsi="ＭＳ 明朝" w:eastAsia="ＭＳ 明朝"/>
                            <w:sz w:val="16"/>
                          </w:rPr>
                          <w:t>市町村国保・協会けんぽ「特定健診実績」</w:t>
                        </w:r>
                      </w:p>
                    </w:txbxContent>
                  </v:textbox>
                  <v:imagedata o:title=""/>
                  <w10:wrap type="none" anchorx="text" anchory="text"/>
                </v:shape>
                <w10:wrap type="none" anchorx="text" anchory="text"/>
              </v:group>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脂質異常の状況については、令和４年高知県県民健康・栄養調査によると、</w:t>
      </w:r>
      <w:r>
        <w:rPr>
          <w:rFonts w:hint="eastAsia" w:ascii="ＭＳ 明朝" w:hAnsi="ＭＳ 明朝" w:eastAsia="ＭＳ 明朝"/>
          <w:color w:val="auto"/>
          <w:sz w:val="22"/>
          <w:highlight w:val="none"/>
          <w:u w:val="none" w:color="auto"/>
        </w:rPr>
        <w:t>LDL</w:t>
      </w:r>
      <w:r>
        <w:rPr>
          <w:rFonts w:hint="eastAsia" w:ascii="ＭＳ 明朝" w:hAnsi="ＭＳ 明朝" w:eastAsia="ＭＳ 明朝"/>
          <w:color w:val="auto"/>
          <w:sz w:val="22"/>
          <w:highlight w:val="none"/>
          <w:u w:val="none" w:color="auto"/>
        </w:rPr>
        <w:t>コレステロールの平均値は、男性</w:t>
      </w:r>
      <w:r>
        <w:rPr>
          <w:rFonts w:hint="eastAsia" w:ascii="ＭＳ 明朝" w:hAnsi="ＭＳ 明朝" w:eastAsia="ＭＳ 明朝"/>
          <w:color w:val="auto"/>
          <w:sz w:val="22"/>
          <w:highlight w:val="none"/>
          <w:u w:val="none" w:color="auto"/>
        </w:rPr>
        <w:t>115.6mg/dL</w:t>
      </w:r>
      <w:r>
        <w:rPr>
          <w:rFonts w:hint="eastAsia" w:ascii="ＭＳ 明朝" w:hAnsi="ＭＳ 明朝" w:eastAsia="ＭＳ 明朝"/>
          <w:color w:val="auto"/>
          <w:sz w:val="22"/>
          <w:highlight w:val="none"/>
          <w:u w:val="none" w:color="auto"/>
        </w:rPr>
        <w:t>、女性</w:t>
      </w:r>
      <w:r>
        <w:rPr>
          <w:rFonts w:hint="eastAsia" w:ascii="ＭＳ 明朝" w:hAnsi="ＭＳ 明朝" w:eastAsia="ＭＳ 明朝"/>
          <w:color w:val="auto"/>
          <w:sz w:val="22"/>
          <w:highlight w:val="none"/>
          <w:u w:val="none" w:color="auto"/>
        </w:rPr>
        <w:t>115.4mg/dL</w:t>
      </w:r>
      <w:r>
        <w:rPr>
          <w:rFonts w:hint="eastAsia" w:ascii="ＭＳ 明朝" w:hAnsi="ＭＳ 明朝" w:eastAsia="ＭＳ 明朝"/>
          <w:color w:val="auto"/>
          <w:sz w:val="22"/>
          <w:highlight w:val="none"/>
          <w:u w:val="none" w:color="auto"/>
        </w:rPr>
        <w:t>となっており、平成</w:t>
      </w:r>
      <w:r>
        <w:rPr>
          <w:rFonts w:hint="eastAsia" w:ascii="ＭＳ 明朝" w:hAnsi="ＭＳ 明朝" w:eastAsia="ＭＳ 明朝"/>
          <w:color w:val="auto"/>
          <w:sz w:val="22"/>
          <w:highlight w:val="none"/>
          <w:u w:val="none" w:color="auto"/>
        </w:rPr>
        <w:t>28</w:t>
      </w:r>
      <w:r>
        <w:rPr>
          <w:rFonts w:hint="eastAsia" w:ascii="ＭＳ 明朝" w:hAnsi="ＭＳ 明朝" w:eastAsia="ＭＳ 明朝"/>
          <w:color w:val="auto"/>
          <w:sz w:val="22"/>
          <w:highlight w:val="none"/>
          <w:u w:val="none" w:color="auto"/>
        </w:rPr>
        <w:t>年と比較す</w:t>
      </w:r>
      <w:r>
        <w:rPr>
          <w:rFonts w:hint="eastAsia"/>
        </w:rPr>
        <mc:AlternateContent>
          <mc:Choice Requires="wpg">
            <w:drawing>
              <wp:anchor simplePos="0" relativeHeight="35" behindDoc="0" locked="0" layoutInCell="1" hidden="0" allowOverlap="1">
                <wp:simplePos x="0" y="0"/>
                <wp:positionH relativeFrom="column">
                  <wp:posOffset>198755</wp:posOffset>
                </wp:positionH>
                <wp:positionV relativeFrom="paragraph">
                  <wp:posOffset>640080</wp:posOffset>
                </wp:positionV>
                <wp:extent cx="5757545" cy="2040255"/>
                <wp:effectExtent l="0" t="0" r="635" b="635"/>
                <wp:wrapNone/>
                <wp:docPr id="1059" name="オブジェクト 0"/>
                <a:graphic xmlns:a="http://schemas.openxmlformats.org/drawingml/2006/main">
                  <a:graphicData uri="http://schemas.microsoft.com/office/word/2010/wordprocessingGroup">
                    <wpg:wgp>
                      <wpg:cNvGrpSpPr/>
                      <wpg:grpSpPr>
                        <a:xfrm>
                          <a:off x="0" y="0"/>
                          <a:ext cx="5757545" cy="2040255"/>
                          <a:chOff x="1731" y="12315"/>
                          <a:chExt cx="9067" cy="3213"/>
                        </a:xfrm>
                      </wpg:grpSpPr>
                      <wps:wsp>
                        <wps:cNvPr id="1060" name="テキスト ボックス 2"/>
                        <wps:cNvSpPr txBox="1">
                          <a:spLocks noChangeArrowheads="1"/>
                        </wps:cNvSpPr>
                        <wps:spPr>
                          <a:xfrm>
                            <a:off x="1830" y="12315"/>
                            <a:ext cx="8874" cy="525"/>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6-2-8</w:t>
                              </w:r>
                              <w:r>
                                <w:rPr>
                                  <w:rFonts w:hint="eastAsia" w:ascii="ＭＳ ゴシック" w:hAnsi="ＭＳ ゴシック" w:eastAsia="ＭＳ ゴシック"/>
                                  <w:color w:val="auto"/>
                                  <w:sz w:val="22"/>
                                  <w:u w:val="none" w:color="auto"/>
                                </w:rPr>
                                <w:t>）</w:t>
                              </w:r>
                              <w:r>
                                <w:rPr>
                                  <w:rFonts w:hint="eastAsia" w:ascii="ＭＳ ゴシック" w:hAnsi="ＭＳ ゴシック" w:eastAsia="ＭＳ ゴシック"/>
                                  <w:color w:val="auto"/>
                                  <w:sz w:val="22"/>
                                  <w:u w:val="none" w:color="auto"/>
                                </w:rPr>
                                <w:t>LDL</w:t>
                              </w:r>
                              <w:r>
                                <w:rPr>
                                  <w:rFonts w:hint="eastAsia" w:ascii="ＭＳ ゴシック" w:hAnsi="ＭＳ ゴシック" w:eastAsia="ＭＳ ゴシック"/>
                                  <w:color w:val="auto"/>
                                  <w:sz w:val="22"/>
                                  <w:u w:val="none" w:color="auto"/>
                                </w:rPr>
                                <w:t>コレステロールの平均値の推移（</w:t>
                              </w:r>
                              <w:r>
                                <w:rPr>
                                  <w:rFonts w:hint="eastAsia" w:ascii="ＭＳ ゴシック" w:hAnsi="ＭＳ ゴシック" w:eastAsia="ＭＳ ゴシック"/>
                                  <w:color w:val="auto"/>
                                  <w:sz w:val="22"/>
                                  <w:u w:val="none" w:color="auto"/>
                                </w:rPr>
                                <w:t>20</w:t>
                              </w:r>
                              <w:r>
                                <w:rPr>
                                  <w:rFonts w:hint="eastAsia" w:ascii="ＭＳ ゴシック" w:hAnsi="ＭＳ ゴシック" w:eastAsia="ＭＳ ゴシック"/>
                                  <w:color w:val="auto"/>
                                  <w:sz w:val="22"/>
                                  <w:u w:val="none" w:color="auto"/>
                                </w:rPr>
                                <w:t>歳以上）</w:t>
                              </w:r>
                            </w:p>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FF0000"/>
                                  <w:sz w:val="22"/>
                                  <w:u w:val="single" w:color="auto"/>
                                </w:rPr>
                                <w:t>降圧剤服用者の収縮期血圧</w:t>
                              </w:r>
                            </w:p>
                            <w:p>
                              <w:pPr>
                                <w:pStyle w:val="0"/>
                                <w:jc w:val="center"/>
                                <w:rPr>
                                  <w:rFonts w:hint="eastAsia" w:ascii="ＭＳ ゴシック" w:hAnsi="ＭＳ ゴシック" w:eastAsia="ＭＳ ゴシック"/>
                                  <w:color w:val="FF0000"/>
                                  <w:sz w:val="22"/>
                                  <w:u w:val="single" w:color="auto"/>
                                </w:rPr>
                              </w:pPr>
                            </w:p>
                          </w:txbxContent>
                        </wps:txbx>
                        <wps:bodyPr vertOverflow="overflow" horzOverflow="overflow" wrap="square"/>
                      </wps:wsp>
                      <wpg:graphicFrame>
                        <wpg:cNvPr id="1061" name="オブジェクト 0"/>
                        <wpg:cNvFrPr/>
                        <wpg:xfrm>
                          <a:off x="1731" y="12840"/>
                          <a:ext cx="7930" cy="2482"/>
                        </wpg:xfrm>
                        <a:graphic>
                          <a:graphicData uri="http://schemas.openxmlformats.org/drawingml/2006/chart">
                            <c:chart xmlns:c="http://schemas.openxmlformats.org/drawingml/2006/chart" r:id="rId25"/>
                          </a:graphicData>
                        </a:graphic>
                      </wpg:graphicFrame>
                      <wps:wsp>
                        <wps:cNvPr id="1062" name="オブジェクト 0"/>
                        <wps:cNvSpPr txBox="1"/>
                        <wps:spPr>
                          <a:xfrm>
                            <a:off x="2476" y="12710"/>
                            <a:ext cx="1284" cy="33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mg/dL</w:t>
                              </w:r>
                              <w:r>
                                <w:rPr>
                                  <w:rFonts w:hint="eastAsia" w:ascii="ＭＳ ゴシック" w:hAnsi="ＭＳ ゴシック" w:eastAsia="ＭＳ ゴシック"/>
                                  <w:sz w:val="18"/>
                                </w:rPr>
                                <w:t>）</w:t>
                              </w:r>
                            </w:p>
                          </w:txbxContent>
                        </wps:txbx>
                        <wps:bodyPr vertOverflow="overflow" horzOverflow="overflow" wrap="square" lIns="74295" tIns="8890" rIns="74295" bIns="8890"/>
                      </wps:wsp>
                      <wps:wsp>
                        <wps:cNvPr id="1063" name="オブジェクト 0"/>
                        <wps:cNvSpPr txBox="1">
                          <a:spLocks noChangeArrowheads="1"/>
                        </wps:cNvSpPr>
                        <wps:spPr>
                          <a:xfrm>
                            <a:off x="7799" y="15124"/>
                            <a:ext cx="2999" cy="404"/>
                          </a:xfrm>
                          <a:prstGeom prst="rect">
                            <a:avLst/>
                          </a:prstGeom>
                          <a:noFill/>
                          <a:ln>
                            <a:miter/>
                          </a:ln>
                        </wps:spPr>
                        <wps:txbx>
                          <w:txbxContent>
                            <w:p>
                              <w:pPr>
                                <w:pStyle w:val="0"/>
                                <w:rPr>
                                  <w:rFonts w:hint="eastAsia"/>
                                </w:rPr>
                              </w:pPr>
                              <w:r>
                                <w:rPr>
                                  <w:rFonts w:hint="eastAsia"/>
                                  <w:color w:val="auto"/>
                                  <w:sz w:val="16"/>
                                </w:rPr>
                                <w:t>出典：高知県県民健康・栄養調査</w:t>
                              </w:r>
                            </w:p>
                          </w:txbxContent>
                        </wps:txbx>
                        <wps:bodyPr vertOverflow="overflow" horzOverflow="overflow" wrap="square" lIns="74295" tIns="8890" rIns="74295" bIns="8890" upright="1"/>
                      </wps:wsp>
                    </wpg:wgp>
                  </a:graphicData>
                </a:graphic>
              </wp:anchor>
            </w:drawing>
          </mc:Choice>
          <mc:Fallback>
            <w:pict>
              <v:group id="オブジェクト 0" style="margin-top:50.4pt;mso-position-vertical-relative:text;mso-position-horizontal-relative:text;position:absolute;height:160.65pt;width:453.35pt;margin-left:15.65pt;z-index:35;" coordsize="9067,3213" coordorigin="1731,12315" o:spid="_x0000_s1059" o:allowincell="t" o:allowoverlap="t">
                <v:shapetype id="_x0000_t202" coordsize="21600,21600" o:spt="202" path="m,l,21600r21600,l21600,xe">
                  <v:stroke joinstyle="miter"/>
                  <v:path gradientshapeok="t" o:connecttype="rect"/>
                </v:shapetype>
                <v:shape id="テキスト ボックス 2" style="height:525;width:8874;top:12315;left:1830;position:absolute;" o:spid="_x0000_s1060"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6-2-8</w:t>
                        </w:r>
                        <w:r>
                          <w:rPr>
                            <w:rFonts w:hint="eastAsia" w:ascii="ＭＳ ゴシック" w:hAnsi="ＭＳ ゴシック" w:eastAsia="ＭＳ ゴシック"/>
                            <w:color w:val="auto"/>
                            <w:sz w:val="22"/>
                            <w:u w:val="none" w:color="auto"/>
                          </w:rPr>
                          <w:t>）</w:t>
                        </w:r>
                        <w:r>
                          <w:rPr>
                            <w:rFonts w:hint="eastAsia" w:ascii="ＭＳ ゴシック" w:hAnsi="ＭＳ ゴシック" w:eastAsia="ＭＳ ゴシック"/>
                            <w:color w:val="auto"/>
                            <w:sz w:val="22"/>
                            <w:u w:val="none" w:color="auto"/>
                          </w:rPr>
                          <w:t>LDL</w:t>
                        </w:r>
                        <w:r>
                          <w:rPr>
                            <w:rFonts w:hint="eastAsia" w:ascii="ＭＳ ゴシック" w:hAnsi="ＭＳ ゴシック" w:eastAsia="ＭＳ ゴシック"/>
                            <w:color w:val="auto"/>
                            <w:sz w:val="22"/>
                            <w:u w:val="none" w:color="auto"/>
                          </w:rPr>
                          <w:t>コレステロールの平均値の推移（</w:t>
                        </w:r>
                        <w:r>
                          <w:rPr>
                            <w:rFonts w:hint="eastAsia" w:ascii="ＭＳ ゴシック" w:hAnsi="ＭＳ ゴシック" w:eastAsia="ＭＳ ゴシック"/>
                            <w:color w:val="auto"/>
                            <w:sz w:val="22"/>
                            <w:u w:val="none" w:color="auto"/>
                          </w:rPr>
                          <w:t>20</w:t>
                        </w:r>
                        <w:r>
                          <w:rPr>
                            <w:rFonts w:hint="eastAsia" w:ascii="ＭＳ ゴシック" w:hAnsi="ＭＳ ゴシック" w:eastAsia="ＭＳ ゴシック"/>
                            <w:color w:val="auto"/>
                            <w:sz w:val="22"/>
                            <w:u w:val="none" w:color="auto"/>
                          </w:rPr>
                          <w:t>歳以上）</w:t>
                        </w:r>
                      </w:p>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FF0000"/>
                            <w:sz w:val="22"/>
                            <w:u w:val="single" w:color="auto"/>
                          </w:rPr>
                          <w:t>降圧剤服用者の収縮期血圧</w:t>
                        </w:r>
                      </w:p>
                      <w:p>
                        <w:pPr>
                          <w:pStyle w:val="0"/>
                          <w:jc w:val="center"/>
                          <w:rPr>
                            <w:rFonts w:hint="eastAsia" w:ascii="ＭＳ ゴシック" w:hAnsi="ＭＳ ゴシック" w:eastAsia="ＭＳ ゴシック"/>
                            <w:color w:val="FF0000"/>
                            <w:sz w:val="22"/>
                            <w:u w:val="single" w:color="auto"/>
                          </w:rPr>
                        </w:pP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482;width:7930;top:12840;left:1731;position:absolute;" o:spid="_x0000_s1061" filled="f" stroked="f" o:spt="75" type="#_x0000_t75">
                  <v:fill/>
                  <v:imagedata o:title="" r:id="rId26"/>
                  <w10:wrap type="none" anchorx="text" anchory="text"/>
                </v:shape>
                <v:shape id="オブジェクト 0" style="height:330;width:1284;top:12710;left:2476;position:absolute;" o:spid="_x0000_s1062" filled="f" stroked="f" strokeweight="0.5pt" o:spt="202" type="#_x0000_t202">
                  <v:fill/>
                  <v:stroke linestyle="single"/>
                  <v:textbox style="layout-flow:horizontal;" inset="2.0637499999999998mm,0.24694444444444438mm,2.0637499999999998mm,0.24694444444444438mm">
                    <w:txbxContent>
                      <w:p>
                        <w:pPr>
                          <w:pStyle w:val="0"/>
                          <w:rPr>
                            <w:rFonts w:hint="eastAsia" w:ascii="ＭＳ ゴシック" w:hAnsi="ＭＳ ゴシック" w:eastAsia="ＭＳ ゴシック"/>
                            <w:sz w:val="18"/>
                          </w:rPr>
                        </w:pPr>
                        <w:r>
                          <w:rPr>
                            <w:rFonts w:hint="eastAsia" w:ascii="ＭＳ ゴシック" w:hAnsi="ＭＳ ゴシック" w:eastAsia="ＭＳ ゴシック"/>
                            <w:sz w:val="18"/>
                          </w:rPr>
                          <w:t>（</w:t>
                        </w:r>
                        <w:r>
                          <w:rPr>
                            <w:rFonts w:hint="eastAsia" w:ascii="ＭＳ ゴシック" w:hAnsi="ＭＳ ゴシック" w:eastAsia="ＭＳ ゴシック"/>
                            <w:sz w:val="18"/>
                          </w:rPr>
                          <w:t>mg/dL</w:t>
                        </w:r>
                        <w:r>
                          <w:rPr>
                            <w:rFonts w:hint="eastAsia" w:ascii="ＭＳ ゴシック" w:hAnsi="ＭＳ ゴシック" w:eastAsia="ＭＳ ゴシック"/>
                            <w:sz w:val="18"/>
                          </w:rPr>
                          <w:t>）</w:t>
                        </w:r>
                      </w:p>
                    </w:txbxContent>
                  </v:textbox>
                  <v:imagedata o:title=""/>
                  <w10:wrap type="none" anchorx="text" anchory="text"/>
                </v:shape>
                <v:shape id="オブジェクト 0" style="height:404;width:2999;top:15124;left:7799;position:absolute;" o:spid="_x0000_s1063" filled="f" stroked="f" o:spt="202" type="#_x0000_t202">
                  <v:fill/>
                  <v:textbox style="layout-flow:horizontal;" inset="2.0637499999999998mm,0.24694444444444438mm,2.0637499999999998mm,0.24694444444444438mm">
                    <w:txbxContent>
                      <w:p>
                        <w:pPr>
                          <w:pStyle w:val="0"/>
                          <w:rPr>
                            <w:rFonts w:hint="eastAsia"/>
                          </w:rPr>
                        </w:pPr>
                        <w:r>
                          <w:rPr>
                            <w:rFonts w:hint="eastAsia"/>
                            <w:color w:val="auto"/>
                            <w:sz w:val="16"/>
                          </w:rPr>
                          <w:t>出典：高知県県民健康・栄養調査</w:t>
                        </w:r>
                      </w:p>
                    </w:txbxContent>
                  </v:textbox>
                  <v:imagedata o:title=""/>
                  <w10:wrap type="none" anchorx="text" anchory="text"/>
                </v:shape>
                <w10:wrap type="none" anchorx="text" anchory="text"/>
              </v:group>
            </w:pict>
          </mc:Fallback>
        </mc:AlternateContent>
      </w:r>
      <w:r>
        <w:rPr>
          <w:rFonts w:hint="eastAsia" w:ascii="ＭＳ 明朝" w:hAnsi="ＭＳ 明朝" w:eastAsia="ＭＳ 明朝"/>
          <w:color w:val="auto"/>
          <w:sz w:val="22"/>
          <w:highlight w:val="none"/>
          <w:u w:val="none" w:color="auto"/>
        </w:rPr>
        <w:t>ると、男性は上昇しています（図表</w:t>
      </w:r>
      <w:r>
        <w:rPr>
          <w:rFonts w:hint="eastAsia" w:ascii="ＭＳ 明朝" w:hAnsi="ＭＳ 明朝" w:eastAsia="ＭＳ 明朝"/>
          <w:color w:val="auto"/>
          <w:sz w:val="22"/>
          <w:highlight w:val="none"/>
          <w:u w:val="none" w:color="auto"/>
        </w:rPr>
        <w:t>6-2-8</w:t>
      </w:r>
      <w:r>
        <w:rPr>
          <w:rFonts w:hint="eastAsia" w:ascii="ＭＳ 明朝" w:hAnsi="ＭＳ 明朝" w:eastAsia="ＭＳ 明朝"/>
          <w:color w:val="auto"/>
          <w:sz w:val="22"/>
          <w:highlight w:val="none"/>
          <w:u w:val="none" w:color="auto"/>
        </w:rPr>
        <w:t>）。</w:t>
      </w: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1" w:leftChars="100" w:right="51" w:rightChars="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color w:val="auto"/>
          <w:sz w:val="22"/>
          <w:highlight w:val="none"/>
          <w:u w:val="none" w:color="auto"/>
        </w:rPr>
        <w:t>平成</w:t>
      </w:r>
      <w:r>
        <w:rPr>
          <w:rFonts w:hint="eastAsia" w:ascii="ＭＳ 明朝" w:hAnsi="ＭＳ 明朝" w:eastAsia="ＭＳ 明朝"/>
          <w:b w:val="0"/>
          <w:color w:val="auto"/>
          <w:sz w:val="22"/>
          <w:highlight w:val="none"/>
          <w:u w:val="none" w:color="auto"/>
        </w:rPr>
        <w:t>24</w:t>
      </w:r>
      <w:r>
        <w:rPr>
          <w:rFonts w:hint="eastAsia" w:ascii="ＭＳ 明朝" w:hAnsi="ＭＳ 明朝" w:eastAsia="ＭＳ 明朝"/>
          <w:b w:val="0"/>
          <w:color w:val="auto"/>
          <w:sz w:val="22"/>
          <w:highlight w:val="none"/>
          <w:u w:val="none" w:color="auto"/>
        </w:rPr>
        <w:t>年</w:t>
      </w:r>
      <w:r>
        <w:rPr>
          <w:rFonts w:hint="eastAsia" w:ascii="ＭＳ 明朝" w:hAnsi="ＭＳ 明朝" w:eastAsia="ＭＳ 明朝"/>
          <w:b w:val="0"/>
          <w:strike w:val="0"/>
          <w:dstrike w:val="0"/>
          <w:color w:val="auto"/>
          <w:sz w:val="22"/>
          <w:highlight w:val="none"/>
          <w:u w:val="none" w:color="auto"/>
        </w:rPr>
        <w:t>から</w:t>
      </w:r>
      <w:r>
        <w:rPr>
          <w:rFonts w:hint="eastAsia" w:ascii="ＭＳ 明朝" w:hAnsi="ＭＳ 明朝" w:eastAsia="ＭＳ 明朝"/>
          <w:b w:val="0"/>
          <w:color w:val="auto"/>
          <w:sz w:val="22"/>
          <w:highlight w:val="none"/>
          <w:u w:val="none" w:color="auto"/>
        </w:rPr>
        <w:t>、脳卒中センター及び脳卒中支援病院の協力を得て、県内脳卒中急性期患者の実態把握のため、高知県脳卒中患者実態調査</w:t>
      </w:r>
      <w:r>
        <w:rPr>
          <w:rFonts w:hint="eastAsia" w:ascii="ＭＳ 明朝" w:hAnsi="ＭＳ 明朝" w:eastAsia="ＭＳ 明朝"/>
          <w:color w:val="auto"/>
          <w:sz w:val="22"/>
          <w:highlight w:val="none"/>
          <w:u w:val="none" w:color="auto"/>
          <w:vertAlign w:val="superscript"/>
        </w:rPr>
        <w:t>（注２）</w:t>
      </w:r>
      <w:r>
        <w:rPr>
          <w:rFonts w:hint="eastAsia" w:ascii="ＭＳ 明朝" w:hAnsi="ＭＳ 明朝" w:eastAsia="ＭＳ 明朝"/>
          <w:b w:val="0"/>
          <w:color w:val="auto"/>
          <w:sz w:val="22"/>
          <w:highlight w:val="none"/>
          <w:u w:val="none" w:color="auto"/>
        </w:rPr>
        <w:t>を実施</w:t>
      </w:r>
      <w:r>
        <w:rPr>
          <w:rFonts w:hint="eastAsia" w:ascii="ＭＳ 明朝" w:hAnsi="ＭＳ 明朝" w:eastAsia="ＭＳ 明朝"/>
          <w:color w:val="auto"/>
          <w:sz w:val="22"/>
          <w:highlight w:val="none"/>
          <w:u w:val="none" w:color="auto"/>
        </w:rPr>
        <w:t>しています。令和４年高知県脳卒中患者実態調査によると、</w:t>
      </w:r>
      <w:r>
        <w:rPr>
          <w:rFonts w:hint="eastAsia" w:ascii="ＭＳ 明朝" w:hAnsi="ＭＳ 明朝" w:eastAsia="ＭＳ 明朝"/>
          <w:b w:val="0"/>
          <w:color w:val="auto"/>
          <w:sz w:val="22"/>
          <w:highlight w:val="none"/>
          <w:u w:val="none" w:color="auto"/>
        </w:rPr>
        <w:t>初発患者に占める高血圧有病者の割合は、男性</w:t>
      </w:r>
      <w:r>
        <w:rPr>
          <w:rFonts w:hint="eastAsia" w:ascii="ＭＳ 明朝" w:hAnsi="ＭＳ 明朝" w:eastAsia="ＭＳ 明朝"/>
          <w:b w:val="0"/>
          <w:color w:val="auto"/>
          <w:sz w:val="22"/>
          <w:highlight w:val="none"/>
          <w:u w:val="none" w:color="auto"/>
        </w:rPr>
        <w:t>76</w:t>
      </w:r>
      <w:r>
        <w:rPr>
          <w:rFonts w:hint="eastAsia" w:ascii="ＭＳ 明朝" w:hAnsi="ＭＳ 明朝" w:eastAsia="ＭＳ 明朝"/>
          <w:b w:val="0"/>
          <w:color w:val="auto"/>
          <w:sz w:val="22"/>
          <w:highlight w:val="none"/>
          <w:u w:val="none" w:color="auto"/>
        </w:rPr>
        <w:t>％、女性</w:t>
      </w:r>
      <w:r>
        <w:rPr>
          <w:rFonts w:hint="eastAsia" w:ascii="ＭＳ 明朝" w:hAnsi="ＭＳ 明朝" w:eastAsia="ＭＳ 明朝"/>
          <w:b w:val="0"/>
          <w:color w:val="auto"/>
          <w:sz w:val="22"/>
          <w:highlight w:val="none"/>
          <w:u w:val="none" w:color="auto"/>
        </w:rPr>
        <w:t>75%</w:t>
      </w:r>
      <w:r>
        <w:rPr>
          <w:rFonts w:hint="eastAsia" w:ascii="ＭＳ 明朝" w:hAnsi="ＭＳ 明朝" w:eastAsia="ＭＳ 明朝"/>
          <w:b w:val="0"/>
          <w:color w:val="auto"/>
          <w:sz w:val="22"/>
          <w:highlight w:val="none"/>
          <w:u w:val="none" w:color="auto"/>
        </w:rPr>
        <w:t>で、高血圧症有病者で未治療である割合は男性</w:t>
      </w:r>
      <w:r>
        <w:rPr>
          <w:rFonts w:hint="eastAsia" w:ascii="ＭＳ 明朝" w:hAnsi="ＭＳ 明朝" w:eastAsia="ＭＳ 明朝"/>
          <w:b w:val="0"/>
          <w:color w:val="auto"/>
          <w:sz w:val="22"/>
          <w:highlight w:val="none"/>
          <w:u w:val="none" w:color="auto"/>
        </w:rPr>
        <w:t>18</w:t>
      </w:r>
      <w:r>
        <w:rPr>
          <w:rFonts w:hint="eastAsia" w:ascii="ＭＳ 明朝" w:hAnsi="ＭＳ 明朝" w:eastAsia="ＭＳ 明朝"/>
          <w:b w:val="0"/>
          <w:color w:val="auto"/>
          <w:sz w:val="22"/>
          <w:highlight w:val="none"/>
          <w:u w:val="none" w:color="auto"/>
        </w:rPr>
        <w:t>％、女性</w:t>
      </w:r>
      <w:r>
        <w:rPr>
          <w:rFonts w:hint="eastAsia" w:ascii="ＭＳ 明朝" w:hAnsi="ＭＳ 明朝" w:eastAsia="ＭＳ 明朝"/>
          <w:b w:val="0"/>
          <w:color w:val="auto"/>
          <w:sz w:val="22"/>
          <w:highlight w:val="none"/>
          <w:u w:val="none" w:color="auto"/>
        </w:rPr>
        <w:t>11</w:t>
      </w:r>
      <w:r>
        <w:rPr>
          <w:rFonts w:hint="eastAsia" w:ascii="ＭＳ 明朝" w:hAnsi="ＭＳ 明朝" w:eastAsia="ＭＳ 明朝"/>
          <w:b w:val="0"/>
          <w:color w:val="auto"/>
          <w:sz w:val="22"/>
          <w:highlight w:val="none"/>
          <w:u w:val="none" w:color="auto"/>
        </w:rPr>
        <w:t>％となっています。</w:t>
      </w:r>
    </w:p>
    <w:p>
      <w:pPr>
        <w:pStyle w:val="0"/>
        <w:spacing w:line="240" w:lineRule="auto"/>
        <w:ind w:left="221" w:leftChars="100" w:right="51" w:rightChars="23"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color w:val="auto"/>
          <w:sz w:val="22"/>
          <w:highlight w:val="none"/>
          <w:u w:val="none" w:color="auto"/>
        </w:rPr>
        <w:t>また、脂質異常症有病者の割合は、男性</w:t>
      </w:r>
      <w:r>
        <w:rPr>
          <w:rFonts w:hint="eastAsia" w:ascii="ＭＳ 明朝" w:hAnsi="ＭＳ 明朝" w:eastAsia="ＭＳ 明朝"/>
          <w:b w:val="0"/>
          <w:color w:val="auto"/>
          <w:sz w:val="22"/>
          <w:highlight w:val="none"/>
          <w:u w:val="none" w:color="auto"/>
        </w:rPr>
        <w:t>37</w:t>
      </w:r>
      <w:r>
        <w:rPr>
          <w:rFonts w:hint="eastAsia" w:ascii="ＭＳ 明朝" w:hAnsi="ＭＳ 明朝" w:eastAsia="ＭＳ 明朝"/>
          <w:b w:val="0"/>
          <w:color w:val="auto"/>
          <w:sz w:val="22"/>
          <w:highlight w:val="none"/>
          <w:u w:val="none" w:color="auto"/>
        </w:rPr>
        <w:t>％、女性</w:t>
      </w:r>
      <w:r>
        <w:rPr>
          <w:rFonts w:hint="eastAsia" w:ascii="ＭＳ 明朝" w:hAnsi="ＭＳ 明朝" w:eastAsia="ＭＳ 明朝"/>
          <w:b w:val="0"/>
          <w:color w:val="auto"/>
          <w:sz w:val="22"/>
          <w:highlight w:val="none"/>
          <w:u w:val="none" w:color="auto"/>
        </w:rPr>
        <w:t>42</w:t>
      </w:r>
      <w:r>
        <w:rPr>
          <w:rFonts w:hint="eastAsia" w:ascii="ＭＳ 明朝" w:hAnsi="ＭＳ 明朝" w:eastAsia="ＭＳ 明朝"/>
          <w:b w:val="0"/>
          <w:color w:val="auto"/>
          <w:sz w:val="22"/>
          <w:highlight w:val="none"/>
          <w:u w:val="none" w:color="auto"/>
        </w:rPr>
        <w:t>％で、脂質異常症有病者で未治療である割合は男性</w:t>
      </w:r>
      <w:r>
        <w:rPr>
          <w:rFonts w:hint="eastAsia" w:ascii="ＭＳ 明朝" w:hAnsi="ＭＳ 明朝" w:eastAsia="ＭＳ 明朝"/>
          <w:b w:val="0"/>
          <w:color w:val="auto"/>
          <w:sz w:val="22"/>
          <w:highlight w:val="none"/>
          <w:u w:val="none" w:color="auto"/>
        </w:rPr>
        <w:t>14</w:t>
      </w:r>
      <w:r>
        <w:rPr>
          <w:rFonts w:hint="eastAsia" w:ascii="ＭＳ 明朝" w:hAnsi="ＭＳ 明朝" w:eastAsia="ＭＳ 明朝"/>
          <w:b w:val="0"/>
          <w:color w:val="auto"/>
          <w:sz w:val="22"/>
          <w:highlight w:val="none"/>
          <w:u w:val="none" w:color="auto"/>
        </w:rPr>
        <w:t>％、女性</w:t>
      </w:r>
      <w:r>
        <w:rPr>
          <w:rFonts w:hint="eastAsia" w:ascii="ＭＳ 明朝" w:hAnsi="ＭＳ 明朝" w:eastAsia="ＭＳ 明朝"/>
          <w:b w:val="0"/>
          <w:color w:val="auto"/>
          <w:sz w:val="22"/>
          <w:highlight w:val="none"/>
          <w:u w:val="none" w:color="auto"/>
        </w:rPr>
        <w:t>13</w:t>
      </w:r>
      <w:r>
        <w:rPr>
          <w:rFonts w:hint="eastAsia" w:ascii="ＭＳ 明朝" w:hAnsi="ＭＳ 明朝" w:eastAsia="ＭＳ 明朝"/>
          <w:b w:val="0"/>
          <w:color w:val="auto"/>
          <w:sz w:val="22"/>
          <w:highlight w:val="none"/>
          <w:u w:val="none" w:color="auto"/>
        </w:rPr>
        <w:t>％となっています（図表</w:t>
      </w:r>
      <w:r>
        <w:rPr>
          <w:rFonts w:hint="eastAsia" w:ascii="ＭＳ 明朝" w:hAnsi="ＭＳ 明朝" w:eastAsia="ＭＳ 明朝"/>
          <w:b w:val="0"/>
          <w:color w:val="auto"/>
          <w:sz w:val="22"/>
          <w:highlight w:val="none"/>
          <w:u w:val="none" w:color="auto"/>
        </w:rPr>
        <w:t>6-2-9</w:t>
      </w:r>
      <w:r>
        <w:rPr>
          <w:rFonts w:hint="eastAsia" w:ascii="ＭＳ 明朝" w:hAnsi="ＭＳ 明朝" w:eastAsia="ＭＳ 明朝"/>
          <w:b w:val="0"/>
          <w:color w:val="auto"/>
          <w:sz w:val="22"/>
          <w:highlight w:val="none"/>
          <w:u w:val="none" w:color="auto"/>
        </w:rPr>
        <w:t>）。これら</w:t>
      </w:r>
      <w:r>
        <w:rPr>
          <w:rFonts w:hint="eastAsia" w:ascii="ＭＳ 明朝" w:hAnsi="ＭＳ 明朝" w:eastAsia="ＭＳ 明朝"/>
          <w:color w:val="auto"/>
          <w:sz w:val="22"/>
          <w:highlight w:val="none"/>
          <w:u w:val="none" w:color="auto"/>
        </w:rPr>
        <w:t>危険因子の未治療者を減少させるとともに、コントロールが良好な者を増やすことが脳卒中の発症予防として重要です。</w:t>
      </w:r>
    </w:p>
    <w:p>
      <w:pPr>
        <w:pStyle w:val="0"/>
        <w:snapToGrid w:val="0"/>
        <w:spacing w:line="240" w:lineRule="atLeast"/>
        <w:ind w:left="727" w:leftChars="100" w:hanging="500" w:hangingChars="300"/>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（注２）高知県脳卒中患者調査：高知県内の脳卒中センター・脳卒中支援病院全</w:t>
      </w:r>
      <w:r>
        <w:rPr>
          <w:rFonts w:hint="eastAsia" w:ascii="ＭＳ 明朝" w:hAnsi="ＭＳ 明朝" w:eastAsia="ＭＳ 明朝"/>
          <w:color w:val="auto"/>
          <w:sz w:val="16"/>
          <w:highlight w:val="none"/>
          <w:u w:val="none" w:color="auto"/>
        </w:rPr>
        <w:t>28</w:t>
      </w:r>
      <w:r>
        <w:rPr>
          <w:rFonts w:hint="eastAsia" w:ascii="ＭＳ 明朝" w:hAnsi="ＭＳ 明朝" w:eastAsia="ＭＳ 明朝"/>
          <w:color w:val="auto"/>
          <w:sz w:val="16"/>
          <w:highlight w:val="none"/>
          <w:u w:val="none" w:color="auto"/>
        </w:rPr>
        <w:t>医療機関（令和５年</w:t>
      </w:r>
      <w:r>
        <w:rPr>
          <w:rFonts w:hint="eastAsia" w:ascii="ＭＳ 明朝" w:hAnsi="ＭＳ 明朝" w:eastAsia="ＭＳ 明朝"/>
          <w:color w:val="auto"/>
          <w:sz w:val="16"/>
          <w:highlight w:val="none"/>
          <w:u w:val="none" w:color="auto"/>
        </w:rPr>
        <w:t>10</w:t>
      </w:r>
      <w:r>
        <w:rPr>
          <w:rFonts w:hint="eastAsia" w:ascii="ＭＳ 明朝" w:hAnsi="ＭＳ 明朝" w:eastAsia="ＭＳ 明朝"/>
          <w:color w:val="auto"/>
          <w:sz w:val="16"/>
          <w:highlight w:val="none"/>
          <w:u w:val="none" w:color="auto"/>
        </w:rPr>
        <w:t>月時点）を対象に行うもので、脳卒中の急性期の患者のうち退院する患者（転院、転棟、死亡含む）が対象。</w:t>
      </w: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r>
        <w:rPr>
          <w:rFonts w:hint="eastAsia"/>
        </w:rPr>
        <mc:AlternateContent>
          <mc:Choice Requires="wpg">
            <w:drawing>
              <wp:anchor simplePos="0" relativeHeight="40" behindDoc="0" locked="0" layoutInCell="1" hidden="0" allowOverlap="1">
                <wp:simplePos x="0" y="0"/>
                <wp:positionH relativeFrom="column">
                  <wp:posOffset>172720</wp:posOffset>
                </wp:positionH>
                <wp:positionV relativeFrom="paragraph">
                  <wp:posOffset>135255</wp:posOffset>
                </wp:positionV>
                <wp:extent cx="5766435" cy="2623185"/>
                <wp:effectExtent l="0" t="0" r="635" b="635"/>
                <wp:wrapNone/>
                <wp:docPr id="1064" name="オブジェクト 0"/>
                <a:graphic xmlns:a="http://schemas.openxmlformats.org/drawingml/2006/main">
                  <a:graphicData uri="http://schemas.microsoft.com/office/word/2010/wordprocessingGroup">
                    <wpg:wgp>
                      <wpg:cNvGrpSpPr/>
                      <wpg:grpSpPr>
                        <a:xfrm>
                          <a:off x="0" y="0"/>
                          <a:ext cx="5766435" cy="2623185"/>
                          <a:chOff x="1690" y="4839"/>
                          <a:chExt cx="9081" cy="4131"/>
                        </a:xfrm>
                      </wpg:grpSpPr>
                      <wps:wsp>
                        <wps:cNvPr id="1065" name="テキスト ボックス 2"/>
                        <wps:cNvSpPr txBox="1">
                          <a:spLocks noChangeArrowheads="1"/>
                        </wps:cNvSpPr>
                        <wps:spPr>
                          <a:xfrm>
                            <a:off x="1707" y="4839"/>
                            <a:ext cx="8765" cy="454"/>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6-2-9</w:t>
                              </w:r>
                              <w:r>
                                <w:rPr>
                                  <w:rFonts w:hint="eastAsia" w:ascii="ＭＳ ゴシック" w:hAnsi="ＭＳ ゴシック" w:eastAsia="ＭＳ ゴシック"/>
                                  <w:color w:val="auto"/>
                                  <w:sz w:val="22"/>
                                  <w:u w:val="none" w:color="auto"/>
                                </w:rPr>
                                <w:t>）脳卒中発症者の有病</w:t>
                              </w:r>
                              <w:r>
                                <w:rPr>
                                  <w:rFonts w:hint="eastAsia" w:ascii="ＭＳ ゴシック" w:hAnsi="ＭＳ ゴシック" w:eastAsia="ＭＳ ゴシック"/>
                                  <w:color w:val="auto"/>
                                  <w:sz w:val="22"/>
                                  <w:u w:val="none" w:color="auto"/>
                                  <w:vertAlign w:val="superscript"/>
                                </w:rPr>
                                <w:t>＊</w:t>
                              </w:r>
                              <w:r>
                                <w:rPr>
                                  <w:rFonts w:hint="eastAsia" w:ascii="ＭＳ ゴシック" w:hAnsi="ＭＳ ゴシック" w:eastAsia="ＭＳ ゴシック"/>
                                  <w:color w:val="auto"/>
                                  <w:sz w:val="22"/>
                                  <w:u w:val="none" w:color="auto"/>
                                </w:rPr>
                                <w:t>・喫煙の状況（初発患者集計）</w:t>
                              </w:r>
                            </w:p>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FF0000"/>
                                  <w:sz w:val="22"/>
                                  <w:u w:val="single" w:color="auto"/>
                                </w:rPr>
                                <w:t>降圧剤服用者の収縮期血圧</w:t>
                              </w:r>
                            </w:p>
                            <w:p>
                              <w:pPr>
                                <w:pStyle w:val="0"/>
                                <w:jc w:val="center"/>
                                <w:rPr>
                                  <w:rFonts w:hint="eastAsia" w:ascii="ＭＳ ゴシック" w:hAnsi="ＭＳ ゴシック" w:eastAsia="ＭＳ ゴシック"/>
                                  <w:color w:val="FF0000"/>
                                  <w:sz w:val="22"/>
                                  <w:u w:val="single" w:color="auto"/>
                                </w:rPr>
                              </w:pPr>
                            </w:p>
                          </w:txbxContent>
                        </wps:txbx>
                        <wps:bodyPr vertOverflow="overflow" horzOverflow="overflow" wrap="square"/>
                      </wps:wsp>
                      <wpg:graphicFrame>
                        <wpg:cNvPr id="1066" name="オブジェクト 0"/>
                        <wpg:cNvFrPr/>
                        <wpg:xfrm>
                          <a:off x="6178" y="5566"/>
                          <a:ext cx="4403" cy="2518"/>
                        </wpg:xfrm>
                        <a:graphic>
                          <a:graphicData uri="http://schemas.openxmlformats.org/drawingml/2006/chart">
                            <c:chart xmlns:c="http://schemas.openxmlformats.org/drawingml/2006/chart" r:id="rId27"/>
                          </a:graphicData>
                        </a:graphic>
                      </wpg:graphicFrame>
                      <wpg:graphicFrame>
                        <wpg:cNvPr id="1067" name="オブジェクト 0"/>
                        <wpg:cNvFrPr/>
                        <wpg:xfrm>
                          <a:off x="1690" y="5566"/>
                          <a:ext cx="4351" cy="2600"/>
                        </wpg:xfrm>
                        <a:graphic>
                          <a:graphicData uri="http://schemas.openxmlformats.org/drawingml/2006/chart">
                            <c:chart xmlns:c="http://schemas.openxmlformats.org/drawingml/2006/chart" r:id="rId28"/>
                          </a:graphicData>
                        </a:graphic>
                      </wpg:graphicFrame>
                      <wps:wsp>
                        <wps:cNvPr id="1068" name="テキスト ボックス 1"/>
                        <wps:cNvSpPr txBox="1"/>
                        <wps:spPr>
                          <a:xfrm>
                            <a:off x="2863" y="6200"/>
                            <a:ext cx="680" cy="532"/>
                          </a:xfrm>
                          <a:prstGeom prst="rect">
                            <a:avLst/>
                          </a:prstGeom>
                        </wps:spPr>
                        <wps:txbx>
                          <w:txbxContent>
                            <w:p>
                              <w:pPr>
                                <w:pStyle w:val="0"/>
                                <w:wordWrap w:val="0"/>
                                <w:overflowPunct w:val="1"/>
                                <w:snapToGrid w:val="0"/>
                                <w:ind w:left="0" w:firstLine="0"/>
                                <w:jc w:val="left"/>
                                <w:rPr>
                                  <w:rFonts w:hint="eastAsia"/>
                                </w:rPr>
                              </w:pPr>
                              <w:r>
                                <w:rPr>
                                  <w:rFonts w:hint="eastAsia" w:ascii="ＭＳ ゴシック" w:hAnsi="ＭＳ ゴシック" w:eastAsia="ＭＳ ゴシック"/>
                                  <w:color w:val="000000"/>
                                  <w:kern w:val="1200"/>
                                  <w:sz w:val="18"/>
                                </w:rPr>
                                <w:t>76</w:t>
                              </w:r>
                              <w:r>
                                <w:rPr>
                                  <w:rFonts w:hint="eastAsia" w:ascii="ＭＳ ゴシック" w:hAnsi="ＭＳ ゴシック" w:eastAsia="ＭＳ ゴシック"/>
                                  <w:color w:val="000000"/>
                                  <w:kern w:val="1200"/>
                                  <w:sz w:val="18"/>
                                </w:rPr>
                                <w:t>％</w:t>
                              </w:r>
                            </w:p>
                          </w:txbxContent>
                        </wps:txbx>
                        <wps:bodyPr vertOverflow="overflow" horzOverflow="overflow" wrap="square" rtlCol="0"/>
                      </wps:wsp>
                      <wps:wsp>
                        <wps:cNvPr id="1069" name="右大かっこ 28"/>
                        <wps:cNvSpPr/>
                        <wps:spPr>
                          <a:xfrm>
                            <a:off x="2816" y="5966"/>
                            <a:ext cx="113" cy="1198"/>
                          </a:xfrm>
                          <a:prstGeom prst="rightBracket">
                            <a:avLst>
                              <a:gd name="adj" fmla="val 0"/>
                            </a:avLst>
                          </a:prstGeom>
                          <a:noFill/>
                          <a:ln w="3175" cap="flat" cmpd="sng" algn="ctr">
                            <a:solidFill>
                              <a:sysClr val="windowText" lastClr="000000"/>
                            </a:solidFill>
                            <a:prstDash val="solid"/>
                          </a:ln>
                        </wps:spPr>
                        <wps:txbx>
                          <w:txbxContent>
                            <w:p>
                              <w:pPr>
                                <w:pStyle w:val="0"/>
                                <w:wordWrap w:val="0"/>
                                <w:overflowPunct w:val="1"/>
                                <w:snapToGrid w:val="0"/>
                                <w:ind w:left="0"/>
                                <w:jc w:val="center"/>
                                <w:rPr>
                                  <w:rFonts w:hint="eastAsia"/>
                                </w:rPr>
                              </w:pPr>
                            </w:p>
                          </w:txbxContent>
                        </wps:txbx>
                        <wps:bodyPr vertOverflow="overflow" horzOverflow="overflow" rtlCol="0" anchor="ctr"/>
                      </wps:wsp>
                      <wps:wsp>
                        <wps:cNvPr id="1070" name="テキスト ボックス 1"/>
                        <wps:cNvSpPr txBox="1"/>
                        <wps:spPr>
                          <a:xfrm>
                            <a:off x="5522" y="6406"/>
                            <a:ext cx="656" cy="788"/>
                          </a:xfrm>
                          <a:prstGeom prst="rect">
                            <a:avLst/>
                          </a:prstGeom>
                        </wps:spPr>
                        <wps:txbx>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過去</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wps:txbx>
                        <wps:bodyPr vertOverflow="overflow" horzOverflow="overflow" wrap="square" rtlCol="0"/>
                      </wps:wsp>
                      <wps:wsp>
                        <wps:cNvPr id="1071" name="テキスト ボックス 1"/>
                        <wps:cNvSpPr txBox="1"/>
                        <wps:spPr>
                          <a:xfrm>
                            <a:off x="5539" y="7124"/>
                            <a:ext cx="698" cy="713"/>
                          </a:xfrm>
                          <a:prstGeom prst="rect">
                            <a:avLst/>
                          </a:prstGeom>
                        </wps:spPr>
                        <wps:txbx>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現在</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wps:txbx>
                        <wps:bodyPr vertOverflow="overflow" horzOverflow="overflow" wrap="square" rtlCol="0"/>
                      </wps:wsp>
                      <wps:wsp>
                        <wps:cNvPr id="1072" name="右大かっこ 29"/>
                        <wps:cNvSpPr/>
                        <wps:spPr>
                          <a:xfrm>
                            <a:off x="7329" y="5841"/>
                            <a:ext cx="62" cy="1248"/>
                          </a:xfrm>
                          <a:prstGeom prst="rightBracket">
                            <a:avLst>
                              <a:gd name="adj" fmla="val 0"/>
                            </a:avLst>
                          </a:prstGeom>
                          <a:noFill/>
                          <a:ln w="3175" cap="flat" cmpd="sng" algn="ctr">
                            <a:solidFill>
                              <a:sysClr val="windowText" lastClr="000000"/>
                            </a:solidFill>
                            <a:prstDash val="solid"/>
                          </a:ln>
                        </wps:spPr>
                        <wps:txbx>
                          <w:txbxContent>
                            <w:p>
                              <w:pPr>
                                <w:pStyle w:val="0"/>
                                <w:wordWrap w:val="0"/>
                                <w:overflowPunct w:val="1"/>
                                <w:snapToGrid w:val="0"/>
                                <w:ind w:left="0"/>
                                <w:jc w:val="center"/>
                                <w:rPr>
                                  <w:rFonts w:hint="default"/>
                                  <w:sz w:val="36"/>
                                </w:rPr>
                              </w:pPr>
                            </w:p>
                          </w:txbxContent>
                        </wps:txbx>
                        <wps:bodyPr vertOverflow="overflow" horzOverflow="overflow" rtlCol="0" anchor="ctr"/>
                      </wps:wsp>
                      <wps:wsp>
                        <wps:cNvPr id="1073" name="テキスト ボックス 1"/>
                        <wps:cNvSpPr txBox="1"/>
                        <wps:spPr>
                          <a:xfrm>
                            <a:off x="7350" y="6175"/>
                            <a:ext cx="876" cy="490"/>
                          </a:xfrm>
                          <a:prstGeom prst="rect">
                            <a:avLst/>
                          </a:prstGeom>
                        </wps:spPr>
                        <wps:txbx>
                          <w:txbxContent>
                            <w:p>
                              <w:pPr>
                                <w:pStyle w:val="0"/>
                                <w:wordWrap w:val="0"/>
                                <w:overflowPunct w:val="1"/>
                                <w:snapToGrid w:val="0"/>
                                <w:ind w:left="0" w:firstLine="0"/>
                                <w:jc w:val="left"/>
                                <w:rPr>
                                  <w:rFonts w:hint="eastAsia" w:ascii="ＭＳ ゴシック" w:hAnsi="ＭＳ ゴシック" w:eastAsia="ＭＳ ゴシック"/>
                                  <w:sz w:val="24"/>
                                </w:rPr>
                              </w:pPr>
                              <w:r>
                                <w:rPr>
                                  <w:rFonts w:hint="eastAsia" w:ascii="ＭＳ ゴシック" w:hAnsi="ＭＳ ゴシック" w:eastAsia="ＭＳ ゴシック"/>
                                  <w:color w:val="000000"/>
                                  <w:kern w:val="1200"/>
                                  <w:sz w:val="18"/>
                                </w:rPr>
                                <w:t>75</w:t>
                              </w:r>
                              <w:r>
                                <w:rPr>
                                  <w:rFonts w:hint="eastAsia" w:ascii="ＭＳ ゴシック" w:hAnsi="ＭＳ ゴシック" w:eastAsia="ＭＳ ゴシック"/>
                                  <w:color w:val="000000"/>
                                  <w:kern w:val="1200"/>
                                  <w:sz w:val="18"/>
                                </w:rPr>
                                <w:t>％</w:t>
                              </w:r>
                            </w:p>
                          </w:txbxContent>
                        </wps:txbx>
                        <wps:bodyPr vertOverflow="overflow" horzOverflow="overflow" wrap="square" rtlCol="0"/>
                      </wps:wsp>
                      <wps:wsp>
                        <wps:cNvPr id="1074" name="テキスト ボックス 1"/>
                        <wps:cNvSpPr txBox="1"/>
                        <wps:spPr>
                          <a:xfrm>
                            <a:off x="10058" y="6923"/>
                            <a:ext cx="656" cy="666"/>
                          </a:xfrm>
                          <a:prstGeom prst="rect">
                            <a:avLst/>
                          </a:prstGeom>
                        </wps:spPr>
                        <wps:txbx>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過去</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wps:txbx>
                        <wps:bodyPr vertOverflow="overflow" horzOverflow="overflow" wrap="square" rtlCol="0"/>
                      </wps:wsp>
                      <wps:wsp>
                        <wps:cNvPr id="1075" name="テキスト ボックス 1"/>
                        <wps:cNvSpPr txBox="1"/>
                        <wps:spPr>
                          <a:xfrm>
                            <a:off x="10073" y="7279"/>
                            <a:ext cx="698" cy="717"/>
                          </a:xfrm>
                          <a:prstGeom prst="rect">
                            <a:avLst/>
                          </a:prstGeom>
                        </wps:spPr>
                        <wps:txbx>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現在</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wps:txbx>
                        <wps:bodyPr vertOverflow="overflow" horzOverflow="overflow" wrap="square" rtlCol="0"/>
                      </wps:wsp>
                      <wps:wsp>
                        <wps:cNvPr id="1076" name="テキスト ボックス 2"/>
                        <wps:cNvSpPr txBox="1">
                          <a:spLocks noChangeArrowheads="1"/>
                        </wps:cNvSpPr>
                        <wps:spPr>
                          <a:xfrm>
                            <a:off x="3177" y="5301"/>
                            <a:ext cx="1515" cy="630"/>
                          </a:xfrm>
                          <a:prstGeom prst="rect">
                            <a:avLst/>
                          </a:prstGeom>
                          <a:noFill/>
                          <a:ln w="9525">
                            <a:noFill/>
                            <a:miter lim="800000"/>
                            <a:headEnd/>
                            <a:tailEnd/>
                          </a:ln>
                        </wps:spPr>
                        <wps:txbx>
                          <w:txbxContent>
                            <w:p>
                              <w:pPr>
                                <w:pStyle w:val="0"/>
                                <w:snapToGrid w:val="0"/>
                                <w:ind w:left="0"/>
                                <w:jc w:val="center"/>
                                <w:rPr>
                                  <w:rFonts w:hint="default"/>
                                  <w:sz w:val="24"/>
                                </w:rPr>
                              </w:pPr>
                              <w:r>
                                <w:rPr>
                                  <w:rFonts w:hint="eastAsia" w:asciiTheme="minorEastAsia" w:hAnsiTheme="minorEastAsia" w:eastAsiaTheme="minorEastAsia"/>
                                  <w:color w:val="000000"/>
                                  <w:sz w:val="21"/>
                                </w:rPr>
                                <w:t>男性</w:t>
                              </w:r>
                            </w:p>
                          </w:txbxContent>
                        </wps:txbx>
                        <wps:bodyPr vertOverflow="overflow" horzOverflow="overflow" wrap="square"/>
                      </wps:wsp>
                      <wps:wsp>
                        <wps:cNvPr id="1077" name="テキスト ボックス 2"/>
                        <wps:cNvSpPr txBox="1">
                          <a:spLocks noChangeArrowheads="1"/>
                        </wps:cNvSpPr>
                        <wps:spPr>
                          <a:xfrm>
                            <a:off x="7860" y="5258"/>
                            <a:ext cx="1515" cy="630"/>
                          </a:xfrm>
                          <a:prstGeom prst="rect">
                            <a:avLst/>
                          </a:prstGeom>
                          <a:noFill/>
                          <a:ln w="9525">
                            <a:noFill/>
                            <a:miter lim="800000"/>
                            <a:headEnd/>
                            <a:tailEnd/>
                          </a:ln>
                        </wps:spPr>
                        <wps:txbx>
                          <w:txbxContent>
                            <w:p>
                              <w:pPr>
                                <w:pStyle w:val="0"/>
                                <w:snapToGrid w:val="0"/>
                                <w:ind w:left="0"/>
                                <w:jc w:val="center"/>
                                <w:rPr>
                                  <w:rFonts w:hint="default"/>
                                  <w:sz w:val="24"/>
                                </w:rPr>
                              </w:pPr>
                              <w:r>
                                <w:rPr>
                                  <w:rFonts w:hint="eastAsia" w:asciiTheme="minorEastAsia" w:hAnsiTheme="minorEastAsia" w:eastAsiaTheme="minorEastAsia"/>
                                  <w:color w:val="000000"/>
                                  <w:sz w:val="21"/>
                                </w:rPr>
                                <w:t>女性</w:t>
                              </w:r>
                            </w:p>
                          </w:txbxContent>
                        </wps:txbx>
                        <wps:bodyPr vertOverflow="overflow" horzOverflow="overflow" wrap="square"/>
                      </wps:wsp>
                      <wpg:grpSp>
                        <wpg:cNvGrpSpPr/>
                        <wpg:grpSpPr>
                          <a:xfrm>
                            <a:off x="5446" y="8080"/>
                            <a:ext cx="3897" cy="562"/>
                            <a:chOff x="4646" y="4691"/>
                            <a:chExt cx="3897" cy="397"/>
                          </a:xfrm>
                        </wpg:grpSpPr>
                        <wps:wsp>
                          <wps:cNvPr id="1079" name="オブジェクト 0"/>
                          <wps:cNvSpPr txBox="1"/>
                          <wps:spPr>
                            <a:xfrm>
                              <a:off x="4778" y="4691"/>
                              <a:ext cx="3765" cy="397"/>
                            </a:xfrm>
                            <a:prstGeom prst="rect">
                              <a:avLst/>
                            </a:prstGeom>
                            <a:solidFill>
                              <a:schemeClr val="bg1"/>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rPr>
                                    <w:rFonts w:hint="eastAsia" w:ascii="ＭＳ ゴシック" w:hAnsi="ＭＳ ゴシック" w:eastAsia="ＭＳ ゴシック"/>
                                    <w:sz w:val="14"/>
                                  </w:rPr>
                                </w:pPr>
                                <w:r>
                                  <w:rPr>
                                    <w:rFonts w:hint="eastAsia" w:ascii="ＭＳ ゴシック" w:hAnsi="ＭＳ ゴシック" w:eastAsia="ＭＳ ゴシック"/>
                                    <w:sz w:val="14"/>
                                  </w:rPr>
                                  <w:t>治療中　　　　　未治療</w:t>
                                </w:r>
                              </w:p>
                            </w:txbxContent>
                          </wps:txbx>
                          <wps:bodyPr vertOverflow="overflow" horzOverflow="overflow" wrap="square" lIns="74295" tIns="8890" rIns="74295" bIns="8890"/>
                        </wps:wsp>
                        <wps:wsp>
                          <wps:cNvPr id="1080" name="オブジェクト 0"/>
                          <wps:cNvSpPr/>
                          <wps:spPr>
                            <a:xfrm>
                              <a:off x="4646" y="4788"/>
                              <a:ext cx="165" cy="165"/>
                            </a:xfrm>
                            <a:prstGeom prst="rect">
                              <a:avLst/>
                            </a:prstGeom>
                            <a:pattFill prst="wdUpDiag">
                              <a:fgClr>
                                <a:schemeClr val="bg1"/>
                              </a:fgClr>
                              <a:bgClr>
                                <a:srgbClr val="FFA6A6"/>
                              </a:bgClr>
                            </a:pattFill>
                          </wps:spPr>
                          <wps:style>
                            <a:lnRef idx="1">
                              <a:schemeClr val="accent2"/>
                            </a:lnRef>
                            <a:fillRef idx="2">
                              <a:schemeClr val="accent2"/>
                            </a:fillRef>
                            <a:effectRef idx="1">
                              <a:schemeClr val="accent2"/>
                            </a:effectRef>
                            <a:fontRef idx="none">
                              <a:schemeClr val="dk1"/>
                            </a:fontRef>
                          </wps:style>
                          <wps:bodyPr/>
                        </wps:wsp>
                        <wps:wsp>
                          <wps:cNvPr id="1081" name="オブジェクト 0"/>
                          <wps:cNvSpPr/>
                          <wps:spPr>
                            <a:xfrm>
                              <a:off x="5697" y="4788"/>
                              <a:ext cx="180" cy="165"/>
                            </a:xfrm>
                            <a:prstGeom prst="rect">
                              <a:avLst/>
                            </a:prstGeom>
                            <a:pattFill prst="pct90">
                              <a:fgClr>
                                <a:schemeClr val="accent1">
                                  <a:lumMod val="60000"/>
                                  <a:lumOff val="40000"/>
                                </a:schemeClr>
                              </a:fgClr>
                              <a:bgClr>
                                <a:schemeClr val="bg1"/>
                              </a:bgClr>
                            </a:pattFill>
                            <a:ln w="6350" cap="flat" cmpd="sng" algn="ctr">
                              <a:solidFill>
                                <a:schemeClr val="accent1">
                                  <a:lumMod val="60000"/>
                                  <a:lumOff val="40000"/>
                                </a:schemeClr>
                              </a:solidFill>
                              <a:prstDash val="solid"/>
                              <a:miter lim="800000"/>
                            </a:ln>
                          </wps:spPr>
                          <wps:style>
                            <a:lnRef idx="1">
                              <a:schemeClr val="accent2"/>
                            </a:lnRef>
                            <a:fillRef idx="2">
                              <a:schemeClr val="accent2"/>
                            </a:fillRef>
                            <a:effectRef idx="1">
                              <a:schemeClr val="accent2"/>
                            </a:effectRef>
                            <a:fontRef idx="none">
                              <a:schemeClr val="dk1"/>
                            </a:fontRef>
                          </wps:style>
                          <wps:bodyPr/>
                        </wps:wsp>
                      </wpg:grpSp>
                      <wps:wsp>
                        <wps:cNvPr id="1082" name="オブジェクト 0"/>
                        <wps:cNvSpPr txBox="1">
                          <a:spLocks noChangeArrowheads="1"/>
                        </wps:cNvSpPr>
                        <wps:spPr>
                          <a:xfrm>
                            <a:off x="4930" y="8382"/>
                            <a:ext cx="5520" cy="588"/>
                          </a:xfrm>
                          <a:prstGeom prst="rect">
                            <a:avLst/>
                          </a:prstGeom>
                          <a:noFill/>
                          <a:ln>
                            <a:miter/>
                          </a:ln>
                        </wps:spPr>
                        <wps:txbx>
                          <w:txbxContent>
                            <w:p>
                              <w:pPr>
                                <w:pStyle w:val="0"/>
                                <w:spacing w:line="240" w:lineRule="exact"/>
                                <w:jc w:val="right"/>
                                <w:rPr>
                                  <w:rFonts w:hint="eastAsia"/>
                                </w:rPr>
                              </w:pPr>
                              <w:r>
                                <w:rPr>
                                  <w:rFonts w:hint="eastAsia"/>
                                  <w:color w:val="auto"/>
                                  <w:sz w:val="16"/>
                                </w:rPr>
                                <w:t>出典：令和４年高知県脳卒中患者実態調査</w:t>
                              </w:r>
                              <w:r>
                                <w:rPr>
                                  <w:rFonts w:hint="eastAsia"/>
                                </w:rPr>
                                <w:br w:type="textWrapping" w:clear="none"/>
                              </w:r>
                              <w:r>
                                <w:rPr>
                                  <w:rFonts w:hint="eastAsia"/>
                                  <w:color w:val="auto"/>
                                  <w:sz w:val="16"/>
                                </w:rPr>
                                <w:t>＊</w:t>
                              </w:r>
                              <w:r>
                                <w:rPr>
                                  <w:rFonts w:hint="eastAsia"/>
                                  <w:color w:val="auto"/>
                                  <w:sz w:val="16"/>
                                </w:rPr>
                                <w:t xml:space="preserve"> </w:t>
                              </w:r>
                              <w:r>
                                <w:rPr>
                                  <w:rFonts w:hint="eastAsia"/>
                                  <w:color w:val="auto"/>
                                  <w:sz w:val="16"/>
                                </w:rPr>
                                <w:t>調査協力医療機関において入院中に診断された者も含む</w:t>
                              </w:r>
                            </w:p>
                          </w:txbxContent>
                        </wps:txbx>
                        <wps:bodyPr vertOverflow="overflow" horzOverflow="overflow" wrap="square" lIns="74295" tIns="8890" rIns="74295" bIns="8890" upright="1"/>
                      </wps:wsp>
                    </wpg:wgp>
                  </a:graphicData>
                </a:graphic>
              </wp:anchor>
            </w:drawing>
          </mc:Choice>
          <mc:Fallback>
            <w:pict>
              <v:group id="オブジェクト 0" style="margin-top:10.65pt;mso-position-vertical-relative:text;mso-position-horizontal-relative:text;position:absolute;height:206.55pt;width:454.05pt;margin-left:13.6pt;z-index:40;" coordsize="9081,4131" coordorigin="1690,4839" o:spid="_x0000_s1064" o:allowincell="t" o:allowoverlap="t">
                <v:shapetype id="_x0000_t202" coordsize="21600,21600" o:spt="202" path="m,l,21600r21600,l21600,xe">
                  <v:stroke joinstyle="miter"/>
                  <v:path gradientshapeok="t" o:connecttype="rect"/>
                </v:shapetype>
                <v:shape id="テキスト ボックス 2" style="height:454;width:8765;top:4839;left:1707;position:absolute;" o:spid="_x0000_s1065"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6-2-9</w:t>
                        </w:r>
                        <w:r>
                          <w:rPr>
                            <w:rFonts w:hint="eastAsia" w:ascii="ＭＳ ゴシック" w:hAnsi="ＭＳ ゴシック" w:eastAsia="ＭＳ ゴシック"/>
                            <w:color w:val="auto"/>
                            <w:sz w:val="22"/>
                            <w:u w:val="none" w:color="auto"/>
                          </w:rPr>
                          <w:t>）脳卒中発症者の有病</w:t>
                        </w:r>
                        <w:r>
                          <w:rPr>
                            <w:rFonts w:hint="eastAsia" w:ascii="ＭＳ ゴシック" w:hAnsi="ＭＳ ゴシック" w:eastAsia="ＭＳ ゴシック"/>
                            <w:color w:val="auto"/>
                            <w:sz w:val="22"/>
                            <w:u w:val="none" w:color="auto"/>
                            <w:vertAlign w:val="superscript"/>
                          </w:rPr>
                          <w:t>＊</w:t>
                        </w:r>
                        <w:r>
                          <w:rPr>
                            <w:rFonts w:hint="eastAsia" w:ascii="ＭＳ ゴシック" w:hAnsi="ＭＳ ゴシック" w:eastAsia="ＭＳ ゴシック"/>
                            <w:color w:val="auto"/>
                            <w:sz w:val="22"/>
                            <w:u w:val="none" w:color="auto"/>
                          </w:rPr>
                          <w:t>・喫煙の状況（初発患者集計）</w:t>
                        </w:r>
                      </w:p>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FF0000"/>
                            <w:sz w:val="22"/>
                            <w:u w:val="single" w:color="auto"/>
                          </w:rPr>
                          <w:t>降圧剤服用者の収縮期血圧</w:t>
                        </w:r>
                      </w:p>
                      <w:p>
                        <w:pPr>
                          <w:pStyle w:val="0"/>
                          <w:jc w:val="center"/>
                          <w:rPr>
                            <w:rFonts w:hint="eastAsia" w:ascii="ＭＳ ゴシック" w:hAnsi="ＭＳ ゴシック" w:eastAsia="ＭＳ ゴシック"/>
                            <w:color w:val="FF0000"/>
                            <w:sz w:val="22"/>
                            <w:u w:val="single" w:color="auto"/>
                          </w:rPr>
                        </w:pP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518;width:4403;top:5566;left:6178;position:absolute;" o:spid="_x0000_s1066" filled="f" stroked="f" o:spt="75" type="#_x0000_t75">
                  <v:fill/>
                  <v:imagedata o:title="" r:id="rId29"/>
                  <w10:wrap type="none" anchorx="text" anchory="text"/>
                </v:shape>
                <v:shape id="オブジェクト 0" style="height:2600;width:4351;top:5566;left:1690;position:absolute;" o:spid="_x0000_s1067" filled="f" stroked="f" o:spt="75" type="#_x0000_t75">
                  <v:fill/>
                  <v:imagedata o:title="" r:id="rId30"/>
                  <w10:wrap type="none" anchorx="text" anchory="text"/>
                </v:shape>
                <v:shape id="テキスト ボックス 1" style="height:532;width:680;top:6200;left:2863;position:absolute;" o:spid="_x0000_s1068" filled="f" stroked="f" o:spt="202" type="#_x0000_t202">
                  <v:fill/>
                  <v:textbox style="layout-flow:horizontal;">
                    <w:txbxContent>
                      <w:p>
                        <w:pPr>
                          <w:pStyle w:val="0"/>
                          <w:wordWrap w:val="0"/>
                          <w:overflowPunct w:val="1"/>
                          <w:snapToGrid w:val="0"/>
                          <w:ind w:left="0" w:firstLine="0"/>
                          <w:jc w:val="left"/>
                          <w:rPr>
                            <w:rFonts w:hint="eastAsia"/>
                          </w:rPr>
                        </w:pPr>
                        <w:r>
                          <w:rPr>
                            <w:rFonts w:hint="eastAsia" w:ascii="ＭＳ ゴシック" w:hAnsi="ＭＳ ゴシック" w:eastAsia="ＭＳ ゴシック"/>
                            <w:color w:val="000000"/>
                            <w:kern w:val="1200"/>
                            <w:sz w:val="18"/>
                          </w:rPr>
                          <w:t>76</w:t>
                        </w:r>
                        <w:r>
                          <w:rPr>
                            <w:rFonts w:hint="eastAsia" w:ascii="ＭＳ ゴシック" w:hAnsi="ＭＳ ゴシック" w:eastAsia="ＭＳ ゴシック"/>
                            <w:color w:val="000000"/>
                            <w:kern w:val="1200"/>
                            <w:sz w:val="18"/>
                          </w:rPr>
                          <w:t>％</w:t>
                        </w:r>
                      </w:p>
                    </w:txbxContent>
                  </v:textbox>
                  <v:imagedata o:title=""/>
                  <w10:wrap type="none" anchorx="text" anchory="text"/>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28" style="height:1198;width:113;top:5966;left:2816;v-text-anchor:middle;position:absolute;" o:spid="_x0000_s1069" filled="f" stroked="t" strokecolor="#000000" strokeweight="0.25pt" o:spt="86" type="#_x0000_t86" adj="0">
                  <v:fill/>
                  <v:stroke linestyle="single" endcap="flat" dashstyle="solid" filltype="solid"/>
                  <v:textbox style="layout-flow:horizontal;">
                    <w:txbxContent>
                      <w:p>
                        <w:pPr>
                          <w:pStyle w:val="0"/>
                          <w:wordWrap w:val="0"/>
                          <w:overflowPunct w:val="1"/>
                          <w:snapToGrid w:val="0"/>
                          <w:ind w:left="0"/>
                          <w:jc w:val="center"/>
                          <w:rPr>
                            <w:rFonts w:hint="eastAsia"/>
                          </w:rPr>
                        </w:pPr>
                      </w:p>
                    </w:txbxContent>
                  </v:textbox>
                  <v:imagedata o:title=""/>
                  <w10:wrap type="none" anchorx="text" anchory="text"/>
                </v:shape>
                <v:shape id="テキスト ボックス 1" style="height:788;width:656;top:6406;left:5522;position:absolute;" o:spid="_x0000_s1070" filled="f" stroked="f" o:spt="202" type="#_x0000_t202">
                  <v:fill/>
                  <v:textbox style="layout-flow:horizontal;">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過去</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v:textbox>
                  <v:imagedata o:title=""/>
                  <w10:wrap type="none" anchorx="text" anchory="text"/>
                </v:shape>
                <v:shape id="テキスト ボックス 1" style="height:713;width:698;top:7124;left:5539;position:absolute;" o:spid="_x0000_s1071" filled="f" stroked="f" o:spt="202" type="#_x0000_t202">
                  <v:fill/>
                  <v:textbox style="layout-flow:horizontal;">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現在</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v:textbox>
                  <v:imagedata o:title=""/>
                  <w10:wrap type="none" anchorx="text" anchory="text"/>
                </v:shape>
                <v:shape id="右大かっこ 29" style="height:1248;width:62;top:5841;left:7329;v-text-anchor:middle;position:absolute;" o:spid="_x0000_s1072" filled="f" stroked="t" strokecolor="#000000" strokeweight="0.25pt" o:spt="86" type="#_x0000_t86" adj="0">
                  <v:fill/>
                  <v:stroke linestyle="single" endcap="flat" dashstyle="solid" filltype="solid"/>
                  <v:textbox style="layout-flow:horizontal;">
                    <w:txbxContent>
                      <w:p>
                        <w:pPr>
                          <w:pStyle w:val="0"/>
                          <w:wordWrap w:val="0"/>
                          <w:overflowPunct w:val="1"/>
                          <w:snapToGrid w:val="0"/>
                          <w:ind w:left="0"/>
                          <w:jc w:val="center"/>
                          <w:rPr>
                            <w:rFonts w:hint="default"/>
                            <w:sz w:val="36"/>
                          </w:rPr>
                        </w:pPr>
                      </w:p>
                    </w:txbxContent>
                  </v:textbox>
                  <v:imagedata o:title=""/>
                  <w10:wrap type="none" anchorx="text" anchory="text"/>
                </v:shape>
                <v:shape id="テキスト ボックス 1" style="height:490;width:876;top:6175;left:7350;position:absolute;" o:spid="_x0000_s1073" filled="f" stroked="f" o:spt="202" type="#_x0000_t202">
                  <v:fill/>
                  <v:textbox style="layout-flow:horizontal;">
                    <w:txbxContent>
                      <w:p>
                        <w:pPr>
                          <w:pStyle w:val="0"/>
                          <w:wordWrap w:val="0"/>
                          <w:overflowPunct w:val="1"/>
                          <w:snapToGrid w:val="0"/>
                          <w:ind w:left="0" w:firstLine="0"/>
                          <w:jc w:val="left"/>
                          <w:rPr>
                            <w:rFonts w:hint="eastAsia" w:ascii="ＭＳ ゴシック" w:hAnsi="ＭＳ ゴシック" w:eastAsia="ＭＳ ゴシック"/>
                            <w:sz w:val="24"/>
                          </w:rPr>
                        </w:pPr>
                        <w:r>
                          <w:rPr>
                            <w:rFonts w:hint="eastAsia" w:ascii="ＭＳ ゴシック" w:hAnsi="ＭＳ ゴシック" w:eastAsia="ＭＳ ゴシック"/>
                            <w:color w:val="000000"/>
                            <w:kern w:val="1200"/>
                            <w:sz w:val="18"/>
                          </w:rPr>
                          <w:t>75</w:t>
                        </w:r>
                        <w:r>
                          <w:rPr>
                            <w:rFonts w:hint="eastAsia" w:ascii="ＭＳ ゴシック" w:hAnsi="ＭＳ ゴシック" w:eastAsia="ＭＳ ゴシック"/>
                            <w:color w:val="000000"/>
                            <w:kern w:val="1200"/>
                            <w:sz w:val="18"/>
                          </w:rPr>
                          <w:t>％</w:t>
                        </w:r>
                      </w:p>
                    </w:txbxContent>
                  </v:textbox>
                  <v:imagedata o:title=""/>
                  <w10:wrap type="none" anchorx="text" anchory="text"/>
                </v:shape>
                <v:shape id="テキスト ボックス 1" style="height:666;width:656;top:6923;left:10058;position:absolute;" o:spid="_x0000_s1074" filled="f" stroked="f" o:spt="202" type="#_x0000_t202">
                  <v:fill/>
                  <v:textbox style="layout-flow:horizontal;">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過去</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v:textbox>
                  <v:imagedata o:title=""/>
                  <w10:wrap type="none" anchorx="text" anchory="text"/>
                </v:shape>
                <v:shape id="テキスト ボックス 1" style="height:717;width:698;top:7279;left:10073;position:absolute;" o:spid="_x0000_s1075" filled="f" stroked="f" o:spt="202" type="#_x0000_t202">
                  <v:fill/>
                  <v:textbox style="layout-flow:horizontal;">
                    <w:txbxContent>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現在</w:t>
                        </w:r>
                      </w:p>
                      <w:p>
                        <w:pPr>
                          <w:pStyle w:val="0"/>
                          <w:wordWrap w:val="0"/>
                          <w:overflowPunct w:val="1"/>
                          <w:snapToGrid w:val="0"/>
                          <w:spacing w:line="180" w:lineRule="exact"/>
                          <w:ind w:left="0" w:firstLine="0"/>
                          <w:jc w:val="left"/>
                          <w:rPr>
                            <w:rFonts w:hint="eastAsia" w:ascii="ＭＳ ゴシック" w:hAnsi="ＭＳ ゴシック" w:eastAsia="ＭＳ ゴシック"/>
                            <w:sz w:val="22"/>
                          </w:rPr>
                        </w:pPr>
                        <w:r>
                          <w:rPr>
                            <w:rFonts w:hint="eastAsia" w:ascii="ＭＳ ゴシック" w:hAnsi="ＭＳ ゴシック" w:eastAsia="ＭＳ ゴシック"/>
                            <w:color w:val="000000"/>
                            <w:kern w:val="1200"/>
                            <w:sz w:val="14"/>
                          </w:rPr>
                          <w:t>喫煙</w:t>
                        </w:r>
                      </w:p>
                    </w:txbxContent>
                  </v:textbox>
                  <v:imagedata o:title=""/>
                  <w10:wrap type="none" anchorx="text" anchory="text"/>
                </v:shape>
                <v:shape id="テキスト ボックス 2" style="height:630;width:1515;top:5301;left:3177;position:absolute;" o:spid="_x0000_s1076" filled="f" stroked="f" strokeweight="0.75pt" o:spt="202" type="#_x0000_t202">
                  <v:fill/>
                  <v:stroke miterlimit="8"/>
                  <v:textbox style="layout-flow:horizontal;">
                    <w:txbxContent>
                      <w:p>
                        <w:pPr>
                          <w:pStyle w:val="0"/>
                          <w:snapToGrid w:val="0"/>
                          <w:ind w:left="0"/>
                          <w:jc w:val="center"/>
                          <w:rPr>
                            <w:rFonts w:hint="default"/>
                            <w:sz w:val="24"/>
                          </w:rPr>
                        </w:pPr>
                        <w:r>
                          <w:rPr>
                            <w:rFonts w:hint="eastAsia" w:asciiTheme="minorEastAsia" w:hAnsiTheme="minorEastAsia" w:eastAsiaTheme="minorEastAsia"/>
                            <w:color w:val="000000"/>
                            <w:sz w:val="21"/>
                          </w:rPr>
                          <w:t>男性</w:t>
                        </w:r>
                      </w:p>
                    </w:txbxContent>
                  </v:textbox>
                  <v:imagedata o:title=""/>
                  <w10:wrap type="none" anchorx="text" anchory="text"/>
                </v:shape>
                <v:shape id="テキスト ボックス 2" style="height:630;width:1515;top:5258;left:7860;position:absolute;" o:spid="_x0000_s1077" filled="f" stroked="f" strokeweight="0.75pt" o:spt="202" type="#_x0000_t202">
                  <v:fill/>
                  <v:stroke miterlimit="8"/>
                  <v:textbox style="layout-flow:horizontal;">
                    <w:txbxContent>
                      <w:p>
                        <w:pPr>
                          <w:pStyle w:val="0"/>
                          <w:snapToGrid w:val="0"/>
                          <w:ind w:left="0"/>
                          <w:jc w:val="center"/>
                          <w:rPr>
                            <w:rFonts w:hint="default"/>
                            <w:sz w:val="24"/>
                          </w:rPr>
                        </w:pPr>
                        <w:r>
                          <w:rPr>
                            <w:rFonts w:hint="eastAsia" w:asciiTheme="minorEastAsia" w:hAnsiTheme="minorEastAsia" w:eastAsiaTheme="minorEastAsia"/>
                            <w:color w:val="000000"/>
                            <w:sz w:val="21"/>
                          </w:rPr>
                          <w:t>女性</w:t>
                        </w:r>
                      </w:p>
                    </w:txbxContent>
                  </v:textbox>
                  <v:imagedata o:title=""/>
                  <w10:wrap type="none" anchorx="text" anchory="text"/>
                </v:shape>
                <v:group id="_x0000_s1078" style="height:562;width:3897;top:8080;left:5446;position:absolute;" coordsize="3897,397" coordorigin="4646,4691">
                  <v:shape id="オブジェクト 0" style="height:397;width:3765;top:4691;left:4778;position:absolute;" o:spid="_x0000_s1079" filled="t" fillcolor="#ffffff [3212]" stroked="f" strokeweight="0.5pt" o:spt="202" type="#_x0000_t202">
                    <v:fill/>
                    <v:stroke linestyle="single"/>
                    <v:textbox style="layout-flow:horizontal;" inset="2.0637499999999998mm,0.24694444444444438mm,2.0637499999999998mm,0.24694444444444438mm">
                      <w:txbxContent>
                        <w:p>
                          <w:pPr>
                            <w:pStyle w:val="0"/>
                            <w:spacing w:line="240" w:lineRule="auto"/>
                            <w:rPr>
                              <w:rFonts w:hint="eastAsia" w:ascii="ＭＳ ゴシック" w:hAnsi="ＭＳ ゴシック" w:eastAsia="ＭＳ ゴシック"/>
                              <w:sz w:val="14"/>
                            </w:rPr>
                          </w:pPr>
                          <w:r>
                            <w:rPr>
                              <w:rFonts w:hint="eastAsia" w:ascii="ＭＳ ゴシック" w:hAnsi="ＭＳ ゴシック" w:eastAsia="ＭＳ ゴシック"/>
                              <w:sz w:val="14"/>
                            </w:rPr>
                            <w:t>治療中　　　　　未治療</w:t>
                          </w:r>
                        </w:p>
                      </w:txbxContent>
                    </v:textbox>
                    <v:imagedata o:title=""/>
                    <w10:wrap type="none" anchorx="text" anchory="text"/>
                  </v:shape>
                  <v:rect id="オブジェクト 0" style="height:165;width:165;top:4788;left:4646;position:absolute;" o:spid="_x0000_s1080" filled="t" fillcolor="#ffffff [3212]" stroked="t" strokecolor="#ed7d31 [3205]" strokeweight="0.5pt" o:spt="1">
                    <v:fill type="pattern" color2="#ffa6a6" r:id="rId31"/>
                    <v:stroke linestyle="single" miterlimit="8" endcap="flat" dashstyle="solid" filltype="solid"/>
                    <v:textbox style="layout-flow:horizontal;"/>
                    <v:imagedata o:title=""/>
                    <w10:wrap type="none" anchorx="text" anchory="text"/>
                  </v:rect>
                  <v:rect id="オブジェクト 0" style="height:165;width:180;top:4788;left:5697;position:absolute;" o:spid="_x0000_s1081" filled="t" fillcolor="#9dc4e6 [1940]" stroked="t" strokecolor="#9dc4e6 [1940]" strokeweight="0.5pt" o:spt="1">
                    <v:fill type="pattern" color2="#ffffff [3212]" r:id="rId32"/>
                    <v:stroke linestyle="single" miterlimit="8" endcap="flat" dashstyle="solid" filltype="solid"/>
                    <v:textbox style="layout-flow:horizontal;"/>
                    <v:imagedata o:title=""/>
                    <w10:wrap type="none" anchorx="text" anchory="text"/>
                  </v:rect>
                  <w10:wrap type="none" anchorx="text" anchory="text"/>
                </v:group>
                <v:shape id="オブジェクト 0" style="height:588;width:5520;top:8382;left:4930;position:absolute;" o:spid="_x0000_s1082" filled="f" stroked="f" o:spt="202" type="#_x0000_t202">
                  <v:fill/>
                  <v:textbox style="layout-flow:horizontal;" inset="2.0637499999999998mm,0.24694444444444438mm,2.0637499999999998mm,0.24694444444444438mm">
                    <w:txbxContent>
                      <w:p>
                        <w:pPr>
                          <w:pStyle w:val="0"/>
                          <w:spacing w:line="240" w:lineRule="exact"/>
                          <w:jc w:val="right"/>
                          <w:rPr>
                            <w:rFonts w:hint="eastAsia"/>
                          </w:rPr>
                        </w:pPr>
                        <w:r>
                          <w:rPr>
                            <w:rFonts w:hint="eastAsia"/>
                            <w:color w:val="auto"/>
                            <w:sz w:val="16"/>
                          </w:rPr>
                          <w:t>出典：令和４年高知県脳卒中患者実態調査</w:t>
                        </w:r>
                        <w:r>
                          <w:rPr>
                            <w:rFonts w:hint="eastAsia"/>
                          </w:rPr>
                          <w:br w:type="textWrapping" w:clear="none"/>
                        </w:r>
                        <w:r>
                          <w:rPr>
                            <w:rFonts w:hint="eastAsia"/>
                            <w:color w:val="auto"/>
                            <w:sz w:val="16"/>
                          </w:rPr>
                          <w:t>＊</w:t>
                        </w:r>
                        <w:r>
                          <w:rPr>
                            <w:rFonts w:hint="eastAsia"/>
                            <w:color w:val="auto"/>
                            <w:sz w:val="16"/>
                          </w:rPr>
                          <w:t xml:space="preserve"> </w:t>
                        </w:r>
                        <w:r>
                          <w:rPr>
                            <w:rFonts w:hint="eastAsia"/>
                            <w:color w:val="auto"/>
                            <w:sz w:val="16"/>
                          </w:rPr>
                          <w:t>調査協力医療機関において入院中に診断された者も含む</w:t>
                        </w:r>
                      </w:p>
                    </w:txbxContent>
                  </v:textbox>
                  <v:imagedata o:title=""/>
                  <w10:wrap type="none" anchorx="text" anchory="text"/>
                </v:shape>
                <w10:wrap type="none" anchorx="text" anchory="text"/>
              </v:group>
            </w:pict>
          </mc:Fallback>
        </mc:AlternateContent>
      </w: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jc w:val="center"/>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highlight w:val="none"/>
          <w:u w:val="none" w:color="auto"/>
        </w:rPr>
      </w:pPr>
    </w:p>
    <w:p>
      <w:pPr>
        <w:pStyle w:val="0"/>
        <w:spacing w:line="240" w:lineRule="auto"/>
        <w:ind w:left="227" w:leftChars="100" w:firstLine="227" w:firstLineChars="100"/>
        <w:rPr>
          <w:rFonts w:hint="eastAsia" w:ascii="ＭＳ 明朝" w:hAnsi="ＭＳ 明朝" w:eastAsia="ＭＳ 明朝"/>
          <w:color w:val="auto"/>
          <w:sz w:val="21"/>
          <w:highlight w:val="none"/>
          <w:u w:val="none" w:color="auto"/>
        </w:rPr>
      </w:pPr>
    </w:p>
    <w:p>
      <w:pPr>
        <w:pStyle w:val="0"/>
        <w:spacing w:line="240" w:lineRule="auto"/>
        <w:ind w:left="227" w:leftChars="100" w:firstLine="227" w:firstLineChars="100"/>
        <w:jc w:val="right"/>
        <w:rPr>
          <w:rFonts w:hint="eastAsia" w:ascii="ＭＳ 明朝" w:hAnsi="ＭＳ 明朝" w:eastAsia="ＭＳ 明朝"/>
          <w:color w:val="auto"/>
          <w:sz w:val="21"/>
          <w:highlight w:val="none"/>
          <w:u w:val="none" w:color="auto"/>
        </w:rPr>
      </w:pPr>
    </w:p>
    <w:p>
      <w:pPr>
        <w:pStyle w:val="0"/>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心原性脳塞栓症で</w:t>
      </w:r>
      <w:r>
        <w:rPr>
          <w:rFonts w:hint="eastAsia" w:ascii="ＭＳ 明朝" w:hAnsi="ＭＳ 明朝" w:eastAsia="ＭＳ 明朝"/>
          <w:b w:val="0"/>
          <w:color w:val="auto"/>
          <w:sz w:val="22"/>
          <w:highlight w:val="none"/>
        </w:rPr>
        <w:t>は心房細動が危険因子であるため、</w:t>
      </w:r>
      <w:r>
        <w:rPr>
          <w:rFonts w:hint="eastAsia" w:ascii="ＭＳ 明朝" w:hAnsi="ＭＳ 明朝" w:eastAsia="ＭＳ 明朝"/>
          <w:color w:val="auto"/>
          <w:sz w:val="22"/>
          <w:highlight w:val="none"/>
          <w:u w:val="none" w:color="auto"/>
        </w:rPr>
        <w:t>抗凝固療法が強く勧められますが、心原性脳塞栓症患者のうち発症前に心房細動を治療していた者（抗凝固療法ありの者）の割合は約４割にとどまっており、心房細動患者の早期発見と適切な治療が重要です（図表</w:t>
      </w:r>
      <w:r>
        <w:rPr>
          <w:rFonts w:hint="eastAsia" w:ascii="ＭＳ 明朝" w:hAnsi="ＭＳ 明朝" w:eastAsia="ＭＳ 明朝"/>
          <w:color w:val="auto"/>
          <w:sz w:val="22"/>
          <w:highlight w:val="none"/>
          <w:u w:val="none" w:color="auto"/>
        </w:rPr>
        <w:t>6-2-10</w:t>
      </w:r>
      <w:r>
        <w:rPr>
          <w:rFonts w:hint="eastAsia" w:ascii="ＭＳ 明朝" w:hAnsi="ＭＳ 明朝" w:eastAsia="ＭＳ 明朝"/>
          <w:color w:val="auto"/>
          <w:sz w:val="22"/>
          <w:highlight w:val="none"/>
          <w:u w:val="none" w:color="auto"/>
        </w:rPr>
        <w:t>）。</w:t>
      </w:r>
    </w:p>
    <w:p>
      <w:pPr>
        <w:pStyle w:val="0"/>
        <w:spacing w:line="240" w:lineRule="auto"/>
        <w:rPr>
          <w:rFonts w:hint="eastAsia" w:ascii="ＭＳ 明朝" w:hAnsi="ＭＳ 明朝" w:eastAsia="ＭＳ 明朝"/>
          <w:b w:val="0"/>
          <w:color w:val="auto"/>
          <w:highlight w:val="none"/>
        </w:rPr>
      </w:pPr>
      <w:r>
        <w:rPr>
          <w:rFonts w:hint="eastAsia"/>
        </w:rPr>
        <mc:AlternateContent>
          <mc:Choice Requires="wpg">
            <w:drawing>
              <wp:anchor simplePos="0" relativeHeight="59" behindDoc="0" locked="0" layoutInCell="1" hidden="0" allowOverlap="1">
                <wp:simplePos x="0" y="0"/>
                <wp:positionH relativeFrom="column">
                  <wp:posOffset>2540</wp:posOffset>
                </wp:positionH>
                <wp:positionV relativeFrom="paragraph">
                  <wp:posOffset>140970</wp:posOffset>
                </wp:positionV>
                <wp:extent cx="5962650" cy="2550160"/>
                <wp:effectExtent l="0" t="0" r="635" b="635"/>
                <wp:wrapNone/>
                <wp:docPr id="1083" name="オブジェクト 0"/>
                <a:graphic xmlns:a="http://schemas.openxmlformats.org/drawingml/2006/main">
                  <a:graphicData uri="http://schemas.microsoft.com/office/word/2010/wordprocessingGroup">
                    <wpg:wgp>
                      <wpg:cNvGrpSpPr/>
                      <wpg:grpSpPr>
                        <a:xfrm>
                          <a:off x="0" y="0"/>
                          <a:ext cx="5962650" cy="2550160"/>
                          <a:chOff x="1422" y="10645"/>
                          <a:chExt cx="9390" cy="4016"/>
                        </a:xfrm>
                      </wpg:grpSpPr>
                      <wps:wsp>
                        <wps:cNvPr id="1084" name="テキスト ボックス 2"/>
                        <wps:cNvSpPr txBox="1">
                          <a:spLocks noChangeArrowheads="1"/>
                        </wps:cNvSpPr>
                        <wps:spPr>
                          <a:xfrm>
                            <a:off x="1422" y="10645"/>
                            <a:ext cx="9390" cy="525"/>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6-2-10</w:t>
                              </w:r>
                              <w:r>
                                <w:rPr>
                                  <w:rFonts w:hint="eastAsia" w:ascii="ＭＳ ゴシック" w:hAnsi="ＭＳ ゴシック" w:eastAsia="ＭＳ ゴシック"/>
                                  <w:color w:val="auto"/>
                                  <w:sz w:val="22"/>
                                  <w:u w:val="none" w:color="auto"/>
                                </w:rPr>
                                <w:t>）心原性脳塞栓症患者のうち、発症前に心房細動を治療していた者の割合</w:t>
                              </w:r>
                            </w:p>
                          </w:txbxContent>
                        </wps:txbx>
                        <wps:bodyPr vertOverflow="overflow" horzOverflow="overflow" wrap="square"/>
                      </wps:wsp>
                      <wps:wsp>
                        <wps:cNvPr id="1085" name="オブジェクト 0"/>
                        <wps:cNvSpPr txBox="1">
                          <a:spLocks noChangeArrowheads="1"/>
                        </wps:cNvSpPr>
                        <wps:spPr>
                          <a:xfrm>
                            <a:off x="7325" y="14257"/>
                            <a:ext cx="2917" cy="404"/>
                          </a:xfrm>
                          <a:prstGeom prst="rect">
                            <a:avLst/>
                          </a:prstGeom>
                          <a:noFill/>
                          <a:ln>
                            <a:miter/>
                          </a:ln>
                        </wps:spPr>
                        <wps:txbx>
                          <w:txbxContent>
                            <w:p>
                              <w:pPr>
                                <w:pStyle w:val="0"/>
                                <w:rPr>
                                  <w:rFonts w:hint="eastAsia"/>
                                </w:rPr>
                              </w:pPr>
                              <w:r>
                                <w:rPr>
                                  <w:rFonts w:hint="eastAsia"/>
                                  <w:color w:val="auto"/>
                                  <w:sz w:val="16"/>
                                </w:rPr>
                                <w:t>出典：高知県脳卒中患者実態調査</w:t>
                              </w:r>
                            </w:p>
                          </w:txbxContent>
                        </wps:txbx>
                        <wps:bodyPr vertOverflow="overflow" horzOverflow="overflow" wrap="square" lIns="74295" tIns="8890" rIns="74295" bIns="8890" upright="1"/>
                      </wps:wsp>
                      <wpg:graphicFrame>
                        <wpg:cNvPr id="1086" name="オブジェクト 0"/>
                        <wpg:cNvFrPr/>
                        <wpg:xfrm>
                          <a:off x="1646" y="11046"/>
                          <a:ext cx="8441" cy="3171"/>
                        </wpg:xfrm>
                        <a:graphic>
                          <a:graphicData uri="http://schemas.openxmlformats.org/drawingml/2006/chart">
                            <c:chart xmlns:c="http://schemas.openxmlformats.org/drawingml/2006/chart" r:id="rId33"/>
                          </a:graphicData>
                        </a:graphic>
                      </wpg:graphicFrame>
                    </wpg:wgp>
                  </a:graphicData>
                </a:graphic>
              </wp:anchor>
            </w:drawing>
          </mc:Choice>
          <mc:Fallback>
            <w:pict>
              <v:group id="オブジェクト 0" style="margin-top:11.1pt;mso-position-vertical-relative:text;mso-position-horizontal-relative:text;position:absolute;height:200.8pt;width:469.5pt;margin-left:0.2pt;z-index:59;" coordsize="9390,4016" coordorigin="1422,10645" o:spid="_x0000_s1083" o:allowincell="t" o:allowoverlap="t">
                <v:shapetype id="_x0000_t202" coordsize="21600,21600" o:spt="202" path="m,l,21600r21600,l21600,xe">
                  <v:stroke joinstyle="miter"/>
                  <v:path gradientshapeok="t" o:connecttype="rect"/>
                </v:shapetype>
                <v:shape id="テキスト ボックス 2" style="height:525;width:9390;top:10645;left:1422;position:absolute;" o:spid="_x0000_s1084"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6-2-10</w:t>
                        </w:r>
                        <w:r>
                          <w:rPr>
                            <w:rFonts w:hint="eastAsia" w:ascii="ＭＳ ゴシック" w:hAnsi="ＭＳ ゴシック" w:eastAsia="ＭＳ ゴシック"/>
                            <w:color w:val="auto"/>
                            <w:sz w:val="22"/>
                            <w:u w:val="none" w:color="auto"/>
                          </w:rPr>
                          <w:t>）心原性脳塞栓症患者のうち、発症前に心房細動を治療していた者の割合</w:t>
                        </w:r>
                      </w:p>
                    </w:txbxContent>
                  </v:textbox>
                  <v:imagedata o:title=""/>
                  <w10:wrap type="none" anchorx="text" anchory="text"/>
                </v:shape>
                <v:shape id="オブジェクト 0" style="height:404;width:2917;top:14257;left:7325;position:absolute;" o:spid="_x0000_s1085" filled="f" stroked="f" o:spt="202" type="#_x0000_t202">
                  <v:fill/>
                  <v:textbox style="layout-flow:horizontal;" inset="2.0637499999999998mm,0.24694444444444438mm,2.0637499999999998mm,0.24694444444444438mm">
                    <w:txbxContent>
                      <w:p>
                        <w:pPr>
                          <w:pStyle w:val="0"/>
                          <w:rPr>
                            <w:rFonts w:hint="eastAsia"/>
                          </w:rPr>
                        </w:pPr>
                        <w:r>
                          <w:rPr>
                            <w:rFonts w:hint="eastAsia"/>
                            <w:color w:val="auto"/>
                            <w:sz w:val="16"/>
                          </w:rPr>
                          <w:t>出典：高知県脳卒中患者実態調査</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171;width:8441;top:11046;left:1646;position:absolute;" o:spid="_x0000_s1086" filled="f" stroked="f" o:spt="75" type="#_x0000_t75">
                  <v:fill/>
                  <v:imagedata o:title="" r:id="rId34"/>
                  <w10:wrap type="none" anchorx="text" anchory="text"/>
                </v:shape>
                <w10:wrap type="none" anchorx="text" anchory="text"/>
              </v:group>
            </w:pict>
          </mc:Fallback>
        </mc:AlternateContent>
      </w:r>
      <w:r>
        <w:rPr>
          <w:rFonts w:hint="eastAsia" w:ascii="ＭＳ 明朝" w:hAnsi="ＭＳ 明朝" w:eastAsia="ＭＳ 明朝"/>
          <w:color w:val="auto"/>
          <w:sz w:val="18"/>
          <w:highlight w:val="none"/>
          <w:u w:val="none" w:color="auto"/>
        </w:rPr>
        <w:t>　</w:t>
      </w:r>
    </w:p>
    <w:p>
      <w:pPr>
        <w:pStyle w:val="0"/>
        <w:spacing w:line="240" w:lineRule="auto"/>
        <w:rPr>
          <w:rFonts w:hint="eastAsia" w:ascii="ＭＳ 明朝" w:hAnsi="ＭＳ 明朝" w:eastAsia="ＭＳ 明朝"/>
          <w:b w:val="0"/>
          <w:color w:val="auto"/>
          <w:highlight w:val="none"/>
        </w:rPr>
      </w:pPr>
      <w:r>
        <w:rPr>
          <w:rFonts w:hint="eastAsia" w:ascii="ＭＳ 明朝" w:hAnsi="ＭＳ 明朝" w:eastAsia="ＭＳ 明朝"/>
          <w:highlight w:val="none"/>
        </w:rPr>
        <w:br w:type="page"/>
      </w:r>
    </w:p>
    <w:p>
      <w:pPr>
        <w:pStyle w:val="0"/>
        <w:ind w:left="221" w:leftChars="100" w:right="272" w:rightChars="123" w:firstLine="221" w:firstLineChars="10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u w:val="none" w:color="auto"/>
        </w:rPr>
        <w:t>さらに、高知県脳卒中患者実態調査と高知地方気象台の気象データを用いた分析結果</w:t>
      </w:r>
      <w:r>
        <w:rPr>
          <w:rFonts w:hint="eastAsia" w:ascii="ＭＳ 明朝" w:hAnsi="ＭＳ 明朝" w:eastAsia="ＭＳ 明朝"/>
          <w:b w:val="0"/>
          <w:color w:val="auto"/>
          <w:sz w:val="22"/>
          <w:highlight w:val="none"/>
          <w:u w:val="none" w:color="auto"/>
          <w:vertAlign w:val="superscript"/>
        </w:rPr>
        <w:t>（注３）</w:t>
      </w:r>
      <w:r>
        <w:rPr>
          <w:rFonts w:hint="eastAsia" w:ascii="ＭＳ 明朝" w:hAnsi="ＭＳ 明朝" w:eastAsia="ＭＳ 明朝"/>
          <w:b w:val="0"/>
          <w:color w:val="auto"/>
          <w:sz w:val="22"/>
          <w:highlight w:val="none"/>
          <w:u w:val="none" w:color="auto"/>
        </w:rPr>
        <w:t>によると、前日の最高気温から当日の最低気温への気温下降がくも膜下出血の発症因子となる可能性が示唆されており、特に</w:t>
      </w:r>
      <w:r>
        <w:rPr>
          <w:rFonts w:hint="eastAsia" w:ascii="ＭＳ 明朝" w:hAnsi="ＭＳ 明朝" w:eastAsia="ＭＳ 明朝"/>
          <w:b w:val="0"/>
          <w:color w:val="auto"/>
          <w:sz w:val="22"/>
          <w:highlight w:val="none"/>
          <w:u w:val="none" w:color="auto"/>
        </w:rPr>
        <w:t>65</w:t>
      </w:r>
      <w:r>
        <w:rPr>
          <w:rFonts w:hint="eastAsia" w:ascii="ＭＳ 明朝" w:hAnsi="ＭＳ 明朝" w:eastAsia="ＭＳ 明朝"/>
          <w:b w:val="0"/>
          <w:color w:val="auto"/>
          <w:sz w:val="22"/>
          <w:highlight w:val="none"/>
          <w:u w:val="none" w:color="auto"/>
        </w:rPr>
        <w:t>歳未満の発症に強く関与する可能性が示唆されています。</w:t>
      </w:r>
    </w:p>
    <w:p>
      <w:pPr>
        <w:pStyle w:val="0"/>
        <w:tabs>
          <w:tab w:val="left" w:leader="none" w:pos="7704"/>
        </w:tabs>
        <w:spacing w:before="0" w:beforeLines="0" w:beforeAutospacing="0" w:line="240" w:lineRule="auto"/>
        <w:ind w:firstLine="167" w:firstLineChars="100"/>
        <w:rPr>
          <w:rFonts w:hint="eastAsia" w:ascii="ＭＳ 明朝" w:hAnsi="ＭＳ 明朝" w:eastAsia="ＭＳ 明朝"/>
          <w:b w:val="0"/>
          <w:color w:val="auto"/>
          <w:sz w:val="16"/>
          <w:highlight w:val="none"/>
        </w:rPr>
      </w:pPr>
      <w:r>
        <w:rPr>
          <w:rFonts w:hint="eastAsia" w:ascii="ＭＳ 明朝" w:hAnsi="ＭＳ 明朝" w:eastAsia="ＭＳ 明朝"/>
          <w:b w:val="0"/>
          <w:color w:val="auto"/>
          <w:sz w:val="16"/>
          <w:highlight w:val="none"/>
        </w:rPr>
        <w:t>（注３）</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rPr>
        <w:t>Fukuda H J Neurosurg. 2019 Jul 5:1-9. doi: 10.3171/2019.4.JNS19175.</w:t>
      </w:r>
    </w:p>
    <w:p>
      <w:pPr>
        <w:pStyle w:val="0"/>
        <w:tabs>
          <w:tab w:val="left" w:leader="none" w:pos="7704"/>
        </w:tabs>
        <w:spacing w:before="0" w:beforeLines="0" w:beforeAutospacing="0" w:line="240" w:lineRule="auto"/>
        <w:rPr>
          <w:rFonts w:hint="eastAsia" w:ascii="ＭＳ 明朝" w:hAnsi="ＭＳ 明朝" w:eastAsia="ＭＳ 明朝"/>
          <w:b w:val="0"/>
          <w:color w:val="auto"/>
          <w:highlight w:val="none"/>
        </w:rPr>
      </w:pPr>
    </w:p>
    <w:p>
      <w:pPr>
        <w:pStyle w:val="0"/>
        <w:rPr>
          <w:rFonts w:hint="eastAsia" w:ascii="ＭＳ 明朝" w:hAnsi="ＭＳ 明朝" w:eastAsia="ＭＳ 明朝"/>
          <w:b w:val="1"/>
          <w:color w:val="002060"/>
          <w:sz w:val="22"/>
          <w:highlight w:val="none"/>
        </w:rPr>
      </w:pPr>
      <w:r>
        <w:rPr>
          <w:rFonts w:hint="eastAsia" w:ascii="ＭＳ 明朝" w:hAnsi="ＭＳ 明朝" w:eastAsia="ＭＳ 明朝"/>
          <w:b w:val="1"/>
          <w:color w:val="0070C0"/>
          <w:sz w:val="24"/>
          <w:highlight w:val="none"/>
        </w:rPr>
        <w:t>２　脳卒中の発症と死亡</w:t>
      </w:r>
    </w:p>
    <w:p>
      <w:pPr>
        <w:pStyle w:val="0"/>
        <w:tabs>
          <w:tab w:val="left" w:leader="none" w:pos="7704"/>
        </w:tabs>
        <w:spacing w:before="0" w:beforeLines="0" w:beforeAutospacing="0" w:line="240" w:lineRule="auto"/>
        <w:rPr>
          <w:rFonts w:hint="eastAsia" w:ascii="ＭＳ 明朝" w:hAnsi="ＭＳ 明朝" w:eastAsia="ＭＳ 明朝"/>
          <w:b w:val="1"/>
          <w:color w:val="auto"/>
          <w:sz w:val="22"/>
          <w:highlight w:val="none"/>
          <w:u w:val="none" w:color="auto"/>
        </w:rPr>
      </w:pPr>
      <w:r>
        <w:rPr>
          <w:rFonts w:hint="eastAsia" w:ascii="ＭＳ 明朝" w:hAnsi="ＭＳ 明朝" w:eastAsia="ＭＳ 明朝"/>
          <w:b w:val="1"/>
          <w:color w:val="auto"/>
          <w:sz w:val="22"/>
          <w:highlight w:val="none"/>
          <w:u w:val="none" w:color="auto"/>
        </w:rPr>
        <w:t>（１）病型割合と患者数等</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rPr>
        <w:t>高知県脳卒中患者実態調査によると、</w:t>
      </w:r>
      <w:r>
        <w:rPr>
          <w:rFonts w:hint="eastAsia" w:ascii="ＭＳ 明朝" w:hAnsi="ＭＳ 明朝" w:eastAsia="ＭＳ 明朝"/>
          <w:color w:val="auto"/>
          <w:sz w:val="22"/>
          <w:highlight w:val="none"/>
          <w:u w:val="none" w:color="auto"/>
        </w:rPr>
        <w:t>近年の発症者数は</w:t>
      </w:r>
      <w:r>
        <w:rPr>
          <w:rFonts w:hint="eastAsia" w:ascii="ＭＳ 明朝" w:hAnsi="ＭＳ 明朝" w:eastAsia="ＭＳ 明朝"/>
          <w:color w:val="auto"/>
          <w:sz w:val="22"/>
          <w:highlight w:val="none"/>
          <w:u w:val="none" w:color="auto"/>
        </w:rPr>
        <w:t>3,000</w:t>
      </w:r>
      <w:r>
        <w:rPr>
          <w:rFonts w:hint="eastAsia" w:ascii="ＭＳ 明朝" w:hAnsi="ＭＳ 明朝" w:eastAsia="ＭＳ 明朝"/>
          <w:color w:val="auto"/>
          <w:sz w:val="22"/>
          <w:highlight w:val="none"/>
          <w:u w:val="none" w:color="auto"/>
        </w:rPr>
        <w:t>人超で推移しています。令和４年の病型別発症者数は、ラクナ梗塞が最も多く</w:t>
      </w:r>
      <w:r>
        <w:rPr>
          <w:rFonts w:hint="eastAsia" w:ascii="ＭＳ 明朝" w:hAnsi="ＭＳ 明朝" w:eastAsia="ＭＳ 明朝"/>
          <w:color w:val="auto"/>
          <w:sz w:val="22"/>
          <w:highlight w:val="none"/>
          <w:u w:val="none" w:color="auto"/>
        </w:rPr>
        <w:t>764</w:t>
      </w:r>
      <w:r>
        <w:rPr>
          <w:rFonts w:hint="eastAsia" w:ascii="ＭＳ 明朝" w:hAnsi="ＭＳ 明朝" w:eastAsia="ＭＳ 明朝"/>
          <w:color w:val="auto"/>
          <w:sz w:val="22"/>
          <w:highlight w:val="none"/>
          <w:u w:val="none" w:color="auto"/>
        </w:rPr>
        <w:t>人（</w:t>
      </w:r>
      <w:r>
        <w:rPr>
          <w:rFonts w:hint="eastAsia" w:ascii="ＭＳ 明朝" w:hAnsi="ＭＳ 明朝" w:eastAsia="ＭＳ 明朝"/>
          <w:color w:val="auto"/>
          <w:sz w:val="22"/>
          <w:highlight w:val="none"/>
          <w:u w:val="none" w:color="auto"/>
        </w:rPr>
        <w:t>25.1</w:t>
      </w:r>
      <w:r>
        <w:rPr>
          <w:rFonts w:hint="eastAsia" w:ascii="ＭＳ 明朝" w:hAnsi="ＭＳ 明朝" w:eastAsia="ＭＳ 明朝"/>
          <w:color w:val="auto"/>
          <w:sz w:val="22"/>
          <w:highlight w:val="none"/>
          <w:u w:val="none" w:color="auto"/>
        </w:rPr>
        <w:t>％）、次いでアテローム血栓性梗塞</w:t>
      </w:r>
      <w:r>
        <w:rPr>
          <w:rFonts w:hint="eastAsia" w:ascii="ＭＳ 明朝" w:hAnsi="ＭＳ 明朝" w:eastAsia="ＭＳ 明朝"/>
          <w:color w:val="auto"/>
          <w:sz w:val="22"/>
          <w:highlight w:val="none"/>
          <w:u w:val="none" w:color="auto"/>
        </w:rPr>
        <w:t>709</w:t>
      </w:r>
      <w:r>
        <w:rPr>
          <w:rFonts w:hint="eastAsia" w:ascii="ＭＳ 明朝" w:hAnsi="ＭＳ 明朝" w:eastAsia="ＭＳ 明朝"/>
          <w:color w:val="auto"/>
          <w:sz w:val="22"/>
          <w:highlight w:val="none"/>
          <w:u w:val="none" w:color="auto"/>
        </w:rPr>
        <w:t>人（</w:t>
      </w:r>
      <w:r>
        <w:rPr>
          <w:rFonts w:hint="eastAsia" w:ascii="ＭＳ 明朝" w:hAnsi="ＭＳ 明朝" w:eastAsia="ＭＳ 明朝"/>
          <w:color w:val="auto"/>
          <w:sz w:val="22"/>
          <w:highlight w:val="none"/>
          <w:u w:val="none" w:color="auto"/>
        </w:rPr>
        <w:t>23.3</w:t>
      </w:r>
      <w:r>
        <w:rPr>
          <w:rFonts w:hint="eastAsia" w:ascii="ＭＳ 明朝" w:hAnsi="ＭＳ 明朝" w:eastAsia="ＭＳ 明朝"/>
          <w:color w:val="auto"/>
          <w:sz w:val="22"/>
          <w:highlight w:val="none"/>
          <w:u w:val="none" w:color="auto"/>
        </w:rPr>
        <w:t>％）、脳内出血</w:t>
      </w:r>
      <w:r>
        <w:rPr>
          <w:rFonts w:hint="eastAsia" w:ascii="ＭＳ 明朝" w:hAnsi="ＭＳ 明朝" w:eastAsia="ＭＳ 明朝"/>
          <w:color w:val="auto"/>
          <w:sz w:val="22"/>
          <w:highlight w:val="none"/>
          <w:u w:val="none" w:color="auto"/>
        </w:rPr>
        <w:t>550</w:t>
      </w:r>
      <w:r>
        <w:rPr>
          <w:rFonts w:hint="eastAsia" w:ascii="ＭＳ 明朝" w:hAnsi="ＭＳ 明朝" w:eastAsia="ＭＳ 明朝"/>
          <w:color w:val="auto"/>
          <w:sz w:val="22"/>
          <w:highlight w:val="none"/>
          <w:u w:val="none" w:color="auto"/>
        </w:rPr>
        <w:t>人（</w:t>
      </w:r>
      <w:r>
        <w:rPr>
          <w:rFonts w:hint="eastAsia" w:ascii="ＭＳ 明朝" w:hAnsi="ＭＳ 明朝" w:eastAsia="ＭＳ 明朝"/>
          <w:color w:val="auto"/>
          <w:sz w:val="22"/>
          <w:highlight w:val="none"/>
          <w:u w:val="none" w:color="auto"/>
        </w:rPr>
        <w:t>18.0</w:t>
      </w:r>
      <w:r>
        <w:rPr>
          <w:rFonts w:hint="eastAsia" w:ascii="ＭＳ 明朝" w:hAnsi="ＭＳ 明朝" w:eastAsia="ＭＳ 明朝"/>
          <w:color w:val="auto"/>
          <w:sz w:val="22"/>
          <w:highlight w:val="none"/>
          <w:u w:val="none" w:color="auto"/>
        </w:rPr>
        <w:t>％）となっています（図表</w:t>
      </w:r>
      <w:r>
        <w:rPr>
          <w:rFonts w:hint="eastAsia" w:ascii="ＭＳ 明朝" w:hAnsi="ＭＳ 明朝" w:eastAsia="ＭＳ 明朝"/>
          <w:color w:val="auto"/>
          <w:sz w:val="22"/>
          <w:highlight w:val="none"/>
          <w:u w:val="none" w:color="auto"/>
        </w:rPr>
        <w:t>6-2-11</w:t>
      </w:r>
      <w:r>
        <w:rPr>
          <w:rFonts w:hint="eastAsia" w:ascii="ＭＳ 明朝" w:hAnsi="ＭＳ 明朝" w:eastAsia="ＭＳ 明朝"/>
          <w:color w:val="auto"/>
          <w:sz w:val="22"/>
          <w:highlight w:val="none"/>
          <w:u w:val="none" w:color="auto"/>
        </w:rPr>
        <w:t>）。</w:t>
      </w:r>
    </w:p>
    <w:p>
      <w:pPr>
        <w:pStyle w:val="0"/>
        <w:snapToGrid w:val="0"/>
        <w:spacing w:before="64" w:beforeLines="20" w:beforeAutospacing="0" w:line="180" w:lineRule="atLeast"/>
        <w:ind w:firstLine="333" w:firstLineChars="200"/>
        <w:jc w:val="center"/>
        <w:rPr>
          <w:rFonts w:hint="eastAsia" w:ascii="ＭＳ 明朝" w:hAnsi="ＭＳ 明朝" w:eastAsia="ＭＳ 明朝"/>
          <w:color w:val="auto"/>
          <w:highlight w:val="none"/>
          <w:u w:val="none" w:color="auto"/>
        </w:rPr>
      </w:pPr>
      <w:r>
        <w:rPr>
          <w:rFonts w:hint="eastAsia"/>
        </w:rPr>
        <mc:AlternateContent>
          <mc:Choice Requires="wpg">
            <w:drawing>
              <wp:anchor simplePos="0" relativeHeight="63" behindDoc="0" locked="0" layoutInCell="1" hidden="0" allowOverlap="1">
                <wp:simplePos x="0" y="0"/>
                <wp:positionH relativeFrom="column">
                  <wp:posOffset>85725</wp:posOffset>
                </wp:positionH>
                <wp:positionV relativeFrom="paragraph">
                  <wp:posOffset>68580</wp:posOffset>
                </wp:positionV>
                <wp:extent cx="5575300" cy="3209290"/>
                <wp:effectExtent l="0" t="0" r="0" b="0"/>
                <wp:wrapNone/>
                <wp:docPr id="1087" name="オブジェクト 0"/>
                <a:graphic xmlns:a="http://schemas.openxmlformats.org/drawingml/2006/main">
                  <a:graphicData uri="http://schemas.microsoft.com/office/word/2010/wordprocessingGroup">
                    <wpg:wgp>
                      <wpg:cNvGrpSpPr/>
                      <wpg:grpSpPr>
                        <a:xfrm>
                          <a:off x="0" y="0"/>
                          <a:ext cx="5575300" cy="3209290"/>
                          <a:chOff x="1553" y="5277"/>
                          <a:chExt cx="8780" cy="5054"/>
                        </a:xfrm>
                      </wpg:grpSpPr>
                      <wps:wsp>
                        <wps:cNvPr id="1088" name="オブジェクト 0"/>
                        <wps:cNvSpPr txBox="1"/>
                        <wps:spPr>
                          <a:xfrm>
                            <a:off x="1756" y="5277"/>
                            <a:ext cx="8565" cy="4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6-2-11</w:t>
                              </w:r>
                              <w:r>
                                <w:rPr>
                                  <w:rFonts w:hint="eastAsia" w:ascii="ＭＳ ゴシック" w:hAnsi="ＭＳ ゴシック" w:eastAsia="ＭＳ ゴシック"/>
                                  <w:color w:val="auto"/>
                                  <w:sz w:val="22"/>
                                  <w:u w:val="none" w:color="auto"/>
                                </w:rPr>
                                <w:t>）</w:t>
                              </w:r>
                              <w:r>
                                <w:rPr>
                                  <w:rFonts w:hint="eastAsia" w:ascii="ＭＳ ゴシック" w:hAnsi="ＭＳ ゴシック" w:eastAsia="ＭＳ ゴシック"/>
                                  <w:sz w:val="22"/>
                                </w:rPr>
                                <w:t>脳血管疾患発症者数の推移</w:t>
                              </w:r>
                            </w:p>
                          </w:txbxContent>
                        </wps:txbx>
                        <wps:bodyPr vertOverflow="overflow" horzOverflow="overflow" wrap="square" lIns="74295" tIns="8890" rIns="74295" bIns="8890"/>
                      </wps:wsp>
                      <wpg:grpSp>
                        <wpg:cNvGrpSpPr/>
                        <wpg:grpSpPr>
                          <a:xfrm>
                            <a:off x="1553" y="5560"/>
                            <a:ext cx="8780" cy="4771"/>
                            <a:chOff x="1553" y="5560"/>
                            <a:chExt cx="8780" cy="4771"/>
                          </a:xfrm>
                        </wpg:grpSpPr>
                        <wpg:graphicFrame>
                          <wpg:cNvPr id="1090" name="オブジェクト 0"/>
                          <wpg:cNvFrPr/>
                          <wpg:xfrm>
                            <a:off x="1553" y="5917"/>
                            <a:ext cx="8780" cy="4414"/>
                          </wpg:xfrm>
                          <a:graphic>
                            <a:graphicData uri="http://schemas.openxmlformats.org/drawingml/2006/chart">
                              <c:chart xmlns:c="http://schemas.openxmlformats.org/drawingml/2006/chart" r:id="rId35"/>
                            </a:graphicData>
                          </a:graphic>
                        </wpg:graphicFrame>
                        <wps:wsp>
                          <wps:cNvPr id="1091" name="オブジェクト 0"/>
                          <wps:cNvSpPr txBox="1"/>
                          <wps:spPr>
                            <a:xfrm>
                              <a:off x="1763" y="5560"/>
                              <a:ext cx="805" cy="394"/>
                            </a:xfrm>
                            <a:prstGeom prst="rect">
                              <a:avLst/>
                            </a:prstGeom>
                            <a:noFill/>
                            <a:ln w="6350" cmpd="sng">
                              <a:noFill/>
                            </a:ln>
                          </wps:spPr>
                          <wps:txbx>
                            <w:txbxContent>
                              <w:p>
                                <w:pPr>
                                  <w:pStyle w:val="0"/>
                                  <w:snapToGrid w:val="0"/>
                                  <w:rPr>
                                    <w:rFonts w:hint="default"/>
                                  </w:rPr>
                                </w:pPr>
                                <w:r>
                                  <w:rPr>
                                    <w:rFonts w:hint="eastAsia" w:ascii="ＭＳ ゴシック" w:hAnsi="ＭＳ ゴシック" w:eastAsia="ＭＳ ゴシック"/>
                                    <w:sz w:val="16"/>
                                  </w:rPr>
                                  <w:t>（人）</w:t>
                                </w:r>
                              </w:p>
                            </w:txbxContent>
                          </wps:txbx>
                          <wps:bodyPr vertOverflow="overflow" horzOverflow="overflow" wrap="square" lIns="74295" tIns="8890" rIns="74295" bIns="8890"/>
                        </wps:wsp>
                        <wps:wsp>
                          <wps:cNvPr id="1092" name="オブジェクト 0"/>
                          <wps:cNvSpPr txBox="1"/>
                          <wps:spPr>
                            <a:xfrm>
                              <a:off x="2330" y="5789"/>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3,781</w:t>
                                </w:r>
                              </w:p>
                            </w:txbxContent>
                          </wps:txbx>
                          <wps:bodyPr vertOverflow="overflow" horzOverflow="overflow" wrap="square" lIns="74295" tIns="8890" rIns="74295" bIns="8890"/>
                        </wps:wsp>
                        <wps:wsp>
                          <wps:cNvPr id="1093" name="オブジェクト 0"/>
                          <wps:cNvSpPr txBox="1"/>
                          <wps:spPr>
                            <a:xfrm>
                              <a:off x="2998" y="6315"/>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3,170</w:t>
                                </w:r>
                              </w:p>
                            </w:txbxContent>
                          </wps:txbx>
                          <wps:bodyPr vertOverflow="overflow" horzOverflow="overflow" wrap="square" lIns="74295" tIns="8890" rIns="74295" bIns="8890"/>
                        </wps:wsp>
                        <wps:wsp>
                          <wps:cNvPr id="1094" name="オブジェクト 0"/>
                          <wps:cNvSpPr txBox="1"/>
                          <wps:spPr>
                            <a:xfrm>
                              <a:off x="3739" y="6651"/>
                              <a:ext cx="677" cy="275"/>
                            </a:xfrm>
                            <a:prstGeom prst="rect">
                              <a:avLst/>
                            </a:prstGeom>
                            <a:solidFill>
                              <a:sysClr val="window" lastClr="FFFFFF"/>
                            </a:solidFill>
                            <a:ln w="6350" cmpd="sng">
                              <a:solidFill>
                                <a:srgbClr val="F79646"/>
                              </a:solidFill>
                            </a:ln>
                          </wps:spPr>
                          <wps:txbx>
                            <w:txbxContent>
                              <w:p>
                                <w:pPr>
                                  <w:pStyle w:val="0"/>
                                  <w:spacing w:line="240" w:lineRule="exact"/>
                                  <w:jc w:val="center"/>
                                  <w:rPr>
                                    <w:rFonts w:hint="eastAsia" w:ascii="ＭＳ ゴシック" w:hAnsi="ＭＳ ゴシック" w:eastAsia="ＭＳ ゴシック"/>
                                    <w:sz w:val="16"/>
                                  </w:rPr>
                                </w:pPr>
                                <w:r>
                                  <w:rPr>
                                    <w:rFonts w:hint="eastAsia" w:ascii="ＭＳ ゴシック" w:hAnsi="ＭＳ ゴシック" w:eastAsia="ＭＳ ゴシック"/>
                                    <w:sz w:val="16"/>
                                  </w:rPr>
                                  <w:t>2,810</w:t>
                                </w:r>
                              </w:p>
                              <w:p>
                                <w:pPr>
                                  <w:pStyle w:val="0"/>
                                  <w:snapToGrid w:val="0"/>
                                  <w:rPr>
                                    <w:rFonts w:hint="default"/>
                                  </w:rPr>
                                </w:pPr>
                              </w:p>
                            </w:txbxContent>
                          </wps:txbx>
                          <wps:bodyPr vertOverflow="overflow" horzOverflow="overflow" wrap="square" lIns="74295" tIns="8890" rIns="74295" bIns="8890"/>
                        </wps:wsp>
                        <wps:wsp>
                          <wps:cNvPr id="1095" name="オブジェクト 0"/>
                          <wps:cNvSpPr txBox="1"/>
                          <wps:spPr>
                            <a:xfrm>
                              <a:off x="4452" y="6384"/>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2,951</w:t>
                                </w:r>
                              </w:p>
                            </w:txbxContent>
                          </wps:txbx>
                          <wps:bodyPr vertOverflow="overflow" horzOverflow="overflow" wrap="square" lIns="74295" tIns="8890" rIns="74295" bIns="8890"/>
                        </wps:wsp>
                        <wps:wsp>
                          <wps:cNvPr id="1096" name="オブジェクト 0"/>
                          <wps:cNvSpPr txBox="1"/>
                          <wps:spPr>
                            <a:xfrm>
                              <a:off x="5175" y="6723"/>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2,826</w:t>
                                </w:r>
                              </w:p>
                            </w:txbxContent>
                          </wps:txbx>
                          <wps:bodyPr vertOverflow="overflow" horzOverflow="overflow" wrap="square" lIns="74295" tIns="8890" rIns="74295" bIns="8890"/>
                        </wps:wsp>
                        <wps:wsp>
                          <wps:cNvPr id="1097" name="オブジェクト 0"/>
                          <wps:cNvSpPr txBox="1"/>
                          <wps:spPr>
                            <a:xfrm>
                              <a:off x="5842" y="6462"/>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3,026</w:t>
                                </w:r>
                              </w:p>
                            </w:txbxContent>
                          </wps:txbx>
                          <wps:bodyPr vertOverflow="overflow" horzOverflow="overflow" wrap="square" lIns="74295" tIns="8890" rIns="74295" bIns="8890"/>
                        </wps:wsp>
                        <wps:wsp>
                          <wps:cNvPr id="1098" name="オブジェクト 0"/>
                          <wps:cNvSpPr txBox="1"/>
                          <wps:spPr>
                            <a:xfrm>
                              <a:off x="6519" y="6439"/>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3,134</w:t>
                                </w:r>
                              </w:p>
                            </w:txbxContent>
                          </wps:txbx>
                          <wps:bodyPr vertOverflow="overflow" horzOverflow="overflow" wrap="square" lIns="74295" tIns="8890" rIns="74295" bIns="8890"/>
                        </wps:wsp>
                        <wps:wsp>
                          <wps:cNvPr id="1099" name="オブジェクト 0"/>
                          <wps:cNvSpPr txBox="1"/>
                          <wps:spPr>
                            <a:xfrm>
                              <a:off x="7178" y="6128"/>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3,267</w:t>
                                </w:r>
                              </w:p>
                            </w:txbxContent>
                          </wps:txbx>
                          <wps:bodyPr vertOverflow="overflow" horzOverflow="overflow" wrap="square" lIns="74295" tIns="8890" rIns="74295" bIns="8890"/>
                        </wps:wsp>
                        <wps:wsp>
                          <wps:cNvPr id="1100" name="オブジェクト 0"/>
                          <wps:cNvSpPr txBox="1"/>
                          <wps:spPr>
                            <a:xfrm>
                              <a:off x="7909" y="6256"/>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3,238</w:t>
                                </w:r>
                              </w:p>
                            </w:txbxContent>
                          </wps:txbx>
                          <wps:bodyPr vertOverflow="overflow" horzOverflow="overflow" wrap="square" lIns="74295" tIns="8890" rIns="74295" bIns="8890"/>
                        </wps:wsp>
                        <wps:wsp>
                          <wps:cNvPr id="1101" name="オブジェクト 0"/>
                          <wps:cNvSpPr txBox="1"/>
                          <wps:spPr>
                            <a:xfrm>
                              <a:off x="8705" y="6283"/>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3,227</w:t>
                                </w:r>
                              </w:p>
                            </w:txbxContent>
                          </wps:txbx>
                          <wps:bodyPr vertOverflow="overflow" horzOverflow="overflow" wrap="square" lIns="74295" tIns="8890" rIns="74295" bIns="8890"/>
                        </wps:wsp>
                        <wps:wsp>
                          <wps:cNvPr id="1102" name="オブジェクト 0"/>
                          <wps:cNvSpPr txBox="1"/>
                          <wps:spPr>
                            <a:xfrm>
                              <a:off x="9482" y="6439"/>
                              <a:ext cx="677" cy="275"/>
                            </a:xfrm>
                            <a:prstGeom prst="rect">
                              <a:avLst/>
                            </a:prstGeom>
                            <a:solidFill>
                              <a:sysClr val="window" lastClr="FFFFFF"/>
                            </a:solidFill>
                            <a:ln w="6350" cmpd="sng">
                              <a:solidFill>
                                <a:srgbClr val="F79646"/>
                              </a:solidFill>
                            </a:ln>
                          </wps:spPr>
                          <wps:txbx>
                            <w:txbxContent>
                              <w:p>
                                <w:pPr>
                                  <w:pStyle w:val="0"/>
                                  <w:snapToGrid w:val="0"/>
                                  <w:rPr>
                                    <w:rFonts w:hint="default"/>
                                  </w:rPr>
                                </w:pPr>
                                <w:r>
                                  <w:rPr>
                                    <w:rFonts w:hint="eastAsia" w:ascii="ＭＳ ゴシック" w:hAnsi="ＭＳ ゴシック" w:eastAsia="ＭＳ ゴシック"/>
                                    <w:sz w:val="16"/>
                                  </w:rPr>
                                  <w:t>3,048</w:t>
                                </w:r>
                              </w:p>
                            </w:txbxContent>
                          </wps:txbx>
                          <wps:bodyPr vertOverflow="overflow" horzOverflow="overflow" wrap="square" lIns="74295" tIns="8890" rIns="74295" bIns="8890"/>
                        </wps:wsp>
                      </wpg:grpSp>
                    </wpg:wgp>
                  </a:graphicData>
                </a:graphic>
              </wp:anchor>
            </w:drawing>
          </mc:Choice>
          <mc:Fallback>
            <w:pict>
              <v:group id="オブジェクト 0" style="margin-top:5.4pt;mso-position-vertical-relative:text;mso-position-horizontal-relative:text;position:absolute;height:252.7pt;width:439pt;margin-left:6.75pt;z-index:63;" coordsize="8780,5054" coordorigin="1553,5277" o:spid="_x0000_s1087" o:allowincell="t" o:allowoverlap="t">
                <v:shapetype id="_x0000_t202" coordsize="21600,21600" o:spt="202" path="m,l,21600r21600,l21600,xe">
                  <v:stroke joinstyle="miter"/>
                  <v:path gradientshapeok="t" o:connecttype="rect"/>
                </v:shapetype>
                <v:shape id="オブジェクト 0" style="height:420;width:8565;top:5277;left:1756;position:absolute;" o:spid="_x0000_s1088"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6-2-11</w:t>
                        </w:r>
                        <w:r>
                          <w:rPr>
                            <w:rFonts w:hint="eastAsia" w:ascii="ＭＳ ゴシック" w:hAnsi="ＭＳ ゴシック" w:eastAsia="ＭＳ ゴシック"/>
                            <w:color w:val="auto"/>
                            <w:sz w:val="22"/>
                            <w:u w:val="none" w:color="auto"/>
                          </w:rPr>
                          <w:t>）</w:t>
                        </w:r>
                        <w:r>
                          <w:rPr>
                            <w:rFonts w:hint="eastAsia" w:ascii="ＭＳ ゴシック" w:hAnsi="ＭＳ ゴシック" w:eastAsia="ＭＳ ゴシック"/>
                            <w:sz w:val="22"/>
                          </w:rPr>
                          <w:t>脳血管疾患発症者数の推移</w:t>
                        </w:r>
                      </w:p>
                    </w:txbxContent>
                  </v:textbox>
                  <v:imagedata o:title=""/>
                  <w10:wrap type="none" anchorx="text" anchory="text"/>
                </v:shape>
                <v:group id="_x0000_s1089" style="height:4771;width:8780;top:5560;left:1553;position:absolute;" coordsize="8780,4771" coordorigin="1553,5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4414;width:8780;top:5917;left:1553;position:absolute;" o:spid="_x0000_s1090" filled="f" stroked="f" o:spt="75" type="#_x0000_t75">
                    <v:fill/>
                    <v:imagedata o:title="" r:id="rId36"/>
                    <w10:wrap type="none" anchorx="text" anchory="text"/>
                  </v:shape>
                  <v:shape id="オブジェクト 0" style="height:394;width:805;top:5560;left:1763;position:absolute;" o:spid="_x0000_s1091" filled="f" stroked="f" strokeweight="0.5pt" o:spt="202" type="#_x0000_t202">
                    <v:fill/>
                    <v:stroke linestyle="single"/>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（人）</w:t>
                          </w:r>
                        </w:p>
                      </w:txbxContent>
                    </v:textbox>
                    <v:imagedata o:title=""/>
                    <w10:wrap type="none" anchorx="text" anchory="text"/>
                  </v:shape>
                  <v:shape id="オブジェクト 0" style="height:275;width:677;top:5789;left:2330;position:absolute;" o:spid="_x0000_s1092"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3,781</w:t>
                          </w:r>
                        </w:p>
                      </w:txbxContent>
                    </v:textbox>
                    <v:imagedata o:title=""/>
                    <w10:wrap type="none" anchorx="text" anchory="text"/>
                  </v:shape>
                  <v:shape id="オブジェクト 0" style="height:275;width:677;top:6315;left:2998;position:absolute;" o:spid="_x0000_s1093"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3,170</w:t>
                          </w:r>
                        </w:p>
                      </w:txbxContent>
                    </v:textbox>
                    <v:imagedata o:title=""/>
                    <w10:wrap type="none" anchorx="text" anchory="text"/>
                  </v:shape>
                  <v:shape id="オブジェクト 0" style="height:275;width:677;top:6651;left:3739;position:absolute;" o:spid="_x0000_s1094"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pacing w:line="240" w:lineRule="exact"/>
                            <w:jc w:val="center"/>
                            <w:rPr>
                              <w:rFonts w:hint="eastAsia" w:ascii="ＭＳ ゴシック" w:hAnsi="ＭＳ ゴシック" w:eastAsia="ＭＳ ゴシック"/>
                              <w:sz w:val="16"/>
                            </w:rPr>
                          </w:pPr>
                          <w:r>
                            <w:rPr>
                              <w:rFonts w:hint="eastAsia" w:ascii="ＭＳ ゴシック" w:hAnsi="ＭＳ ゴシック" w:eastAsia="ＭＳ ゴシック"/>
                              <w:sz w:val="16"/>
                            </w:rPr>
                            <w:t>2,810</w:t>
                          </w:r>
                        </w:p>
                        <w:p>
                          <w:pPr>
                            <w:pStyle w:val="0"/>
                            <w:snapToGrid w:val="0"/>
                            <w:rPr>
                              <w:rFonts w:hint="default"/>
                            </w:rPr>
                          </w:pPr>
                        </w:p>
                      </w:txbxContent>
                    </v:textbox>
                    <v:imagedata o:title=""/>
                    <w10:wrap type="none" anchorx="text" anchory="text"/>
                  </v:shape>
                  <v:shape id="オブジェクト 0" style="height:275;width:677;top:6384;left:4452;position:absolute;" o:spid="_x0000_s1095"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2,951</w:t>
                          </w:r>
                        </w:p>
                      </w:txbxContent>
                    </v:textbox>
                    <v:imagedata o:title=""/>
                    <w10:wrap type="none" anchorx="text" anchory="text"/>
                  </v:shape>
                  <v:shape id="オブジェクト 0" style="height:275;width:677;top:6723;left:5175;position:absolute;" o:spid="_x0000_s1096"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2,826</w:t>
                          </w:r>
                        </w:p>
                      </w:txbxContent>
                    </v:textbox>
                    <v:imagedata o:title=""/>
                    <w10:wrap type="none" anchorx="text" anchory="text"/>
                  </v:shape>
                  <v:shape id="オブジェクト 0" style="height:275;width:677;top:6462;left:5842;position:absolute;" o:spid="_x0000_s1097"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3,026</w:t>
                          </w:r>
                        </w:p>
                      </w:txbxContent>
                    </v:textbox>
                    <v:imagedata o:title=""/>
                    <w10:wrap type="none" anchorx="text" anchory="text"/>
                  </v:shape>
                  <v:shape id="オブジェクト 0" style="height:275;width:677;top:6439;left:6519;position:absolute;" o:spid="_x0000_s1098"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3,134</w:t>
                          </w:r>
                        </w:p>
                      </w:txbxContent>
                    </v:textbox>
                    <v:imagedata o:title=""/>
                    <w10:wrap type="none" anchorx="text" anchory="text"/>
                  </v:shape>
                  <v:shape id="オブジェクト 0" style="height:275;width:677;top:6128;left:7178;position:absolute;" o:spid="_x0000_s1099"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3,267</w:t>
                          </w:r>
                        </w:p>
                      </w:txbxContent>
                    </v:textbox>
                    <v:imagedata o:title=""/>
                    <w10:wrap type="none" anchorx="text" anchory="text"/>
                  </v:shape>
                  <v:shape id="オブジェクト 0" style="height:275;width:677;top:6256;left:7909;position:absolute;" o:spid="_x0000_s1100"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3,238</w:t>
                          </w:r>
                        </w:p>
                      </w:txbxContent>
                    </v:textbox>
                    <v:imagedata o:title=""/>
                    <w10:wrap type="none" anchorx="text" anchory="text"/>
                  </v:shape>
                  <v:shape id="オブジェクト 0" style="height:275;width:677;top:6283;left:8705;position:absolute;" o:spid="_x0000_s1101"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3,227</w:t>
                          </w:r>
                        </w:p>
                      </w:txbxContent>
                    </v:textbox>
                    <v:imagedata o:title=""/>
                    <w10:wrap type="none" anchorx="text" anchory="text"/>
                  </v:shape>
                  <v:shape id="オブジェクト 0" style="height:275;width:677;top:6439;left:9482;position:absolute;" o:spid="_x0000_s1102" filled="t" fillcolor="#ffffff" stroked="t" strokecolor="#f79646" strokeweight="0.5pt" o:spt="202" type="#_x0000_t202">
                    <v:fill/>
                    <v:stroke linestyle="single" filltype="solid"/>
                    <v:textbox style="layout-flow:horizontal;" inset="2.0637499999999998mm,0.24694444444444438mm,2.0637499999999998mm,0.24694444444444438mm">
                      <w:txbxContent>
                        <w:p>
                          <w:pPr>
                            <w:pStyle w:val="0"/>
                            <w:snapToGrid w:val="0"/>
                            <w:rPr>
                              <w:rFonts w:hint="default"/>
                            </w:rPr>
                          </w:pPr>
                          <w:r>
                            <w:rPr>
                              <w:rFonts w:hint="eastAsia" w:ascii="ＭＳ ゴシック" w:hAnsi="ＭＳ ゴシック" w:eastAsia="ＭＳ ゴシック"/>
                              <w:sz w:val="16"/>
                            </w:rPr>
                            <w:t>3,048</w:t>
                          </w:r>
                        </w:p>
                      </w:txbxContent>
                    </v:textbox>
                    <v:imagedata o:title=""/>
                    <w10:wrap type="none" anchorx="text" anchory="text"/>
                  </v:shape>
                  <w10:wrap type="none" anchorx="text" anchory="text"/>
                </v:group>
                <w10:wrap type="none" anchorx="text" anchory="text"/>
              </v:group>
            </w:pict>
          </mc:Fallback>
        </mc:AlternateContent>
      </w: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spacing w:line="240" w:lineRule="auto"/>
        <w:ind w:firstLine="333" w:firstLineChars="200"/>
        <w:rPr>
          <w:rFonts w:hint="eastAsia" w:ascii="ＭＳ 明朝" w:hAnsi="ＭＳ 明朝" w:eastAsia="ＭＳ 明朝"/>
          <w:color w:val="auto"/>
          <w:sz w:val="16"/>
          <w:highlight w:val="none"/>
        </w:rPr>
      </w:pPr>
    </w:p>
    <w:p>
      <w:pPr>
        <w:pStyle w:val="0"/>
        <w:tabs>
          <w:tab w:val="left" w:leader="none" w:pos="7704"/>
        </w:tabs>
        <w:snapToGrid w:val="0"/>
        <w:spacing w:after="0" w:afterLines="0" w:afterAutospacing="0" w:line="240" w:lineRule="auto"/>
        <w:ind w:left="0" w:leftChars="0" w:right="680" w:rightChars="300" w:firstLine="0" w:firstLineChars="0"/>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出典：高知県脳卒中患者実態調査</w:t>
      </w:r>
    </w:p>
    <w:p>
      <w:pPr>
        <w:pStyle w:val="0"/>
        <w:tabs>
          <w:tab w:val="left" w:leader="none" w:pos="7704"/>
        </w:tabs>
        <w:snapToGrid w:val="0"/>
        <w:spacing w:after="0" w:afterLines="0" w:afterAutospacing="0" w:line="240" w:lineRule="auto"/>
        <w:ind w:left="0" w:leftChars="0" w:right="680" w:rightChars="300" w:firstLine="0" w:firstLineChars="0"/>
        <w:jc w:val="right"/>
        <w:rPr>
          <w:rFonts w:hint="eastAsia" w:ascii="ＭＳ 明朝" w:hAnsi="ＭＳ 明朝" w:eastAsia="ＭＳ 明朝"/>
          <w:color w:val="auto"/>
          <w:sz w:val="16"/>
          <w:highlight w:val="none"/>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また、令和４年発症者のうち再発</w:t>
      </w:r>
      <w:r>
        <w:rPr>
          <w:rFonts w:hint="eastAsia" w:ascii="ＭＳ 明朝" w:hAnsi="ＭＳ 明朝" w:eastAsia="ＭＳ 明朝"/>
          <w:color w:val="auto"/>
          <w:sz w:val="22"/>
          <w:highlight w:val="none"/>
          <w:u w:val="none" w:color="auto"/>
          <w:vertAlign w:val="superscript"/>
        </w:rPr>
        <w:t>（注４）</w:t>
      </w:r>
      <w:r>
        <w:rPr>
          <w:rFonts w:hint="eastAsia" w:ascii="ＭＳ 明朝" w:hAnsi="ＭＳ 明朝" w:eastAsia="ＭＳ 明朝"/>
          <w:color w:val="auto"/>
          <w:sz w:val="22"/>
          <w:highlight w:val="none"/>
          <w:u w:val="none" w:color="auto"/>
        </w:rPr>
        <w:t>の者の割合は、</w:t>
      </w:r>
      <w:r>
        <w:rPr>
          <w:rFonts w:hint="eastAsia" w:ascii="ＭＳ 明朝" w:hAnsi="ＭＳ 明朝" w:eastAsia="ＭＳ 明朝"/>
          <w:color w:val="auto"/>
          <w:sz w:val="22"/>
          <w:highlight w:val="none"/>
          <w:u w:val="none" w:color="auto"/>
        </w:rPr>
        <w:t>28.5</w:t>
      </w:r>
      <w:r>
        <w:rPr>
          <w:rFonts w:hint="eastAsia" w:ascii="ＭＳ 明朝" w:hAnsi="ＭＳ 明朝" w:eastAsia="ＭＳ 明朝"/>
          <w:color w:val="auto"/>
          <w:sz w:val="22"/>
          <w:highlight w:val="none"/>
          <w:u w:val="none" w:color="auto"/>
        </w:rPr>
        <w:t>％となっています（図表</w:t>
      </w:r>
      <w:r>
        <w:rPr>
          <w:rFonts w:hint="eastAsia" w:ascii="ＭＳ 明朝" w:hAnsi="ＭＳ 明朝" w:eastAsia="ＭＳ 明朝"/>
          <w:color w:val="auto"/>
          <w:sz w:val="22"/>
          <w:highlight w:val="none"/>
          <w:u w:val="none" w:color="auto"/>
        </w:rPr>
        <w:t>6-2-12</w:t>
      </w:r>
      <w:r>
        <w:rPr>
          <w:rFonts w:hint="eastAsia" w:ascii="ＭＳ 明朝" w:hAnsi="ＭＳ 明朝" w:eastAsia="ＭＳ 明朝"/>
          <w:color w:val="auto"/>
          <w:sz w:val="22"/>
          <w:highlight w:val="none"/>
          <w:u w:val="none" w:color="auto"/>
        </w:rPr>
        <w:t>）。</w:t>
      </w: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r>
        <w:rPr>
          <w:rFonts w:hint="eastAsia" w:ascii="ＭＳ 明朝" w:hAnsi="ＭＳ 明朝" w:eastAsia="ＭＳ 明朝"/>
          <w:color w:val="auto"/>
          <w:sz w:val="16"/>
          <w:highlight w:val="none"/>
          <w:u w:val="none" w:color="auto"/>
        </w:rPr>
        <w:t>（注４）高知県脳卒中患者実態調査で、発症区分が「再発」または「３回以上」になっている者の割合</w:t>
      </w: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r>
        <w:rPr>
          <w:rFonts w:hint="eastAsia"/>
        </w:rPr>
        <mc:AlternateContent>
          <mc:Choice Requires="wpg">
            <w:drawing>
              <wp:anchor simplePos="0" relativeHeight="79" behindDoc="0" locked="0" layoutInCell="1" hidden="0" allowOverlap="1">
                <wp:simplePos x="0" y="0"/>
                <wp:positionH relativeFrom="column">
                  <wp:posOffset>118745</wp:posOffset>
                </wp:positionH>
                <wp:positionV relativeFrom="paragraph">
                  <wp:posOffset>4445</wp:posOffset>
                </wp:positionV>
                <wp:extent cx="5526405" cy="2382520"/>
                <wp:effectExtent l="0" t="0" r="635" b="635"/>
                <wp:wrapNone/>
                <wp:docPr id="1103" name="オブジェクト 0"/>
                <a:graphic xmlns:a="http://schemas.openxmlformats.org/drawingml/2006/main">
                  <a:graphicData uri="http://schemas.microsoft.com/office/word/2010/wordprocessingGroup">
                    <wpg:wgp>
                      <wpg:cNvGrpSpPr/>
                      <wpg:grpSpPr>
                        <a:xfrm>
                          <a:off x="0" y="0"/>
                          <a:ext cx="5526405" cy="2382520"/>
                          <a:chOff x="1605" y="11741"/>
                          <a:chExt cx="8703" cy="3752"/>
                        </a:xfrm>
                      </wpg:grpSpPr>
                      <wpg:graphicFrame>
                        <wpg:cNvPr id="1104" name="オブジェクト 0"/>
                        <wpg:cNvFrPr/>
                        <wpg:xfrm>
                          <a:off x="1614" y="12024"/>
                          <a:ext cx="8235" cy="3394"/>
                        </wpg:xfrm>
                        <a:graphic>
                          <a:graphicData uri="http://schemas.openxmlformats.org/drawingml/2006/chart">
                            <c:chart xmlns:c="http://schemas.openxmlformats.org/drawingml/2006/chart" r:id="rId37"/>
                          </a:graphicData>
                        </a:graphic>
                      </wpg:graphicFrame>
                      <wps:wsp>
                        <wps:cNvPr id="1105" name="オブジェクト 0"/>
                        <wps:cNvSpPr txBox="1">
                          <a:spLocks noChangeArrowheads="1"/>
                        </wps:cNvSpPr>
                        <wps:spPr>
                          <a:xfrm>
                            <a:off x="7464" y="15089"/>
                            <a:ext cx="2844" cy="404"/>
                          </a:xfrm>
                          <a:prstGeom prst="rect">
                            <a:avLst/>
                          </a:prstGeom>
                          <a:noFill/>
                          <a:ln>
                            <a:miter/>
                          </a:ln>
                        </wps:spPr>
                        <wps:txbx>
                          <w:txbxContent>
                            <w:p>
                              <w:pPr>
                                <w:pStyle w:val="0"/>
                                <w:jc w:val="right"/>
                                <w:rPr>
                                  <w:rFonts w:hint="eastAsia"/>
                                </w:rPr>
                              </w:pPr>
                              <w:r>
                                <w:rPr>
                                  <w:rFonts w:hint="eastAsia"/>
                                  <w:color w:val="auto"/>
                                  <w:sz w:val="16"/>
                                </w:rPr>
                                <w:t>出典：高知県脳卒中患者実態調査</w:t>
                              </w:r>
                            </w:p>
                          </w:txbxContent>
                        </wps:txbx>
                        <wps:bodyPr vertOverflow="overflow" horzOverflow="overflow" wrap="square" lIns="74295" tIns="8890" rIns="74295" bIns="8890" upright="1"/>
                      </wps:wsp>
                      <wps:wsp>
                        <wps:cNvPr id="1106" name="オブジェクト 0"/>
                        <wps:cNvSpPr txBox="1"/>
                        <wps:spPr>
                          <a:xfrm>
                            <a:off x="1605" y="11741"/>
                            <a:ext cx="8565" cy="4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6-2-12</w:t>
                              </w:r>
                              <w:r>
                                <w:rPr>
                                  <w:rFonts w:hint="eastAsia" w:ascii="ＭＳ ゴシック" w:hAnsi="ＭＳ ゴシック" w:eastAsia="ＭＳ ゴシック"/>
                                  <w:color w:val="auto"/>
                                  <w:sz w:val="22"/>
                                  <w:u w:val="none" w:color="auto"/>
                                </w:rPr>
                                <w:t>）脳血管疾患発症者の発症区分</w:t>
                              </w:r>
                            </w:p>
                          </w:txbxContent>
                        </wps:txbx>
                        <wps:bodyPr vertOverflow="overflow" horzOverflow="overflow" wrap="square" lIns="74295" tIns="8890" rIns="74295" bIns="8890"/>
                      </wps:wsp>
                    </wpg:wgp>
                  </a:graphicData>
                </a:graphic>
              </wp:anchor>
            </w:drawing>
          </mc:Choice>
          <mc:Fallback>
            <w:pict>
              <v:group id="オブジェクト 0" style="margin-top:0.35pt;mso-position-vertical-relative:text;mso-position-horizontal-relative:text;position:absolute;height:187.6pt;width:435.15pt;margin-left:9.35pt;z-index:79;" coordsize="8703,3752" coordorigin="1605,11741" o:spid="_x0000_s1103"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394;width:8235;top:12024;left:1614;position:absolute;" o:spid="_x0000_s1104" filled="f" stroked="f" o:spt="75" type="#_x0000_t75">
                  <v:fill/>
                  <v:imagedata o:title="" r:id="rId38"/>
                  <w10:wrap type="none" anchorx="text" anchory="text"/>
                </v:shape>
                <v:shapetype id="_x0000_t202" coordsize="21600,21600" o:spt="202" path="m,l,21600r21600,l21600,xe">
                  <v:stroke joinstyle="miter"/>
                  <v:path gradientshapeok="t" o:connecttype="rect"/>
                </v:shapetype>
                <v:shape id="オブジェクト 0" style="height:404;width:2844;top:15089;left:7464;position:absolute;" o:spid="_x0000_s1105" filled="f" stroked="f" o:spt="202" type="#_x0000_t202">
                  <v:fill/>
                  <v:textbox style="layout-flow:horizontal;" inset="2.0637499999999998mm,0.24694444444444438mm,2.0637499999999998mm,0.24694444444444438mm">
                    <w:txbxContent>
                      <w:p>
                        <w:pPr>
                          <w:pStyle w:val="0"/>
                          <w:jc w:val="right"/>
                          <w:rPr>
                            <w:rFonts w:hint="eastAsia"/>
                          </w:rPr>
                        </w:pPr>
                        <w:r>
                          <w:rPr>
                            <w:rFonts w:hint="eastAsia"/>
                            <w:color w:val="auto"/>
                            <w:sz w:val="16"/>
                          </w:rPr>
                          <w:t>出典：高知県脳卒中患者実態調査</w:t>
                        </w:r>
                      </w:p>
                    </w:txbxContent>
                  </v:textbox>
                  <v:imagedata o:title=""/>
                  <w10:wrap type="none" anchorx="text" anchory="text"/>
                </v:shape>
                <v:shape id="オブジェクト 0" style="height:420;width:8565;top:11741;left:1605;position:absolute;" o:spid="_x0000_s1106"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ascii="ＭＳ ゴシック" w:hAnsi="ＭＳ ゴシック" w:eastAsia="ＭＳ ゴシック"/>
                            <w:color w:val="FF0000"/>
                            <w:sz w:val="22"/>
                            <w:u w:val="singl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6-2-12</w:t>
                        </w:r>
                        <w:r>
                          <w:rPr>
                            <w:rFonts w:hint="eastAsia" w:ascii="ＭＳ ゴシック" w:hAnsi="ＭＳ ゴシック" w:eastAsia="ＭＳ ゴシック"/>
                            <w:color w:val="auto"/>
                            <w:sz w:val="22"/>
                            <w:u w:val="none" w:color="auto"/>
                          </w:rPr>
                          <w:t>）脳血管疾患発症者の発症区分</w:t>
                        </w:r>
                      </w:p>
                    </w:txbxContent>
                  </v:textbox>
                  <v:imagedata o:title=""/>
                  <w10:wrap type="none" anchorx="text" anchory="text"/>
                </v:shape>
                <w10:wrap type="none" anchorx="text" anchory="text"/>
              </v:group>
            </w:pict>
          </mc:Fallback>
        </mc:AlternateContent>
      </w: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227" w:leftChars="100" w:firstLine="113" w:firstLineChars="50"/>
        <w:rPr>
          <w:rFonts w:hint="eastAsia" w:ascii="ＭＳ 明朝" w:hAnsi="ＭＳ 明朝" w:eastAsia="ＭＳ 明朝"/>
          <w:color w:val="auto"/>
          <w:highlight w:val="none"/>
        </w:rPr>
      </w:pPr>
    </w:p>
    <w:p>
      <w:pPr>
        <w:pStyle w:val="0"/>
        <w:tabs>
          <w:tab w:val="left" w:leader="none" w:pos="7704"/>
        </w:tabs>
        <w:spacing w:line="240" w:lineRule="auto"/>
        <w:ind w:leftChars="0" w:firstLineChars="0"/>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sz w:val="22"/>
          <w:highlight w:val="none"/>
          <w:u w:val="none" w:color="auto"/>
        </w:rPr>
      </w:pPr>
      <w:r>
        <w:rPr>
          <w:rFonts w:hint="eastAsia" w:ascii="ＭＳ 明朝" w:hAnsi="ＭＳ 明朝" w:eastAsia="ＭＳ 明朝"/>
          <w:b w:val="1"/>
          <w:color w:val="auto"/>
          <w:sz w:val="22"/>
          <w:highlight w:val="none"/>
          <w:u w:val="none" w:color="auto"/>
        </w:rPr>
        <w:t>（２）脳血管疾患に係る死亡率等</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1"/>
          <w:highlight w:val="none"/>
          <w:u w:val="none" w:color="auto"/>
        </w:rPr>
      </w:pPr>
      <w:r>
        <w:rPr>
          <w:rFonts w:hint="eastAsia" w:ascii="ＭＳ 明朝" w:hAnsi="ＭＳ 明朝" w:eastAsia="ＭＳ 明朝"/>
          <w:color w:val="auto"/>
          <w:sz w:val="22"/>
          <w:highlight w:val="none"/>
          <w:u w:val="none" w:color="auto"/>
        </w:rPr>
        <w:t>高知県の脳血管疾患の年齢調整死亡率は男女ともに減少傾向にあり、全国平均に近づいた年もあります（図表</w:t>
      </w:r>
      <w:r>
        <w:rPr>
          <w:rFonts w:hint="eastAsia" w:ascii="ＭＳ 明朝" w:hAnsi="ＭＳ 明朝" w:eastAsia="ＭＳ 明朝"/>
          <w:color w:val="auto"/>
          <w:sz w:val="22"/>
          <w:highlight w:val="none"/>
          <w:u w:val="none" w:color="auto"/>
        </w:rPr>
        <w:t>6-2-13</w:t>
      </w:r>
      <w:r>
        <w:rPr>
          <w:rFonts w:hint="eastAsia" w:ascii="ＭＳ 明朝" w:hAnsi="ＭＳ 明朝" w:eastAsia="ＭＳ 明朝"/>
          <w:color w:val="auto"/>
          <w:sz w:val="22"/>
          <w:highlight w:val="none"/>
          <w:u w:val="none" w:color="auto"/>
        </w:rPr>
        <w:t>）。</w:t>
      </w:r>
    </w:p>
    <w:p>
      <w:pPr>
        <w:pStyle w:val="0"/>
        <w:snapToGrid w:val="0"/>
        <w:spacing w:before="0" w:beforeLines="0" w:beforeAutospacing="0" w:line="180" w:lineRule="atLeast"/>
        <w:ind w:left="0" w:leftChars="0" w:firstLine="167" w:firstLineChars="100"/>
        <w:rPr>
          <w:rFonts w:hint="eastAsia" w:ascii="ＭＳ 明朝" w:hAnsi="ＭＳ 明朝" w:eastAsia="ＭＳ 明朝"/>
          <w:color w:val="auto"/>
          <w:sz w:val="21"/>
          <w:highlight w:val="none"/>
          <w:u w:val="none" w:color="auto"/>
        </w:rPr>
      </w:pPr>
      <w:r>
        <w:rPr>
          <w:rFonts w:hint="eastAsia"/>
        </w:rPr>
        <mc:AlternateContent>
          <mc:Choice Requires="wps">
            <w:drawing>
              <wp:anchor simplePos="0" relativeHeight="179" behindDoc="0" locked="0" layoutInCell="1" hidden="0" allowOverlap="1">
                <wp:simplePos x="0" y="0"/>
                <wp:positionH relativeFrom="column">
                  <wp:posOffset>57785</wp:posOffset>
                </wp:positionH>
                <wp:positionV relativeFrom="paragraph">
                  <wp:posOffset>99060</wp:posOffset>
                </wp:positionV>
                <wp:extent cx="5722620" cy="266700"/>
                <wp:effectExtent l="0" t="0" r="635" b="635"/>
                <wp:wrapNone/>
                <wp:docPr id="1107" name="オブジェクト 0"/>
                <a:graphic xmlns:a="http://schemas.openxmlformats.org/drawingml/2006/main">
                  <a:graphicData uri="http://schemas.microsoft.com/office/word/2010/wordprocessingShape">
                    <wps:wsp>
                      <wps:cNvPr id="1107" name="オブジェクト 0"/>
                      <wps:cNvSpPr txBox="1"/>
                      <wps:spPr>
                        <a:xfrm>
                          <a:off x="0" y="0"/>
                          <a:ext cx="5722620" cy="26670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6-2-13</w:t>
                            </w:r>
                            <w:r>
                              <w:rPr>
                                <w:rFonts w:hint="eastAsia" w:ascii="ＭＳ ゴシック" w:hAnsi="ＭＳ ゴシック" w:eastAsia="ＭＳ ゴシック"/>
                                <w:sz w:val="22"/>
                              </w:rPr>
                              <w:t>）脳血管疾患の年齢調整死亡率（人口</w:t>
                            </w:r>
                            <w:r>
                              <w:rPr>
                                <w:rFonts w:hint="eastAsia" w:ascii="ＭＳ ゴシック" w:hAnsi="ＭＳ ゴシック" w:eastAsia="ＭＳ ゴシック"/>
                                <w:sz w:val="22"/>
                              </w:rPr>
                              <w:t>10</w:t>
                            </w:r>
                            <w:r>
                              <w:rPr>
                                <w:rFonts w:hint="eastAsia" w:ascii="ＭＳ ゴシック" w:hAnsi="ＭＳ ゴシック" w:eastAsia="ＭＳ ゴシック"/>
                                <w:sz w:val="22"/>
                              </w:rPr>
                              <w:t>万人対）の推移</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7.8pt;mso-position-vertical-relative:text;mso-position-horizontal-relative:text;position:absolute;height:21pt;width:450.6pt;margin-left:4.55pt;z-index:179;" o:spid="_x0000_s1107"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rPr>
                      </w:pPr>
                      <w:r>
                        <w:rPr>
                          <w:rFonts w:hint="eastAsia" w:ascii="ＭＳ ゴシック" w:hAnsi="ＭＳ ゴシック" w:eastAsia="ＭＳ ゴシック"/>
                          <w:sz w:val="22"/>
                        </w:rPr>
                        <w:t>（図表</w:t>
                      </w:r>
                      <w:r>
                        <w:rPr>
                          <w:rFonts w:hint="eastAsia" w:ascii="ＭＳ ゴシック" w:hAnsi="ＭＳ ゴシック" w:eastAsia="ＭＳ ゴシック"/>
                          <w:sz w:val="22"/>
                        </w:rPr>
                        <w:t>6-2-13</w:t>
                      </w:r>
                      <w:r>
                        <w:rPr>
                          <w:rFonts w:hint="eastAsia" w:ascii="ＭＳ ゴシック" w:hAnsi="ＭＳ ゴシック" w:eastAsia="ＭＳ ゴシック"/>
                          <w:sz w:val="22"/>
                        </w:rPr>
                        <w:t>）脳血管疾患の年齢調整死亡率（人口</w:t>
                      </w:r>
                      <w:r>
                        <w:rPr>
                          <w:rFonts w:hint="eastAsia" w:ascii="ＭＳ ゴシック" w:hAnsi="ＭＳ ゴシック" w:eastAsia="ＭＳ ゴシック"/>
                          <w:sz w:val="22"/>
                        </w:rPr>
                        <w:t>10</w:t>
                      </w:r>
                      <w:r>
                        <w:rPr>
                          <w:rFonts w:hint="eastAsia" w:ascii="ＭＳ ゴシック" w:hAnsi="ＭＳ ゴシック" w:eastAsia="ＭＳ ゴシック"/>
                          <w:sz w:val="22"/>
                        </w:rPr>
                        <w:t>万人対）の推移</w:t>
                      </w:r>
                    </w:p>
                  </w:txbxContent>
                </v:textbox>
                <v:imagedata o:title=""/>
                <w10:wrap type="none" anchorx="text" anchory="text"/>
              </v:shape>
            </w:pict>
          </mc:Fallback>
        </mc:AlternateContent>
      </w:r>
    </w:p>
    <w:p>
      <w:pPr>
        <w:pStyle w:val="0"/>
        <w:tabs>
          <w:tab w:val="left" w:leader="none" w:pos="7704"/>
        </w:tabs>
        <w:spacing w:line="240" w:lineRule="auto"/>
        <w:rPr>
          <w:rFonts w:hint="eastAsia" w:ascii="ＭＳ 明朝" w:hAnsi="ＭＳ 明朝" w:eastAsia="ＭＳ 明朝"/>
          <w:color w:val="auto"/>
          <w:highlight w:val="none"/>
        </w:rPr>
      </w:pPr>
      <w:r>
        <w:rPr>
          <w:rFonts w:hint="eastAsia"/>
        </w:rPr>
        <w:drawing>
          <wp:anchor simplePos="0" relativeHeight="180" behindDoc="0" locked="0" layoutInCell="1" hidden="0" allowOverlap="1">
            <wp:simplePos x="0" y="0"/>
            <wp:positionH relativeFrom="page">
              <wp:posOffset>900430</wp:posOffset>
            </wp:positionH>
            <wp:positionV relativeFrom="page">
              <wp:posOffset>1861820</wp:posOffset>
            </wp:positionV>
            <wp:extent cx="5911850" cy="2988945"/>
            <wp:effectExtent l="0" t="0" r="0" b="0"/>
            <wp:wrapNone/>
            <wp:docPr id="1108" name="オブジェクト 0"/>
            <a:graphic xmlns:a="http://schemas.openxmlformats.org/drawingml/2006/main">
              <a:graphicData uri="http://schemas.openxmlformats.org/drawingml/2006/chart">
                <c:chart xmlns:c="http://schemas.openxmlformats.org/drawingml/2006/chart" r:id="rId39"/>
              </a:graphicData>
            </a:graphic>
          </wp:anchor>
        </w:drawing>
      </w:r>
    </w:p>
    <w:p>
      <w:pPr>
        <w:pStyle w:val="0"/>
        <w:tabs>
          <w:tab w:val="left" w:leader="none" w:pos="7704"/>
        </w:tabs>
        <w:spacing w:line="240" w:lineRule="auto"/>
        <w:ind w:rightChars="0"/>
        <w:jc w:val="left"/>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ind w:right="1517" w:rightChars="700"/>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ind w:leftChars="0" w:firstLine="0" w:firstLineChars="0"/>
        <w:jc w:val="left"/>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ind w:leftChars="0" w:firstLine="0" w:firstLineChars="0"/>
        <w:rPr>
          <w:rFonts w:hint="eastAsia" w:ascii="ＭＳ 明朝" w:hAnsi="ＭＳ 明朝" w:eastAsia="ＭＳ 明朝"/>
          <w:color w:val="auto"/>
          <w:sz w:val="20"/>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sz w:val="21"/>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rPr>
          <w:rFonts w:hint="eastAsia" w:ascii="ＭＳ 明朝" w:hAnsi="ＭＳ 明朝" w:eastAsia="ＭＳ 明朝"/>
          <w:color w:val="auto"/>
          <w:highlight w:val="none"/>
        </w:rPr>
      </w:pPr>
    </w:p>
    <w:p>
      <w:pPr>
        <w:pStyle w:val="0"/>
        <w:tabs>
          <w:tab w:val="left" w:leader="none" w:pos="7704"/>
        </w:tabs>
        <w:spacing w:line="240" w:lineRule="auto"/>
        <w:ind w:leftChars="0" w:firstLine="6798" w:firstLineChars="4077"/>
        <w:jc w:val="left"/>
        <w:rPr>
          <w:rFonts w:hint="eastAsia" w:ascii="ＭＳ 明朝" w:hAnsi="ＭＳ 明朝" w:eastAsia="ＭＳ 明朝"/>
          <w:color w:val="auto"/>
          <w:highlight w:val="none"/>
        </w:rPr>
      </w:pPr>
    </w:p>
    <w:p>
      <w:pPr>
        <w:pStyle w:val="0"/>
        <w:tabs>
          <w:tab w:val="left" w:leader="none" w:pos="7704"/>
        </w:tabs>
        <w:spacing w:line="240" w:lineRule="auto"/>
        <w:ind w:leftChars="0" w:firstLine="3398" w:firstLineChars="2038"/>
        <w:jc w:val="right"/>
        <w:rPr>
          <w:rFonts w:hint="eastAsia" w:ascii="ＭＳ 明朝" w:hAnsi="ＭＳ 明朝" w:eastAsia="ＭＳ 明朝"/>
          <w:color w:val="auto"/>
          <w:highlight w:val="none"/>
        </w:rPr>
      </w:pPr>
      <w:r>
        <w:rPr>
          <w:rFonts w:hint="eastAsia" w:ascii="ＭＳ 明朝" w:hAnsi="ＭＳ 明朝" w:eastAsia="ＭＳ 明朝"/>
          <w:color w:val="auto"/>
          <w:sz w:val="16"/>
          <w:highlight w:val="none"/>
        </w:rPr>
        <w:t>出典：人口動態調査（年齢調整死亡率の基準人口は平成</w:t>
      </w:r>
      <w:r>
        <w:rPr>
          <w:rFonts w:hint="eastAsia" w:ascii="ＭＳ 明朝" w:hAnsi="ＭＳ 明朝" w:eastAsia="ＭＳ 明朝"/>
          <w:color w:val="auto"/>
          <w:sz w:val="16"/>
          <w:highlight w:val="none"/>
        </w:rPr>
        <w:t>27</w:t>
      </w:r>
      <w:r>
        <w:rPr>
          <w:rFonts w:hint="eastAsia" w:ascii="ＭＳ 明朝" w:hAnsi="ＭＳ 明朝" w:eastAsia="ＭＳ 明朝"/>
          <w:color w:val="auto"/>
          <w:sz w:val="16"/>
          <w:highlight w:val="none"/>
        </w:rPr>
        <w:t>年モデル人口）</w:t>
      </w:r>
    </w:p>
    <w:p>
      <w:pPr>
        <w:pStyle w:val="0"/>
        <w:tabs>
          <w:tab w:val="left" w:leader="none" w:pos="7704"/>
        </w:tabs>
        <w:spacing w:line="240" w:lineRule="auto"/>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sz w:val="20"/>
          <w:highlight w:val="none"/>
        </w:rPr>
        <w:t>　</w:t>
      </w:r>
      <w:r>
        <w:rPr>
          <w:rFonts w:hint="eastAsia" w:ascii="ＭＳ 明朝" w:hAnsi="ＭＳ 明朝" w:eastAsia="ＭＳ 明朝"/>
          <w:color w:val="auto"/>
          <w:sz w:val="20"/>
          <w:highlight w:val="none"/>
        </w:rPr>
        <w:t xml:space="preserve">                 </w:t>
      </w:r>
    </w:p>
    <w:p>
      <w:pPr>
        <w:pStyle w:val="0"/>
        <w:spacing w:line="240" w:lineRule="auto"/>
        <w:rPr>
          <w:rFonts w:hint="eastAsia" w:ascii="ＭＳ 明朝" w:hAnsi="ＭＳ 明朝" w:eastAsia="ＭＳ 明朝"/>
          <w:b w:val="1"/>
          <w:color w:val="auto"/>
          <w:sz w:val="22"/>
          <w:highlight w:val="none"/>
          <w:u w:val="none" w:color="auto"/>
        </w:rPr>
      </w:pPr>
      <w:r>
        <w:rPr>
          <w:rFonts w:hint="eastAsia" w:ascii="ＭＳ 明朝" w:hAnsi="ＭＳ 明朝" w:eastAsia="ＭＳ 明朝"/>
          <w:b w:val="1"/>
          <w:color w:val="auto"/>
          <w:sz w:val="22"/>
          <w:highlight w:val="none"/>
          <w:u w:val="none" w:color="auto"/>
        </w:rPr>
        <w:t>（３）脳卒中患者の受療動向</w:t>
      </w:r>
    </w:p>
    <w:p>
      <w:pPr>
        <w:pStyle w:val="0"/>
        <w:tabs>
          <w:tab w:val="left" w:leader="none" w:pos="567"/>
        </w:tabs>
        <w:spacing w:line="240" w:lineRule="auto"/>
        <w:ind w:left="227" w:leftChars="100" w:right="132" w:rightChars="58"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rPr>
        <w:t>患者調査</w:t>
      </w:r>
      <w:r>
        <w:rPr>
          <w:rFonts w:hint="eastAsia" w:ascii="ＭＳ 明朝" w:hAnsi="ＭＳ 明朝" w:eastAsia="ＭＳ 明朝"/>
          <w:color w:val="auto"/>
          <w:sz w:val="22"/>
          <w:highlight w:val="none"/>
          <w:u w:val="none" w:color="auto"/>
        </w:rPr>
        <w:t>によると、人口</w:t>
      </w:r>
      <w:r>
        <w:rPr>
          <w:rFonts w:hint="eastAsia" w:ascii="ＭＳ 明朝" w:hAnsi="ＭＳ 明朝" w:eastAsia="ＭＳ 明朝"/>
          <w:color w:val="auto"/>
          <w:sz w:val="22"/>
          <w:highlight w:val="none"/>
          <w:u w:val="none" w:color="auto"/>
        </w:rPr>
        <w:t>10</w:t>
      </w:r>
      <w:r>
        <w:rPr>
          <w:rFonts w:hint="eastAsia" w:ascii="ＭＳ 明朝" w:hAnsi="ＭＳ 明朝" w:eastAsia="ＭＳ 明朝"/>
          <w:color w:val="auto"/>
          <w:sz w:val="22"/>
          <w:highlight w:val="none"/>
          <w:u w:val="none" w:color="auto"/>
        </w:rPr>
        <w:t>万人あたりの脳血管疾患の受療率は、入院及び外来ともに全国より高い傾向にありますが、全国と同様に減少傾向にあります</w:t>
      </w:r>
      <w:r>
        <w:rPr>
          <w:rFonts w:hint="eastAsia" w:ascii="ＭＳ 明朝" w:hAnsi="ＭＳ 明朝" w:eastAsia="ＭＳ 明朝"/>
          <w:color w:val="auto"/>
          <w:sz w:val="22"/>
          <w:highlight w:val="none"/>
        </w:rPr>
        <w:t>（</w:t>
      </w:r>
      <w:r>
        <w:rPr>
          <w:rFonts w:hint="eastAsia" w:ascii="ＭＳ 明朝" w:hAnsi="ＭＳ 明朝" w:eastAsia="ＭＳ 明朝"/>
          <w:color w:val="auto"/>
          <w:sz w:val="22"/>
          <w:highlight w:val="none"/>
          <w:u w:val="none" w:color="auto"/>
        </w:rPr>
        <w:t>図表</w:t>
      </w:r>
      <w:r>
        <w:rPr>
          <w:rFonts w:hint="eastAsia" w:ascii="ＭＳ 明朝" w:hAnsi="ＭＳ 明朝" w:eastAsia="ＭＳ 明朝"/>
          <w:color w:val="auto"/>
          <w:sz w:val="22"/>
          <w:highlight w:val="none"/>
          <w:u w:val="none" w:color="auto"/>
        </w:rPr>
        <w:t>6-2-14</w:t>
      </w:r>
      <w:r>
        <w:rPr>
          <w:rFonts w:hint="eastAsia" w:ascii="ＭＳ 明朝" w:hAnsi="ＭＳ 明朝" w:eastAsia="ＭＳ 明朝"/>
          <w:color w:val="auto"/>
          <w:sz w:val="22"/>
          <w:highlight w:val="none"/>
          <w:u w:val="none" w:color="auto"/>
        </w:rPr>
        <w:t>）。</w:t>
      </w:r>
    </w:p>
    <w:p>
      <w:pPr>
        <w:pStyle w:val="0"/>
        <w:tabs>
          <w:tab w:val="left" w:leader="none" w:pos="567"/>
        </w:tabs>
        <w:spacing w:line="240" w:lineRule="auto"/>
        <w:ind w:left="227" w:leftChars="100" w:right="132" w:rightChars="58"/>
        <w:rPr>
          <w:rFonts w:hint="eastAsia" w:ascii="ＭＳ 明朝" w:hAnsi="ＭＳ 明朝" w:eastAsia="ＭＳ 明朝"/>
          <w:color w:val="auto"/>
          <w:highlight w:val="none"/>
          <w:u w:val="none" w:color="auto"/>
        </w:rPr>
      </w:pPr>
    </w:p>
    <w:p>
      <w:pPr>
        <w:pStyle w:val="0"/>
        <w:tabs>
          <w:tab w:val="left" w:leader="none" w:pos="7704"/>
        </w:tabs>
        <w:spacing w:line="240" w:lineRule="auto"/>
        <w:jc w:val="left"/>
        <w:rPr>
          <w:rFonts w:hint="eastAsia" w:ascii="ＭＳ 明朝" w:hAnsi="ＭＳ 明朝" w:eastAsia="ＭＳ 明朝"/>
          <w:color w:val="auto"/>
          <w:highlight w:val="none"/>
        </w:rPr>
      </w:pPr>
      <w:r>
        <w:rPr>
          <w:rFonts w:hint="eastAsia"/>
        </w:rPr>
        <mc:AlternateContent>
          <mc:Choice Requires="wps">
            <w:drawing>
              <wp:anchor simplePos="0" relativeHeight="83" behindDoc="0" locked="0" layoutInCell="1" hidden="0" allowOverlap="1">
                <wp:simplePos x="0" y="0"/>
                <wp:positionH relativeFrom="column">
                  <wp:posOffset>735965</wp:posOffset>
                </wp:positionH>
                <wp:positionV relativeFrom="paragraph">
                  <wp:posOffset>34290</wp:posOffset>
                </wp:positionV>
                <wp:extent cx="4219575" cy="266700"/>
                <wp:effectExtent l="0" t="0" r="635" b="635"/>
                <wp:wrapNone/>
                <wp:docPr id="1109" name="オブジェクト 0"/>
                <a:graphic xmlns:a="http://schemas.openxmlformats.org/drawingml/2006/main">
                  <a:graphicData uri="http://schemas.microsoft.com/office/word/2010/wordprocessingShape">
                    <wps:wsp>
                      <wps:cNvPr id="1109" name="オブジェクト 0"/>
                      <wps:cNvSpPr txBox="1"/>
                      <wps:spPr>
                        <a:xfrm>
                          <a:off x="0" y="0"/>
                          <a:ext cx="4219575" cy="26670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6-2-14</w:t>
                            </w:r>
                            <w:r>
                              <w:rPr>
                                <w:rFonts w:hint="eastAsia" w:ascii="ＭＳ ゴシック" w:hAnsi="ＭＳ ゴシック" w:eastAsia="ＭＳ ゴシック"/>
                                <w:sz w:val="22"/>
                              </w:rPr>
                              <w:t>）脳血管疾患の受療率（人口</w:t>
                            </w:r>
                            <w:r>
                              <w:rPr>
                                <w:rFonts w:hint="eastAsia" w:ascii="ＭＳ ゴシック" w:hAnsi="ＭＳ ゴシック" w:eastAsia="ＭＳ ゴシック"/>
                                <w:sz w:val="22"/>
                              </w:rPr>
                              <w:t>10</w:t>
                            </w:r>
                            <w:r>
                              <w:rPr>
                                <w:rFonts w:hint="eastAsia" w:ascii="ＭＳ ゴシック" w:hAnsi="ＭＳ ゴシック" w:eastAsia="ＭＳ ゴシック"/>
                                <w:sz w:val="22"/>
                              </w:rPr>
                              <w:t>万人対）の推移</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argin-top:2.7pt;mso-position-vertical-relative:text;mso-position-horizontal-relative:text;position:absolute;height:21pt;width:332.25pt;margin-left:57.95pt;z-index:83;" o:spid="_x0000_s1109" o:allowincell="t" o:allowoverlap="t"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6-2-14</w:t>
                      </w:r>
                      <w:r>
                        <w:rPr>
                          <w:rFonts w:hint="eastAsia" w:ascii="ＭＳ ゴシック" w:hAnsi="ＭＳ ゴシック" w:eastAsia="ＭＳ ゴシック"/>
                          <w:sz w:val="22"/>
                        </w:rPr>
                        <w:t>）脳血管疾患の受療率（人口</w:t>
                      </w:r>
                      <w:r>
                        <w:rPr>
                          <w:rFonts w:hint="eastAsia" w:ascii="ＭＳ ゴシック" w:hAnsi="ＭＳ ゴシック" w:eastAsia="ＭＳ ゴシック"/>
                          <w:sz w:val="22"/>
                        </w:rPr>
                        <w:t>10</w:t>
                      </w:r>
                      <w:r>
                        <w:rPr>
                          <w:rFonts w:hint="eastAsia" w:ascii="ＭＳ ゴシック" w:hAnsi="ＭＳ ゴシック" w:eastAsia="ＭＳ ゴシック"/>
                          <w:sz w:val="22"/>
                        </w:rPr>
                        <w:t>万人対）の推移</w:t>
                      </w:r>
                    </w:p>
                  </w:txbxContent>
                </v:textbox>
                <v:imagedata o:title=""/>
                <w10:wrap type="none" anchorx="text" anchory="text"/>
              </v:shape>
            </w:pict>
          </mc:Fallback>
        </mc:AlternateContent>
      </w:r>
    </w:p>
    <w:p>
      <w:pPr>
        <w:pStyle w:val="0"/>
        <w:tabs>
          <w:tab w:val="left" w:leader="none" w:pos="7704"/>
        </w:tabs>
        <w:spacing w:line="240" w:lineRule="auto"/>
        <w:jc w:val="left"/>
        <w:rPr>
          <w:rFonts w:hint="eastAsia" w:ascii="ＭＳ 明朝" w:hAnsi="ＭＳ 明朝" w:eastAsia="ＭＳ 明朝"/>
          <w:color w:val="auto"/>
          <w:highlight w:val="none"/>
        </w:rPr>
      </w:pPr>
      <w:r>
        <w:rPr>
          <w:rFonts w:hint="eastAsia"/>
        </w:rPr>
        <w:drawing>
          <wp:anchor simplePos="0" relativeHeight="84" behindDoc="0" locked="0" layoutInCell="1" hidden="0" allowOverlap="1">
            <wp:simplePos x="0" y="0"/>
            <wp:positionH relativeFrom="column">
              <wp:posOffset>297815</wp:posOffset>
            </wp:positionH>
            <wp:positionV relativeFrom="paragraph">
              <wp:posOffset>64770</wp:posOffset>
            </wp:positionV>
            <wp:extent cx="2524125" cy="2225675"/>
            <wp:effectExtent l="0" t="0" r="0" b="0"/>
            <wp:wrapNone/>
            <wp:docPr id="1110" name="オブジェクト 0"/>
            <a:graphic xmlns:a="http://schemas.openxmlformats.org/drawingml/2006/main">
              <a:graphicData uri="http://schemas.openxmlformats.org/drawingml/2006/chart">
                <c:chart xmlns:c="http://schemas.openxmlformats.org/drawingml/2006/chart" r:id="rId40"/>
              </a:graphicData>
            </a:graphic>
          </wp:anchor>
        </w:drawing>
      </w:r>
      <w:r>
        <w:rPr>
          <w:rFonts w:hint="eastAsia"/>
        </w:rPr>
        <w:drawing>
          <wp:anchor simplePos="0" relativeHeight="181" behindDoc="0" locked="0" layoutInCell="1" hidden="0" allowOverlap="1">
            <wp:simplePos x="0" y="0"/>
            <wp:positionH relativeFrom="column">
              <wp:posOffset>2903220</wp:posOffset>
            </wp:positionH>
            <wp:positionV relativeFrom="paragraph">
              <wp:posOffset>66040</wp:posOffset>
            </wp:positionV>
            <wp:extent cx="2814320" cy="2203450"/>
            <wp:effectExtent l="0" t="0" r="0" b="0"/>
            <wp:wrapNone/>
            <wp:docPr id="1111" name="オブジェクト 0"/>
            <a:graphic xmlns:a="http://schemas.openxmlformats.org/drawingml/2006/main">
              <a:graphicData uri="http://schemas.openxmlformats.org/drawingml/2006/chart">
                <c:chart xmlns:c="http://schemas.openxmlformats.org/drawingml/2006/chart" r:id="rId41"/>
              </a:graphicData>
            </a:graphic>
          </wp:anchor>
        </w:drawing>
      </w: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jc w:val="left"/>
        <w:rPr>
          <w:rFonts w:hint="eastAsia" w:ascii="ＭＳ 明朝" w:hAnsi="ＭＳ 明朝" w:eastAsia="ＭＳ 明朝"/>
          <w:color w:val="auto"/>
          <w:highlight w:val="none"/>
        </w:rPr>
      </w:pPr>
    </w:p>
    <w:p>
      <w:pPr>
        <w:pStyle w:val="0"/>
        <w:tabs>
          <w:tab w:val="left" w:leader="none" w:pos="7704"/>
        </w:tabs>
        <w:spacing w:line="240" w:lineRule="auto"/>
        <w:ind w:right="240" w:firstLine="3001" w:firstLineChars="1800"/>
        <w:jc w:val="right"/>
        <w:rPr>
          <w:rFonts w:hint="eastAsia" w:ascii="ＭＳ 明朝" w:hAnsi="ＭＳ 明朝" w:eastAsia="ＭＳ 明朝"/>
          <w:color w:val="auto"/>
          <w:sz w:val="16"/>
          <w:highlight w:val="none"/>
        </w:rPr>
      </w:pPr>
    </w:p>
    <w:p>
      <w:pPr>
        <w:pStyle w:val="0"/>
        <w:tabs>
          <w:tab w:val="left" w:leader="none" w:pos="7704"/>
        </w:tabs>
        <w:spacing w:line="240" w:lineRule="auto"/>
        <w:ind w:right="240" w:firstLine="3001" w:firstLineChars="1800"/>
        <w:jc w:val="right"/>
        <w:rPr>
          <w:rFonts w:hint="eastAsia" w:ascii="ＭＳ 明朝" w:hAnsi="ＭＳ 明朝" w:eastAsia="ＭＳ 明朝"/>
          <w:color w:val="auto"/>
          <w:sz w:val="16"/>
          <w:highlight w:val="none"/>
        </w:rPr>
      </w:pPr>
    </w:p>
    <w:p>
      <w:pPr>
        <w:pStyle w:val="0"/>
        <w:tabs>
          <w:tab w:val="left" w:leader="none" w:pos="7704"/>
        </w:tabs>
        <w:spacing w:line="240" w:lineRule="auto"/>
        <w:ind w:right="240" w:firstLine="3001" w:firstLineChars="1800"/>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出典：患者調査</w:t>
      </w:r>
    </w:p>
    <w:p>
      <w:pPr>
        <w:pStyle w:val="0"/>
        <w:tabs>
          <w:tab w:val="left" w:leader="none" w:pos="7704"/>
        </w:tabs>
        <w:spacing w:line="240" w:lineRule="auto"/>
        <w:ind w:right="240" w:firstLine="3001" w:firstLineChars="1800"/>
        <w:jc w:val="right"/>
        <w:rPr>
          <w:rFonts w:hint="eastAsia" w:ascii="ＭＳ 明朝" w:hAnsi="ＭＳ 明朝" w:eastAsia="ＭＳ 明朝"/>
          <w:color w:val="auto"/>
          <w:sz w:val="16"/>
          <w:highlight w:val="none"/>
        </w:rPr>
      </w:pPr>
      <w:r>
        <w:rPr>
          <w:rFonts w:hint="eastAsia" w:ascii="ＭＳ 明朝" w:hAnsi="ＭＳ 明朝" w:eastAsia="ＭＳ 明朝"/>
          <w:highlight w:val="none"/>
        </w:rPr>
        <w:br w:type="page"/>
      </w:r>
    </w:p>
    <w:p>
      <w:pPr>
        <w:pStyle w:val="0"/>
        <w:spacing w:after="160" w:afterLines="50" w:afterAutospacing="0" w:line="240" w:lineRule="auto"/>
        <w:ind w:left="221" w:leftChars="100" w:right="272" w:rightChars="123" w:firstLine="221" w:firstLineChars="100"/>
        <w:rPr>
          <w:rFonts w:hint="eastAsia" w:ascii="ＭＳ 明朝" w:hAnsi="ＭＳ 明朝" w:eastAsia="ＭＳ 明朝"/>
          <w:color w:val="auto"/>
          <w:sz w:val="20"/>
          <w:highlight w:val="none"/>
        </w:rPr>
      </w:pPr>
      <w:r>
        <w:rPr>
          <w:rFonts w:hint="eastAsia" w:ascii="ＭＳ 明朝" w:hAnsi="ＭＳ 明朝" w:eastAsia="ＭＳ 明朝"/>
          <w:color w:val="auto"/>
          <w:sz w:val="22"/>
          <w:highlight w:val="none"/>
        </w:rPr>
        <w:t>高知県患者動態調査による</w:t>
      </w:r>
      <w:r>
        <w:rPr>
          <w:rFonts w:hint="eastAsia" w:ascii="ＭＳ 明朝" w:hAnsi="ＭＳ 明朝" w:eastAsia="ＭＳ 明朝"/>
          <w:color w:val="auto"/>
          <w:sz w:val="22"/>
          <w:highlight w:val="none"/>
          <w:u w:val="none" w:color="auto"/>
        </w:rPr>
        <w:t>と、令和４年の脳卒中による自圏内の受療率について、平成</w:t>
      </w:r>
      <w:r>
        <w:rPr>
          <w:rFonts w:hint="eastAsia" w:ascii="ＭＳ 明朝" w:hAnsi="ＭＳ 明朝" w:eastAsia="ＭＳ 明朝"/>
          <w:color w:val="auto"/>
          <w:sz w:val="22"/>
          <w:highlight w:val="none"/>
          <w:u w:val="none" w:color="auto"/>
        </w:rPr>
        <w:t>28</w:t>
      </w:r>
      <w:r>
        <w:rPr>
          <w:rFonts w:hint="eastAsia" w:ascii="ＭＳ 明朝" w:hAnsi="ＭＳ 明朝" w:eastAsia="ＭＳ 明朝"/>
          <w:color w:val="auto"/>
          <w:sz w:val="22"/>
          <w:highlight w:val="none"/>
          <w:u w:val="none" w:color="auto"/>
        </w:rPr>
        <w:t>年と比較すると、外来については、リハビリテーション目的の患者も含まれていると考えられますが、幡多保健医療圏の患者が中央保健医療圏で受療する割合が増加しています。入院については、安芸保健医療圏が自圏内で受療する割合が増加しています</w:t>
      </w:r>
      <w:r>
        <w:rPr>
          <w:rFonts w:hint="eastAsia" w:ascii="ＭＳ 明朝" w:hAnsi="ＭＳ 明朝" w:eastAsia="ＭＳ 明朝"/>
          <w:color w:val="auto"/>
          <w:sz w:val="22"/>
          <w:highlight w:val="none"/>
        </w:rPr>
        <w:t>（図表</w:t>
      </w:r>
      <w:r>
        <w:rPr>
          <w:rFonts w:hint="eastAsia" w:ascii="ＭＳ 明朝" w:hAnsi="ＭＳ 明朝" w:eastAsia="ＭＳ 明朝"/>
          <w:color w:val="auto"/>
          <w:sz w:val="22"/>
          <w:highlight w:val="none"/>
        </w:rPr>
        <w:t>6-2-15</w:t>
      </w:r>
      <w:r>
        <w:rPr>
          <w:rFonts w:hint="eastAsia" w:ascii="ＭＳ 明朝" w:hAnsi="ＭＳ 明朝" w:eastAsia="ＭＳ 明朝"/>
          <w:color w:val="auto"/>
          <w:sz w:val="22"/>
          <w:highlight w:val="none"/>
        </w:rPr>
        <w:t>）。</w:t>
      </w:r>
    </w:p>
    <w:p>
      <w:pPr>
        <w:pStyle w:val="0"/>
        <w:tabs>
          <w:tab w:val="left" w:leader="none" w:pos="567"/>
        </w:tabs>
        <w:spacing w:line="240" w:lineRule="auto"/>
        <w:ind w:right="132" w:rightChars="58"/>
        <w:jc w:val="center"/>
        <w:rPr>
          <w:rFonts w:hint="eastAsia" w:ascii="ＭＳ ゴシック" w:hAnsi="ＭＳ ゴシック" w:eastAsia="ＭＳ ゴシック"/>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6-2-15</w:t>
      </w:r>
      <w:r>
        <w:rPr>
          <w:rFonts w:hint="eastAsia" w:ascii="ＭＳ ゴシック" w:hAnsi="ＭＳ ゴシック" w:eastAsia="ＭＳ ゴシック"/>
          <w:color w:val="auto"/>
          <w:sz w:val="22"/>
          <w:highlight w:val="none"/>
        </w:rPr>
        <w:t>）令和４年患者動態調査　脳卒中患者の受療動向</w:t>
      </w:r>
    </w:p>
    <w:p>
      <w:pPr>
        <w:pStyle w:val="0"/>
        <w:tabs>
          <w:tab w:val="left" w:leader="none" w:pos="567"/>
        </w:tabs>
        <w:spacing w:line="240" w:lineRule="exact"/>
        <w:ind w:right="132" w:rightChars="58"/>
        <w:jc w:val="center"/>
        <w:rPr>
          <w:rFonts w:hint="eastAsia" w:ascii="ＭＳ ゴシック" w:hAnsi="ＭＳ ゴシック" w:eastAsia="ＭＳ ゴシック"/>
          <w:color w:val="auto"/>
          <w:sz w:val="22"/>
          <w:highlight w:val="none"/>
        </w:rPr>
      </w:pPr>
      <w:r>
        <w:rPr>
          <w:rFonts w:hint="eastAsia" w:ascii="ＭＳ ゴシック" w:hAnsi="ＭＳ ゴシック" w:eastAsia="ＭＳ ゴシック"/>
          <w:color w:val="auto"/>
          <w:sz w:val="21"/>
          <w:highlight w:val="none"/>
        </w:rPr>
        <w:t>(</w:t>
      </w:r>
      <w:r>
        <w:rPr>
          <w:rFonts w:hint="eastAsia" w:ascii="ＭＳ ゴシック" w:hAnsi="ＭＳ ゴシック" w:eastAsia="ＭＳ ゴシック"/>
          <w:color w:val="auto"/>
          <w:sz w:val="21"/>
          <w:highlight w:val="none"/>
        </w:rPr>
        <w:t>括弧内は平成</w:t>
      </w:r>
      <w:r>
        <w:rPr>
          <w:rFonts w:hint="eastAsia" w:ascii="ＭＳ ゴシック" w:hAnsi="ＭＳ ゴシック" w:eastAsia="ＭＳ ゴシック"/>
          <w:color w:val="auto"/>
          <w:sz w:val="21"/>
          <w:highlight w:val="none"/>
        </w:rPr>
        <w:t>28</w:t>
      </w:r>
      <w:r>
        <w:rPr>
          <w:rFonts w:hint="eastAsia" w:ascii="ＭＳ ゴシック" w:hAnsi="ＭＳ ゴシック" w:eastAsia="ＭＳ ゴシック"/>
          <w:color w:val="auto"/>
          <w:sz w:val="21"/>
          <w:highlight w:val="none"/>
        </w:rPr>
        <w:t>年調査の数値</w:t>
      </w:r>
      <w:r>
        <w:rPr>
          <w:rFonts w:hint="eastAsia" w:ascii="ＭＳ ゴシック" w:hAnsi="ＭＳ ゴシック" w:eastAsia="ＭＳ ゴシック"/>
          <w:color w:val="auto"/>
          <w:sz w:val="21"/>
          <w:highlight w:val="none"/>
        </w:rPr>
        <w:t>)</w:t>
      </w:r>
    </w:p>
    <w:p>
      <w:pPr>
        <w:pStyle w:val="0"/>
        <w:tabs>
          <w:tab w:val="left" w:leader="none" w:pos="567"/>
        </w:tabs>
        <w:spacing w:line="240" w:lineRule="exact"/>
        <w:ind w:right="132" w:rightChars="58"/>
        <w:jc w:val="center"/>
        <w:rPr>
          <w:rFonts w:hint="eastAsia" w:ascii="ＭＳ 明朝" w:hAnsi="ＭＳ 明朝" w:eastAsia="ＭＳ 明朝"/>
          <w:color w:val="auto"/>
          <w:sz w:val="16"/>
          <w:highlight w:val="none"/>
        </w:rPr>
      </w:pPr>
    </w:p>
    <w:p>
      <w:pPr>
        <w:pStyle w:val="0"/>
        <w:tabs>
          <w:tab w:val="left" w:leader="none" w:pos="567"/>
        </w:tabs>
        <w:spacing w:line="240" w:lineRule="auto"/>
        <w:ind w:left="907" w:right="132" w:rightChars="58" w:hanging="907" w:hangingChars="400"/>
        <w:rPr>
          <w:rFonts w:hint="eastAsia" w:ascii="ＭＳ 明朝" w:hAnsi="ＭＳ 明朝" w:eastAsia="ＭＳ 明朝"/>
          <w:strike w:val="1"/>
          <w:color w:val="auto"/>
          <w:highlight w:val="none"/>
        </w:rPr>
      </w:pPr>
      <w:r>
        <w:rPr>
          <w:rFonts w:hint="eastAsia"/>
        </w:rPr>
        <mc:AlternateContent>
          <mc:Choice Requires="wpg">
            <w:drawing>
              <wp:anchor simplePos="0" relativeHeight="85" behindDoc="0" locked="0" layoutInCell="1" hidden="0" allowOverlap="1">
                <wp:simplePos x="0" y="0"/>
                <wp:positionH relativeFrom="column">
                  <wp:posOffset>-93345</wp:posOffset>
                </wp:positionH>
                <wp:positionV relativeFrom="paragraph">
                  <wp:posOffset>16510</wp:posOffset>
                </wp:positionV>
                <wp:extent cx="5891530" cy="2195830"/>
                <wp:effectExtent l="0" t="0" r="0" b="0"/>
                <wp:wrapNone/>
                <wp:docPr id="1112" name="オブジェクト 0"/>
                <a:graphic xmlns:a="http://schemas.openxmlformats.org/drawingml/2006/main">
                  <a:graphicData uri="http://schemas.microsoft.com/office/word/2010/wordprocessingGroup">
                    <wpg:wgp>
                      <wpg:cNvGrpSpPr/>
                      <wpg:grpSpPr>
                        <a:xfrm>
                          <a:off x="0" y="0"/>
                          <a:ext cx="5891530" cy="2195830"/>
                          <a:chOff x="1271" y="4140"/>
                          <a:chExt cx="9278" cy="3458"/>
                        </a:xfrm>
                      </wpg:grpSpPr>
                      <pic:pic xmlns:pic="http://schemas.openxmlformats.org/drawingml/2006/picture">
                        <pic:nvPicPr>
                          <pic:cNvPr id="1113" name="オブジェクト 0"/>
                          <pic:cNvPicPr>
                            <a:picLocks noChangeAspect="1"/>
                          </pic:cNvPicPr>
                        </pic:nvPicPr>
                        <pic:blipFill>
                          <a:blip r:embed="rId42"/>
                          <a:stretch>
                            <a:fillRect/>
                          </a:stretch>
                        </pic:blipFill>
                        <pic:spPr>
                          <a:xfrm>
                            <a:off x="1271" y="4140"/>
                            <a:ext cx="4624" cy="3458"/>
                          </a:xfrm>
                          <a:prstGeom prst="rect">
                            <a:avLst/>
                          </a:prstGeom>
                        </pic:spPr>
                      </pic:pic>
                      <wps:wsp>
                        <wps:cNvPr id="1114" name="オブジェクト 0"/>
                        <wps:cNvSpPr txBox="1">
                          <a:spLocks noChangeArrowheads="1"/>
                        </wps:cNvSpPr>
                        <wps:spPr>
                          <a:xfrm>
                            <a:off x="1519" y="4166"/>
                            <a:ext cx="1160" cy="567"/>
                          </a:xfrm>
                          <a:prstGeom prst="rect">
                            <a:avLst/>
                          </a:prstGeom>
                          <a:noFill/>
                          <a:ln>
                            <a:miter/>
                          </a:ln>
                        </wps:spPr>
                        <wps:txbx>
                          <w:txbxContent>
                            <w:p>
                              <w:pPr>
                                <w:pStyle w:val="0"/>
                                <w:autoSpaceDE w:val="0"/>
                                <w:autoSpaceDN w:val="0"/>
                                <w:rPr>
                                  <w:rFonts w:hint="eastAsia" w:ascii="ＭＳ ゴシック" w:hAnsi="ＭＳ ゴシック" w:eastAsia="ＭＳ ゴシック"/>
                                </w:rPr>
                              </w:pPr>
                              <w:r>
                                <w:rPr>
                                  <w:rFonts w:hint="eastAsia" w:ascii="ＭＳ ゴシック" w:hAnsi="ＭＳ ゴシック" w:eastAsia="ＭＳ ゴシック"/>
                                  <w:sz w:val="20"/>
                                </w:rPr>
                                <w:t>（外来）</w:t>
                              </w:r>
                            </w:p>
                          </w:txbxContent>
                        </wps:txbx>
                        <wps:bodyPr vertOverflow="overflow" horzOverflow="overflow" anchor="t" upright="1"/>
                      </wps:wsp>
                      <pic:pic xmlns:pic="http://schemas.openxmlformats.org/drawingml/2006/picture">
                        <pic:nvPicPr>
                          <pic:cNvPr id="1115" name="オブジェクト 0"/>
                          <pic:cNvPicPr>
                            <a:picLocks noChangeAspect="1"/>
                          </pic:cNvPicPr>
                        </pic:nvPicPr>
                        <pic:blipFill>
                          <a:blip r:embed="rId43"/>
                          <a:stretch>
                            <a:fillRect/>
                          </a:stretch>
                        </pic:blipFill>
                        <pic:spPr>
                          <a:xfrm>
                            <a:off x="6000" y="4140"/>
                            <a:ext cx="4549" cy="3402"/>
                          </a:xfrm>
                          <a:prstGeom prst="rect">
                            <a:avLst/>
                          </a:prstGeom>
                        </pic:spPr>
                      </pic:pic>
                      <wps:wsp>
                        <wps:cNvPr id="1116" name="オブジェクト 0"/>
                        <wps:cNvSpPr txBox="1">
                          <a:spLocks noChangeArrowheads="1"/>
                        </wps:cNvSpPr>
                        <wps:spPr>
                          <a:xfrm>
                            <a:off x="6370" y="4209"/>
                            <a:ext cx="1162" cy="541"/>
                          </a:xfrm>
                          <a:prstGeom prst="rect">
                            <a:avLst/>
                          </a:prstGeom>
                          <a:noFill/>
                          <a:ln>
                            <a:miter/>
                          </a:ln>
                        </wps:spPr>
                        <wps:txbx>
                          <w:txbxContent>
                            <w:p>
                              <w:pPr>
                                <w:pStyle w:val="0"/>
                                <w:tabs>
                                  <w:tab w:val="left" w:leader="none" w:pos="142"/>
                                </w:tabs>
                                <w:autoSpaceDE w:val="0"/>
                                <w:autoSpaceDN w:val="0"/>
                                <w:rPr>
                                  <w:rFonts w:hint="eastAsia" w:ascii="ＭＳ ゴシック" w:hAnsi="ＭＳ ゴシック" w:eastAsia="ＭＳ ゴシック"/>
                                </w:rPr>
                              </w:pPr>
                              <w:r>
                                <w:rPr>
                                  <w:rFonts w:hint="eastAsia" w:ascii="ＭＳ ゴシック" w:hAnsi="ＭＳ ゴシック" w:eastAsia="ＭＳ ゴシック"/>
                                  <w:sz w:val="20"/>
                                </w:rPr>
                                <w:t>（入院）</w:t>
                              </w:r>
                            </w:p>
                          </w:txbxContent>
                        </wps:txbx>
                        <wps:bodyPr vertOverflow="overflow" horzOverflow="overflow" anchor="t" upright="1"/>
                      </wps:wsp>
                    </wpg:wgp>
                  </a:graphicData>
                </a:graphic>
              </wp:anchor>
            </w:drawing>
          </mc:Choice>
          <mc:Fallback>
            <w:pict>
              <v:group id="オブジェクト 0" style="margin-top:1.3pt;mso-position-vertical-relative:text;mso-position-horizontal-relative:text;position:absolute;height:172.9pt;width:463.9pt;margin-left:-7.35pt;z-index:85;" coordsize="9278,3458" coordorigin="1271,4140" o:spid="_x0000_s1112"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58;width:4624;top:4140;left:1271;position:absolute;" o:spid="_x0000_s1113" filled="f" stroked="f" o:spt="75" type="#_x0000_t75">
                  <v:fill/>
                  <v:imagedata o:title="" r:id="rId42"/>
                  <w10:wrap type="none" anchorx="text" anchory="text"/>
                </v:shape>
                <v:shapetype id="_x0000_t202" coordsize="21600,21600" o:spt="202" path="m,l,21600r21600,l21600,xe">
                  <v:stroke joinstyle="miter"/>
                  <v:path gradientshapeok="t" o:connecttype="rect"/>
                </v:shapetype>
                <v:shape id="オブジェクト 0" style="height:567;width:1160;top:4166;left:1519;position:absolute;" o:spid="_x0000_s1114" filled="f" stroked="f" o:spt="202" type="#_x0000_t202">
                  <v:fill/>
                  <v:textbox style="layout-flow:horizontal;">
                    <w:txbxContent>
                      <w:p>
                        <w:pPr>
                          <w:pStyle w:val="0"/>
                          <w:autoSpaceDE w:val="0"/>
                          <w:autoSpaceDN w:val="0"/>
                          <w:rPr>
                            <w:rFonts w:hint="eastAsia" w:ascii="ＭＳ ゴシック" w:hAnsi="ＭＳ ゴシック" w:eastAsia="ＭＳ ゴシック"/>
                          </w:rPr>
                        </w:pPr>
                        <w:r>
                          <w:rPr>
                            <w:rFonts w:hint="eastAsia" w:ascii="ＭＳ ゴシック" w:hAnsi="ＭＳ ゴシック" w:eastAsia="ＭＳ ゴシック"/>
                            <w:sz w:val="20"/>
                          </w:rPr>
                          <w:t>（外来）</w:t>
                        </w:r>
                      </w:p>
                    </w:txbxContent>
                  </v:textbox>
                  <v:imagedata o:title=""/>
                  <w10:wrap type="none" anchorx="text" anchory="text"/>
                </v:shape>
                <v:shape id="オブジェクト 0" style="height:3402;width:4549;top:4140;left:6000;position:absolute;" o:spid="_x0000_s1115" filled="f" stroked="f" o:spt="75" type="#_x0000_t75">
                  <v:fill/>
                  <v:imagedata o:title="" r:id="rId43"/>
                  <w10:wrap type="none" anchorx="text" anchory="text"/>
                </v:shape>
                <v:shape id="オブジェクト 0" style="height:541;width:1162;top:4209;left:6370;position:absolute;" o:spid="_x0000_s1116" filled="f" stroked="f" o:spt="202" type="#_x0000_t202">
                  <v:fill/>
                  <v:textbox style="layout-flow:horizontal;">
                    <w:txbxContent>
                      <w:p>
                        <w:pPr>
                          <w:pStyle w:val="0"/>
                          <w:tabs>
                            <w:tab w:val="left" w:leader="none" w:pos="142"/>
                          </w:tabs>
                          <w:autoSpaceDE w:val="0"/>
                          <w:autoSpaceDN w:val="0"/>
                          <w:rPr>
                            <w:rFonts w:hint="eastAsia" w:ascii="ＭＳ ゴシック" w:hAnsi="ＭＳ ゴシック" w:eastAsia="ＭＳ ゴシック"/>
                          </w:rPr>
                        </w:pPr>
                        <w:r>
                          <w:rPr>
                            <w:rFonts w:hint="eastAsia" w:ascii="ＭＳ ゴシック" w:hAnsi="ＭＳ ゴシック" w:eastAsia="ＭＳ ゴシック"/>
                            <w:sz w:val="20"/>
                          </w:rPr>
                          <w:t>（入院）</w:t>
                        </w:r>
                      </w:p>
                    </w:txbxContent>
                  </v:textbox>
                  <v:imagedata o:title=""/>
                  <w10:wrap type="none" anchorx="text" anchory="text"/>
                </v:shape>
                <w10:wrap type="none" anchorx="text" anchory="text"/>
              </v:group>
            </w:pict>
          </mc:Fallback>
        </mc:AlternateContent>
      </w:r>
    </w:p>
    <w:p>
      <w:pPr>
        <w:pStyle w:val="0"/>
        <w:tabs>
          <w:tab w:val="left" w:leader="none" w:pos="567"/>
        </w:tabs>
        <w:spacing w:line="240" w:lineRule="auto"/>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spacing w:line="240" w:lineRule="auto"/>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right="132" w:rightChars="58"/>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tabs>
          <w:tab w:val="left" w:leader="none" w:pos="567"/>
        </w:tabs>
        <w:ind w:left="907" w:right="132" w:rightChars="58" w:hanging="907" w:hangingChars="400"/>
        <w:rPr>
          <w:rFonts w:hint="eastAsia" w:ascii="ＭＳ 明朝" w:hAnsi="ＭＳ 明朝" w:eastAsia="ＭＳ 明朝"/>
          <w:strike w:val="1"/>
          <w:color w:val="auto"/>
          <w:highlight w:val="none"/>
        </w:rPr>
      </w:pPr>
    </w:p>
    <w:p>
      <w:pPr>
        <w:pStyle w:val="0"/>
        <w:spacing w:line="0" w:lineRule="atLeast"/>
        <w:rPr>
          <w:rFonts w:hint="eastAsia" w:ascii="ＭＳ 明朝" w:hAnsi="ＭＳ 明朝" w:eastAsia="ＭＳ 明朝"/>
          <w:color w:val="auto"/>
          <w:sz w:val="16"/>
          <w:highlight w:val="none"/>
        </w:rPr>
      </w:pPr>
    </w:p>
    <w:p>
      <w:pPr>
        <w:pStyle w:val="0"/>
        <w:spacing w:line="0" w:lineRule="atLeast"/>
        <w:ind w:leftChars="0" w:firstLineChars="0"/>
        <w:jc w:val="center"/>
        <w:rPr>
          <w:rFonts w:hint="eastAsia" w:ascii="ＭＳ 明朝" w:hAnsi="ＭＳ 明朝" w:eastAsia="ＭＳ 明朝"/>
          <w:color w:val="auto"/>
          <w:sz w:val="16"/>
          <w:highlight w:val="none"/>
        </w:rPr>
      </w:pPr>
    </w:p>
    <w:tbl>
      <w:tblPr>
        <w:tblStyle w:val="44"/>
        <w:tblpPr w:leftFromText="0" w:rightFromText="0" w:topFromText="0" w:bottomFromText="0" w:vertAnchor="text" w:horzAnchor="margin" w:tblpX="39" w:tblpY="260"/>
        <w:tblOverlap w:val="never"/>
        <w:tblW w:w="9317" w:type="dxa"/>
        <w:tblLayout w:type="fixed"/>
        <w:tblLook w:firstRow="1" w:lastRow="0" w:firstColumn="1" w:lastColumn="0" w:noHBand="0" w:noVBand="1" w:val="04A0"/>
      </w:tblPr>
      <w:tblGrid>
        <w:gridCol w:w="888"/>
        <w:gridCol w:w="888"/>
        <w:gridCol w:w="888"/>
        <w:gridCol w:w="888"/>
        <w:gridCol w:w="887"/>
        <w:gridCol w:w="443"/>
        <w:gridCol w:w="887"/>
        <w:gridCol w:w="887"/>
        <w:gridCol w:w="887"/>
        <w:gridCol w:w="887"/>
        <w:gridCol w:w="887"/>
      </w:tblGrid>
      <w:tr>
        <w:trPr/>
        <w:tc>
          <w:tcPr>
            <w:tcW w:w="888"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県計</w:t>
            </w:r>
          </w:p>
        </w:tc>
        <w:tc>
          <w:tcPr>
            <w:tcW w:w="888"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幡多</w:t>
            </w:r>
          </w:p>
        </w:tc>
        <w:tc>
          <w:tcPr>
            <w:tcW w:w="888"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高幡</w:t>
            </w:r>
          </w:p>
        </w:tc>
        <w:tc>
          <w:tcPr>
            <w:tcW w:w="888"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中央</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安芸</w:t>
            </w:r>
          </w:p>
        </w:tc>
        <w:tc>
          <w:tcPr>
            <w:tcW w:w="443" w:type="dxa"/>
            <w:vMerge w:val="restart"/>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　　</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県計</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幡多</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高幡</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中央</w:t>
            </w:r>
          </w:p>
        </w:tc>
        <w:tc>
          <w:tcPr>
            <w:tcW w:w="887" w:type="dxa"/>
            <w:shd w:val="clear" w:color="auto" w:fill="DAEEF3"/>
            <w:vAlign w:val="center"/>
          </w:tcPr>
          <w:p>
            <w:pPr>
              <w:pStyle w:val="0"/>
              <w:jc w:val="center"/>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安芸</w:t>
            </w:r>
          </w:p>
        </w:tc>
      </w:tr>
      <w:tr>
        <w:trPr/>
        <w:tc>
          <w:tcPr>
            <w:tcW w:w="888"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896</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(1,325)</w:t>
            </w:r>
          </w:p>
        </w:tc>
        <w:tc>
          <w:tcPr>
            <w:tcW w:w="888"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70</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(126)</w:t>
            </w:r>
          </w:p>
        </w:tc>
        <w:tc>
          <w:tcPr>
            <w:tcW w:w="888"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72</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(65)</w:t>
            </w:r>
          </w:p>
        </w:tc>
        <w:tc>
          <w:tcPr>
            <w:tcW w:w="888"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648</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(1,018)</w:t>
            </w: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106</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(116)</w:t>
            </w:r>
          </w:p>
        </w:tc>
        <w:tc>
          <w:tcPr>
            <w:tcW w:w="443" w:type="dxa"/>
            <w:vMerge w:val="continue"/>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eastAsia"/>
              </w:rPr>
            </w:pP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1,616</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(2,686)</w:t>
            </w: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130</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(199)</w:t>
            </w: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164</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(219)</w:t>
            </w: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1,182</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(2,094)</w:t>
            </w:r>
          </w:p>
        </w:tc>
        <w:tc>
          <w:tcPr>
            <w:tcW w:w="887" w:type="dxa"/>
            <w:vAlign w:val="center"/>
          </w:tcPr>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140</w:t>
            </w:r>
          </w:p>
          <w:p>
            <w:pPr>
              <w:pStyle w:val="0"/>
              <w:spacing w:line="0" w:lineRule="atLeast"/>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174</w:t>
            </w:r>
            <w:r>
              <w:rPr>
                <w:rFonts w:hint="eastAsia" w:ascii="ＭＳ 明朝" w:hAnsi="ＭＳ 明朝" w:eastAsia="ＭＳ 明朝"/>
                <w:color w:val="auto"/>
                <w:sz w:val="16"/>
                <w:highlight w:val="none"/>
                <w:u w:val="none" w:color="auto"/>
              </w:rPr>
              <w:t>）</w:t>
            </w:r>
          </w:p>
        </w:tc>
      </w:tr>
    </w:tbl>
    <w:p>
      <w:pPr>
        <w:pStyle w:val="0"/>
        <w:tabs>
          <w:tab w:val="left" w:leader="none" w:pos="567"/>
        </w:tabs>
        <w:spacing w:line="0" w:lineRule="atLeast"/>
        <w:ind w:leftChars="0" w:firstLine="165" w:firstLineChars="99"/>
        <w:jc w:val="left"/>
        <w:rPr>
          <w:rFonts w:hint="eastAsia" w:ascii="ＭＳ 明朝" w:hAnsi="ＭＳ 明朝" w:eastAsia="ＭＳ 明朝"/>
          <w:color w:val="auto"/>
          <w:sz w:val="21"/>
          <w:highlight w:val="none"/>
        </w:rPr>
      </w:pPr>
      <w:r>
        <w:rPr>
          <w:rFonts w:hint="eastAsia" w:ascii="ＭＳ 明朝" w:hAnsi="ＭＳ 明朝" w:eastAsia="ＭＳ 明朝"/>
          <w:color w:val="auto"/>
          <w:sz w:val="16"/>
          <w:highlight w:val="none"/>
        </w:rPr>
        <w:t>外来患者の住所別患者数（人）　　　　　　　　　　　　　　　入院患者の住所別患者数（人）</w:t>
      </w:r>
    </w:p>
    <w:p>
      <w:pPr>
        <w:pStyle w:val="0"/>
        <w:tabs>
          <w:tab w:val="left" w:leader="none" w:pos="567"/>
        </w:tabs>
        <w:spacing w:line="0" w:lineRule="atLeast"/>
        <w:ind w:leftChars="0" w:firstLine="215" w:firstLineChars="99"/>
        <w:jc w:val="right"/>
        <w:rPr>
          <w:rFonts w:hint="eastAsia" w:ascii="ＭＳ 明朝" w:hAnsi="ＭＳ 明朝" w:eastAsia="ＭＳ 明朝"/>
          <w:color w:val="auto"/>
          <w:sz w:val="21"/>
          <w:highlight w:val="none"/>
        </w:rPr>
      </w:pPr>
    </w:p>
    <w:p>
      <w:pPr>
        <w:pStyle w:val="0"/>
        <w:tabs>
          <w:tab w:val="left" w:leader="none" w:pos="567"/>
        </w:tabs>
        <w:spacing w:line="0" w:lineRule="atLeast"/>
        <w:ind w:leftChars="0" w:firstLine="165" w:firstLineChars="99"/>
        <w:jc w:val="right"/>
        <w:rPr>
          <w:rFonts w:hint="eastAsia" w:ascii="ＭＳ 明朝" w:hAnsi="ＭＳ 明朝" w:eastAsia="ＭＳ 明朝"/>
          <w:color w:val="auto"/>
          <w:sz w:val="21"/>
          <w:highlight w:val="none"/>
        </w:rPr>
      </w:pPr>
    </w:p>
    <w:p>
      <w:pPr>
        <w:pStyle w:val="0"/>
        <w:tabs>
          <w:tab w:val="left" w:leader="none" w:pos="567"/>
        </w:tabs>
        <w:spacing w:line="0" w:lineRule="atLeast"/>
        <w:ind w:leftChars="0" w:firstLine="215" w:firstLineChars="99"/>
        <w:jc w:val="left"/>
        <w:rPr>
          <w:rFonts w:hint="eastAsia" w:ascii="ＭＳ 明朝" w:hAnsi="ＭＳ 明朝" w:eastAsia="ＭＳ 明朝"/>
          <w:color w:val="auto"/>
          <w:sz w:val="21"/>
          <w:highlight w:val="none"/>
        </w:rPr>
      </w:pPr>
    </w:p>
    <w:p>
      <w:pPr>
        <w:pStyle w:val="0"/>
        <w:tabs>
          <w:tab w:val="left" w:leader="none" w:pos="567"/>
        </w:tabs>
        <w:spacing w:line="0" w:lineRule="atLeast"/>
        <w:ind w:leftChars="0" w:firstLine="215" w:firstLineChars="99"/>
        <w:jc w:val="left"/>
        <w:rPr>
          <w:rFonts w:hint="eastAsia" w:ascii="ＭＳ 明朝" w:hAnsi="ＭＳ 明朝" w:eastAsia="ＭＳ 明朝"/>
          <w:color w:val="auto"/>
          <w:sz w:val="21"/>
          <w:highlight w:val="none"/>
        </w:rPr>
      </w:pPr>
    </w:p>
    <w:p>
      <w:pPr>
        <w:pStyle w:val="0"/>
        <w:tabs>
          <w:tab w:val="left" w:leader="none" w:pos="567"/>
        </w:tabs>
        <w:spacing w:line="240" w:lineRule="auto"/>
        <w:ind w:right="132" w:rightChars="58"/>
        <w:rPr>
          <w:rFonts w:hint="eastAsia" w:ascii="ＭＳ 明朝" w:hAnsi="ＭＳ 明朝" w:eastAsia="ＭＳ 明朝"/>
          <w:b w:val="1"/>
          <w:color w:val="0070C0"/>
          <w:sz w:val="24"/>
          <w:highlight w:val="none"/>
        </w:rPr>
      </w:pPr>
      <w:r>
        <w:rPr>
          <w:rFonts w:hint="eastAsia" w:ascii="ＭＳ 明朝" w:hAnsi="ＭＳ 明朝" w:eastAsia="ＭＳ 明朝"/>
          <w:b w:val="1"/>
          <w:color w:val="0070C0"/>
          <w:sz w:val="24"/>
          <w:highlight w:val="none"/>
        </w:rPr>
        <w:t>３　病院前救護活動と救急搬送の状況</w:t>
      </w:r>
    </w:p>
    <w:p>
      <w:pPr>
        <w:pStyle w:val="0"/>
        <w:tabs>
          <w:tab w:val="left" w:leader="none" w:pos="7704"/>
        </w:tabs>
        <w:spacing w:line="240" w:lineRule="auto"/>
        <w:ind w:left="234" w:leftChars="106" w:right="272" w:rightChars="123" w:firstLine="228" w:firstLineChars="103"/>
        <w:rPr>
          <w:rFonts w:hint="eastAsia" w:ascii="ＭＳ 明朝" w:hAnsi="ＭＳ 明朝" w:eastAsia="ＭＳ 明朝"/>
          <w:color w:val="auto"/>
          <w:kern w:val="0"/>
          <w:sz w:val="22"/>
          <w:highlight w:val="none"/>
          <w:u w:val="none" w:color="auto"/>
        </w:rPr>
      </w:pPr>
      <w:r>
        <w:rPr>
          <w:rFonts w:hint="eastAsia" w:ascii="ＭＳ 明朝" w:hAnsi="ＭＳ 明朝" w:eastAsia="ＭＳ 明朝"/>
          <w:color w:val="auto"/>
          <w:sz w:val="22"/>
          <w:highlight w:val="none"/>
          <w:u w:val="none" w:color="auto"/>
        </w:rPr>
        <w:t>救急隊は、脳卒中を疑った場合には、適切な病院前救護と病院の選定を行い、脳卒中センターあるいは脳卒中支援病院へ搬送します。また、居合わせた一般市民が脳卒中の症状を理解し、救急要請もしくは受診勧奨を行うことも重要です。</w:t>
      </w:r>
    </w:p>
    <w:p>
      <w:pPr>
        <w:pStyle w:val="0"/>
        <w:tabs>
          <w:tab w:val="left" w:leader="none" w:pos="7704"/>
        </w:tabs>
        <w:spacing w:line="240" w:lineRule="auto"/>
        <w:ind w:left="234" w:leftChars="106" w:right="272" w:rightChars="123" w:firstLine="228" w:firstLineChars="103"/>
        <w:rPr>
          <w:rFonts w:hint="eastAsia" w:ascii="ＭＳ 明朝" w:hAnsi="ＭＳ 明朝" w:eastAsia="ＭＳ 明朝"/>
          <w:color w:val="auto"/>
          <w:kern w:val="0"/>
          <w:sz w:val="22"/>
          <w:highlight w:val="none"/>
          <w:u w:val="none" w:color="auto"/>
        </w:rPr>
      </w:pPr>
      <w:r>
        <w:rPr>
          <w:rFonts w:hint="eastAsia" w:ascii="ＭＳ 明朝" w:hAnsi="ＭＳ 明朝" w:eastAsia="ＭＳ 明朝"/>
          <w:b w:val="0"/>
          <w:color w:val="auto"/>
          <w:sz w:val="22"/>
          <w:highlight w:val="none"/>
          <w:u w:val="none" w:color="auto"/>
        </w:rPr>
        <w:t>救急搬送が必要な患者を適切な医療機関に最短で搬送するため、県民向けに、脳卒中の急性症状や救急要請に関する啓発を行</w:t>
      </w:r>
      <w:bookmarkStart w:id="0" w:name="_GoBack"/>
      <w:bookmarkEnd w:id="0"/>
      <w:r>
        <w:rPr>
          <w:rFonts w:hint="eastAsia" w:ascii="ＭＳ 明朝" w:hAnsi="ＭＳ 明朝" w:eastAsia="ＭＳ 明朝"/>
          <w:b w:val="0"/>
          <w:color w:val="auto"/>
          <w:sz w:val="22"/>
          <w:highlight w:val="none"/>
          <w:u w:val="none" w:color="auto"/>
        </w:rPr>
        <w:t>っています。</w:t>
      </w:r>
    </w:p>
    <w:p>
      <w:pPr>
        <w:pStyle w:val="0"/>
        <w:tabs>
          <w:tab w:val="left" w:leader="none" w:pos="7704"/>
        </w:tabs>
        <w:spacing w:line="240" w:lineRule="auto"/>
        <w:ind w:left="234" w:leftChars="106" w:right="272" w:rightChars="123" w:firstLine="228" w:firstLineChars="103"/>
        <w:rPr>
          <w:rFonts w:hint="eastAsia" w:ascii="ＭＳ 明朝" w:hAnsi="ＭＳ 明朝" w:eastAsia="ＭＳ 明朝"/>
          <w:color w:val="auto"/>
          <w:kern w:val="0"/>
          <w:sz w:val="22"/>
          <w:highlight w:val="none"/>
          <w:u w:val="none" w:color="auto"/>
        </w:rPr>
      </w:pPr>
      <w:r>
        <w:rPr>
          <w:rFonts w:hint="eastAsia" w:ascii="ＭＳ 明朝" w:hAnsi="ＭＳ 明朝" w:eastAsia="ＭＳ 明朝"/>
          <w:b w:val="0"/>
          <w:color w:val="auto"/>
          <w:sz w:val="22"/>
          <w:highlight w:val="none"/>
          <w:u w:val="none" w:color="auto"/>
        </w:rPr>
        <w:t>また、脳卒中患者の状態評価から病院選定をより円滑に行えるよう、平成</w:t>
      </w:r>
      <w:r>
        <w:rPr>
          <w:rFonts w:hint="eastAsia" w:ascii="ＭＳ 明朝" w:hAnsi="ＭＳ 明朝" w:eastAsia="ＭＳ 明朝"/>
          <w:b w:val="0"/>
          <w:color w:val="auto"/>
          <w:sz w:val="22"/>
          <w:highlight w:val="none"/>
          <w:u w:val="none" w:color="auto"/>
        </w:rPr>
        <w:t>31</w:t>
      </w:r>
      <w:r>
        <w:rPr>
          <w:rFonts w:hint="eastAsia" w:ascii="ＭＳ 明朝" w:hAnsi="ＭＳ 明朝" w:eastAsia="ＭＳ 明朝"/>
          <w:b w:val="0"/>
          <w:color w:val="auto"/>
          <w:sz w:val="22"/>
          <w:highlight w:val="none"/>
          <w:u w:val="none" w:color="auto"/>
        </w:rPr>
        <w:t>年４月より脳卒中プロトコールの運用を開始しています。令和４年高知県脳卒中患者実態調査によると、</w:t>
      </w:r>
      <w:r>
        <w:rPr>
          <w:rFonts w:hint="eastAsia" w:ascii="ＭＳ 明朝" w:hAnsi="ＭＳ 明朝" w:eastAsia="ＭＳ 明朝"/>
          <w:b w:val="0"/>
          <w:color w:val="auto"/>
          <w:sz w:val="22"/>
          <w:highlight w:val="none"/>
          <w:u w:val="none" w:color="auto"/>
        </w:rPr>
        <w:t>52.3</w:t>
      </w:r>
      <w:r>
        <w:rPr>
          <w:rFonts w:hint="eastAsia" w:ascii="ＭＳ 明朝" w:hAnsi="ＭＳ 明朝" w:eastAsia="ＭＳ 明朝"/>
          <w:b w:val="0"/>
          <w:color w:val="auto"/>
          <w:sz w:val="22"/>
          <w:highlight w:val="none"/>
          <w:u w:val="none" w:color="auto"/>
        </w:rPr>
        <w:t>％は救急車による搬送となっており</w:t>
      </w:r>
      <w:r>
        <w:rPr>
          <w:rFonts w:hint="eastAsia" w:ascii="ＭＳ 明朝" w:hAnsi="ＭＳ 明朝" w:eastAsia="ＭＳ 明朝"/>
          <w:color w:val="auto"/>
          <w:sz w:val="22"/>
          <w:highlight w:val="none"/>
          <w:u w:val="none" w:color="auto"/>
        </w:rPr>
        <w:t>（図表</w:t>
      </w:r>
      <w:r>
        <w:rPr>
          <w:rFonts w:hint="eastAsia" w:ascii="ＭＳ 明朝" w:hAnsi="ＭＳ 明朝" w:eastAsia="ＭＳ 明朝"/>
          <w:color w:val="auto"/>
          <w:sz w:val="22"/>
          <w:highlight w:val="none"/>
          <w:u w:val="none" w:color="auto"/>
        </w:rPr>
        <w:t>6-2-16</w:t>
      </w:r>
      <w:r>
        <w:rPr>
          <w:rFonts w:hint="eastAsia" w:ascii="ＭＳ 明朝" w:hAnsi="ＭＳ 明朝" w:eastAsia="ＭＳ 明朝"/>
          <w:color w:val="auto"/>
          <w:sz w:val="22"/>
          <w:highlight w:val="none"/>
          <w:u w:val="none" w:color="auto"/>
        </w:rPr>
        <w:t>）</w:t>
      </w:r>
      <w:r>
        <w:rPr>
          <w:rFonts w:hint="eastAsia" w:ascii="ＭＳ 明朝" w:hAnsi="ＭＳ 明朝" w:eastAsia="ＭＳ 明朝"/>
          <w:b w:val="0"/>
          <w:color w:val="auto"/>
          <w:sz w:val="22"/>
          <w:highlight w:val="none"/>
          <w:u w:val="none" w:color="auto"/>
        </w:rPr>
        <w:t>、脳卒中プロトコール活用による円滑な搬送が求められます。</w:t>
      </w:r>
    </w:p>
    <w:p>
      <w:pPr>
        <w:pStyle w:val="0"/>
        <w:tabs>
          <w:tab w:val="left" w:leader="none" w:pos="7704"/>
        </w:tabs>
        <w:spacing w:line="240" w:lineRule="auto"/>
        <w:ind w:left="230" w:leftChars="106" w:firstLine="223" w:firstLineChars="103"/>
        <w:rPr>
          <w:rFonts w:hint="eastAsia" w:ascii="ＭＳ 明朝" w:hAnsi="ＭＳ 明朝" w:eastAsia="ＭＳ 明朝"/>
          <w:color w:val="auto"/>
          <w:kern w:val="0"/>
          <w:sz w:val="22"/>
          <w:highlight w:val="none"/>
          <w:u w:val="none" w:color="auto"/>
        </w:rPr>
      </w:pPr>
      <w:r>
        <w:rPr>
          <w:rFonts w:hint="eastAsia" w:ascii="ＭＳ 明朝" w:hAnsi="ＭＳ 明朝" w:eastAsia="ＭＳ 明朝"/>
          <w:color w:val="auto"/>
          <w:sz w:val="22"/>
          <w:highlight w:val="none"/>
          <w:u w:val="none" w:color="auto"/>
        </w:rPr>
        <w:t>救急要請から現場到着及び医療機関への収容までに要した平均時間については、令和元年から３年にかけて、新型コロナウイルス感染症による搬送困難事例の増加等の影響により、全国的に平均所要時間が遅延しています（図表</w:t>
      </w:r>
      <w:r>
        <w:rPr>
          <w:rFonts w:hint="eastAsia" w:ascii="ＭＳ 明朝" w:hAnsi="ＭＳ 明朝" w:eastAsia="ＭＳ 明朝"/>
          <w:color w:val="auto"/>
          <w:sz w:val="22"/>
          <w:highlight w:val="none"/>
          <w:u w:val="none" w:color="auto"/>
        </w:rPr>
        <w:t>6-2-17</w:t>
      </w:r>
      <w:r>
        <w:rPr>
          <w:rFonts w:hint="eastAsia" w:ascii="ＭＳ 明朝" w:hAnsi="ＭＳ 明朝" w:eastAsia="ＭＳ 明朝"/>
          <w:color w:val="auto"/>
          <w:sz w:val="22"/>
          <w:highlight w:val="none"/>
          <w:u w:val="none" w:color="auto"/>
        </w:rPr>
        <w:t>）。</w:t>
      </w:r>
    </w:p>
    <w:p>
      <w:pPr>
        <w:pStyle w:val="0"/>
        <w:tabs>
          <w:tab w:val="left" w:leader="none" w:pos="567"/>
        </w:tabs>
        <w:spacing w:line="240" w:lineRule="auto"/>
        <w:ind w:leftChars="0" w:right="132" w:rightChars="58" w:firstLine="0" w:firstLineChars="0"/>
        <w:rPr>
          <w:rFonts w:hint="eastAsia" w:ascii="ＭＳ 明朝" w:hAnsi="ＭＳ 明朝" w:eastAsia="ＭＳ 明朝"/>
          <w:color w:val="auto"/>
          <w:kern w:val="0"/>
          <w:highlight w:val="none"/>
        </w:rPr>
      </w:pPr>
      <w:r>
        <w:rPr>
          <w:rFonts w:hint="eastAsia"/>
          <w:highlight w:val="none"/>
        </w:rPr>
        <mc:AlternateContent>
          <mc:Choice Requires="wps">
            <w:drawing>
              <wp:anchor distT="0" distB="0" distL="203200" distR="203200" simplePos="0" relativeHeight="3" behindDoc="0" locked="0" layoutInCell="1" hidden="0" allowOverlap="1">
                <wp:simplePos x="0" y="0"/>
                <wp:positionH relativeFrom="column">
                  <wp:posOffset>3740150</wp:posOffset>
                </wp:positionH>
                <wp:positionV relativeFrom="paragraph">
                  <wp:posOffset>4077970</wp:posOffset>
                </wp:positionV>
                <wp:extent cx="1908175" cy="211455"/>
                <wp:effectExtent l="0" t="0" r="635" b="635"/>
                <wp:wrapNone/>
                <wp:docPr id="1117" name="オブジェクト 0"/>
                <a:graphic xmlns:a="http://schemas.openxmlformats.org/drawingml/2006/main">
                  <a:graphicData uri="http://schemas.microsoft.com/office/word/2010/wordprocessingShape">
                    <wps:wsp>
                      <wps:cNvPr id="1117" name="オブジェクト 0"/>
                      <wps:cNvSpPr txBox="1"/>
                      <wps:spPr>
                        <a:xfrm>
                          <a:off x="0" y="0"/>
                          <a:ext cx="1908175" cy="211455"/>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rPr>
                                <w:rFonts w:hint="eastAsia" w:asciiTheme="minorEastAsia" w:hAnsiTheme="minorEastAsia" w:eastAsiaTheme="minorEastAsia"/>
                                <w:sz w:val="16"/>
                              </w:rPr>
                            </w:pPr>
                            <w:r>
                              <w:rPr>
                                <w:rFonts w:hint="eastAsia" w:asciiTheme="minorEastAsia" w:hAnsiTheme="minorEastAsia" w:eastAsiaTheme="minorEastAsia"/>
                                <w:sz w:val="16"/>
                              </w:rPr>
                              <w:t>出典：令和４年版</w:t>
                            </w:r>
                            <w:r>
                              <w:rPr>
                                <w:rFonts w:hint="eastAsia" w:asciiTheme="minorEastAsia" w:hAnsiTheme="minorEastAsia" w:eastAsiaTheme="minorEastAsia"/>
                                <w:sz w:val="16"/>
                              </w:rPr>
                              <w:t xml:space="preserve"> </w:t>
                            </w:r>
                            <w:r>
                              <w:rPr>
                                <w:rFonts w:hint="eastAsia" w:asciiTheme="minorEastAsia" w:hAnsiTheme="minorEastAsia" w:eastAsiaTheme="minorEastAsia"/>
                                <w:sz w:val="16"/>
                              </w:rPr>
                              <w:t>救急・救助の現況</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21.10000000000002pt;mso-position-vertical-relative:text;mso-position-horizontal-relative:text;position:absolute;height:16.64pt;mso-wrap-distance-top:0pt;width:150.25pt;mso-wrap-distance-left:16pt;margin-left:294.5pt;z-index:3;" o:spid="_x0000_s1117" o:allowincell="t" o:allowoverlap="t" filled="t" fillcolor="#ffffff" stroked="f" strokeweight="0.5pt" o:spt="202" type="#_x0000_t202">
                <v:fill/>
                <v:stroke linestyle="single"/>
                <v:textbox style="layout-flow:horizontal;" inset="2.0637499999999998mm,0.24694444444444438mm,2.0637499999999998mm,0.24694444444444438mm">
                  <w:txbxContent>
                    <w:p>
                      <w:pPr>
                        <w:pStyle w:val="0"/>
                        <w:spacing w:line="240" w:lineRule="auto"/>
                        <w:rPr>
                          <w:rFonts w:hint="eastAsia" w:asciiTheme="minorEastAsia" w:hAnsiTheme="minorEastAsia" w:eastAsiaTheme="minorEastAsia"/>
                          <w:sz w:val="16"/>
                        </w:rPr>
                      </w:pPr>
                      <w:r>
                        <w:rPr>
                          <w:rFonts w:hint="eastAsia" w:asciiTheme="minorEastAsia" w:hAnsiTheme="minorEastAsia" w:eastAsiaTheme="minorEastAsia"/>
                          <w:sz w:val="16"/>
                        </w:rPr>
                        <w:t>出典：令和４年版</w:t>
                      </w:r>
                      <w:r>
                        <w:rPr>
                          <w:rFonts w:hint="eastAsia" w:asciiTheme="minorEastAsia" w:hAnsiTheme="minorEastAsia" w:eastAsiaTheme="minorEastAsia"/>
                          <w:sz w:val="16"/>
                        </w:rPr>
                        <w:t xml:space="preserve"> </w:t>
                      </w:r>
                      <w:r>
                        <w:rPr>
                          <w:rFonts w:hint="eastAsia" w:asciiTheme="minorEastAsia" w:hAnsiTheme="minorEastAsia" w:eastAsiaTheme="minorEastAsia"/>
                          <w:sz w:val="16"/>
                        </w:rPr>
                        <w:t>救急・救助の現況</w:t>
                      </w:r>
                    </w:p>
                  </w:txbxContent>
                </v:textbox>
                <v:imagedata o:title=""/>
                <w10:wrap type="none" anchorx="text" anchory="text"/>
              </v:shape>
            </w:pict>
          </mc:Fallback>
        </mc:AlternateContent>
      </w:r>
      <w:r>
        <w:rPr>
          <w:rFonts w:hint="eastAsia" w:ascii="ＭＳ 明朝" w:hAnsi="ＭＳ 明朝" w:eastAsia="ＭＳ 明朝"/>
          <w:color w:val="auto"/>
          <w:highlight w:val="none"/>
        </w:rPr>
        <w:br w:type="page"/>
      </w:r>
    </w:p>
    <w:p>
      <w:pPr>
        <w:pStyle w:val="0"/>
        <w:tabs>
          <w:tab w:val="left" w:leader="none" w:pos="7704"/>
        </w:tabs>
        <w:spacing w:line="240" w:lineRule="auto"/>
        <w:rPr>
          <w:rFonts w:hint="eastAsia" w:ascii="ＭＳ 明朝" w:hAnsi="ＭＳ 明朝" w:eastAsia="ＭＳ 明朝"/>
          <w:b w:val="1"/>
          <w:color w:val="002060"/>
          <w:highlight w:val="none"/>
          <w:u w:val="none" w:color="auto"/>
        </w:rPr>
      </w:pPr>
      <w:r>
        <w:rPr>
          <w:rFonts w:hint="eastAsia"/>
        </w:rPr>
        <mc:AlternateContent>
          <mc:Choice Requires="wpg">
            <w:drawing>
              <wp:anchor simplePos="0" relativeHeight="90" behindDoc="0" locked="0" layoutInCell="1" hidden="0" allowOverlap="1">
                <wp:simplePos x="0" y="0"/>
                <wp:positionH relativeFrom="column">
                  <wp:posOffset>0</wp:posOffset>
                </wp:positionH>
                <wp:positionV relativeFrom="paragraph">
                  <wp:posOffset>13335</wp:posOffset>
                </wp:positionV>
                <wp:extent cx="5810250" cy="2493010"/>
                <wp:effectExtent l="0" t="0" r="635" b="635"/>
                <wp:wrapNone/>
                <wp:docPr id="1118" name="オブジェクト 0"/>
                <a:graphic xmlns:a="http://schemas.openxmlformats.org/drawingml/2006/main">
                  <a:graphicData uri="http://schemas.microsoft.com/office/word/2010/wordprocessingGroup">
                    <wpg:wgp>
                      <wpg:cNvGrpSpPr/>
                      <wpg:grpSpPr>
                        <a:xfrm>
                          <a:off x="0" y="0"/>
                          <a:ext cx="5810250" cy="2493010"/>
                          <a:chOff x="1418" y="1439"/>
                          <a:chExt cx="9150" cy="3926"/>
                        </a:xfrm>
                      </wpg:grpSpPr>
                      <wpg:graphicFrame>
                        <wpg:cNvPr id="1119" name="オブジェクト 0"/>
                        <wpg:cNvFrPr/>
                        <wpg:xfrm>
                          <a:off x="1436" y="1694"/>
                          <a:ext cx="8617" cy="3467"/>
                        </wpg:xfrm>
                        <a:graphic>
                          <a:graphicData uri="http://schemas.openxmlformats.org/drawingml/2006/chart">
                            <c:chart xmlns:c="http://schemas.openxmlformats.org/drawingml/2006/chart" r:id="rId44"/>
                          </a:graphicData>
                        </a:graphic>
                      </wpg:graphicFrame>
                      <wps:wsp>
                        <wps:cNvPr id="1120" name="オブジェクト 0"/>
                        <wps:cNvSpPr txBox="1"/>
                        <wps:spPr>
                          <a:xfrm>
                            <a:off x="1418" y="1439"/>
                            <a:ext cx="8993" cy="4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6-2-16</w:t>
                              </w:r>
                              <w:r>
                                <w:rPr>
                                  <w:rFonts w:hint="eastAsia" w:ascii="ＭＳ ゴシック" w:hAnsi="ＭＳ ゴシック" w:eastAsia="ＭＳ ゴシック"/>
                                  <w:sz w:val="22"/>
                                </w:rPr>
                                <w:t>）脳卒中患者の搬送方法</w:t>
                              </w:r>
                            </w:p>
                          </w:txbxContent>
                        </wps:txbx>
                        <wps:bodyPr vertOverflow="overflow" horzOverflow="overflow" wrap="square" lIns="74295" tIns="8890" rIns="74295" bIns="8890"/>
                      </wps:wsp>
                      <wps:wsp>
                        <wps:cNvPr id="1121" name="オブジェクト 0"/>
                        <wps:cNvSpPr txBox="1"/>
                        <wps:spPr>
                          <a:xfrm>
                            <a:off x="7563" y="5032"/>
                            <a:ext cx="3005" cy="33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rPr>
                                  <w:rFonts w:hint="eastAsia" w:ascii="ＭＳ 明朝" w:hAnsi="ＭＳ 明朝" w:eastAsia="ＭＳ 明朝"/>
                                  <w:sz w:val="16"/>
                                </w:rPr>
                              </w:pPr>
                              <w:r>
                                <w:rPr>
                                  <w:rFonts w:hint="eastAsia" w:ascii="ＭＳ 明朝" w:hAnsi="ＭＳ 明朝" w:eastAsia="ＭＳ 明朝"/>
                                  <w:sz w:val="16"/>
                                </w:rPr>
                                <w:t>出典：高知県脳卒中患者実態調査</w:t>
                              </w:r>
                            </w:p>
                          </w:txbxContent>
                        </wps:txbx>
                        <wps:bodyPr vertOverflow="overflow" horzOverflow="overflow" wrap="square" lIns="74295" tIns="8890" rIns="74295" bIns="8890"/>
                      </wps:wsp>
                    </wpg:wgp>
                  </a:graphicData>
                </a:graphic>
              </wp:anchor>
            </w:drawing>
          </mc:Choice>
          <mc:Fallback>
            <w:pict>
              <v:group id="オブジェクト 0" style="margin-top:1.05pt;mso-position-vertical-relative:text;mso-position-horizontal-relative:text;position:absolute;height:196.3pt;width:457.5pt;margin-left:0pt;z-index:90;" coordsize="9150,3926" coordorigin="1418,1439" o:spid="_x0000_s1118" o:allowincell="t" o:allowoverla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3467;width:8617;top:1694;left:1436;position:absolute;" o:spid="_x0000_s1119" filled="f" stroked="f" o:spt="75" type="#_x0000_t75">
                  <v:fill/>
                  <v:imagedata o:title="" r:id="rId45"/>
                  <w10:wrap type="none" anchorx="text" anchory="text"/>
                </v:shape>
                <v:shapetype id="_x0000_t202" coordsize="21600,21600" o:spt="202" path="m,l,21600r21600,l21600,xe">
                  <v:stroke joinstyle="miter"/>
                  <v:path gradientshapeok="t" o:connecttype="rect"/>
                </v:shapetype>
                <v:shape id="オブジェクト 0" style="height:420;width:8993;top:1439;left:1418;position:absolute;" o:spid="_x0000_s1120"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6-2-16</w:t>
                        </w:r>
                        <w:r>
                          <w:rPr>
                            <w:rFonts w:hint="eastAsia" w:ascii="ＭＳ ゴシック" w:hAnsi="ＭＳ ゴシック" w:eastAsia="ＭＳ ゴシック"/>
                            <w:sz w:val="22"/>
                          </w:rPr>
                          <w:t>）脳卒中患者の搬送方法</w:t>
                        </w:r>
                      </w:p>
                    </w:txbxContent>
                  </v:textbox>
                  <v:imagedata o:title=""/>
                  <w10:wrap type="none" anchorx="text" anchory="text"/>
                </v:shape>
                <v:shape id="オブジェクト 0" style="height:333;width:3005;top:5032;left:7563;position:absolute;" o:spid="_x0000_s1121" filled="t" fillcolor="#ffffff" stroked="f" strokeweight="0.5pt" o:spt="202" type="#_x0000_t202">
                  <v:fill/>
                  <v:stroke linestyle="single"/>
                  <v:textbox style="layout-flow:horizontal;" inset="2.0637499999999998mm,0.24694444444444438mm,2.0637499999999998mm,0.24694444444444438mm">
                    <w:txbxContent>
                      <w:p>
                        <w:pPr>
                          <w:pStyle w:val="0"/>
                          <w:spacing w:line="240" w:lineRule="auto"/>
                          <w:rPr>
                            <w:rFonts w:hint="eastAsia" w:ascii="ＭＳ 明朝" w:hAnsi="ＭＳ 明朝" w:eastAsia="ＭＳ 明朝"/>
                            <w:sz w:val="16"/>
                          </w:rPr>
                        </w:pPr>
                        <w:r>
                          <w:rPr>
                            <w:rFonts w:hint="eastAsia" w:ascii="ＭＳ 明朝" w:hAnsi="ＭＳ 明朝" w:eastAsia="ＭＳ 明朝"/>
                            <w:sz w:val="16"/>
                          </w:rPr>
                          <w:t>出典：高知県脳卒中患者実態調査</w:t>
                        </w:r>
                      </w:p>
                    </w:txbxContent>
                  </v:textbox>
                  <v:imagedata o:title=""/>
                  <w10:wrap type="none" anchorx="text" anchory="text"/>
                </v:shape>
                <w10:wrap type="none" anchorx="text" anchory="text"/>
              </v:group>
            </w:pict>
          </mc:Fallback>
        </mc:AlternateContent>
      </w: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r>
        <w:rPr>
          <w:rFonts w:hint="eastAsia"/>
        </w:rPr>
        <mc:AlternateContent>
          <mc:Choice Requires="wpg">
            <w:drawing>
              <wp:anchor simplePos="0" relativeHeight="114" behindDoc="0" locked="0" layoutInCell="1" hidden="0" allowOverlap="1">
                <wp:simplePos x="0" y="0"/>
                <wp:positionH relativeFrom="column">
                  <wp:posOffset>0</wp:posOffset>
                </wp:positionH>
                <wp:positionV relativeFrom="paragraph">
                  <wp:posOffset>215265</wp:posOffset>
                </wp:positionV>
                <wp:extent cx="5710555" cy="2068195"/>
                <wp:effectExtent l="0" t="0" r="635" b="635"/>
                <wp:wrapNone/>
                <wp:docPr id="1122" name="オブジェクト 0"/>
                <a:graphic xmlns:a="http://schemas.openxmlformats.org/drawingml/2006/main">
                  <a:graphicData uri="http://schemas.microsoft.com/office/word/2010/wordprocessingGroup">
                    <wpg:wgp>
                      <wpg:cNvGrpSpPr/>
                      <wpg:grpSpPr>
                        <a:xfrm>
                          <a:off x="0" y="0"/>
                          <a:ext cx="5710555" cy="2068195"/>
                          <a:chOff x="1418" y="5508"/>
                          <a:chExt cx="8993" cy="3257"/>
                        </a:xfrm>
                      </wpg:grpSpPr>
                      <wps:wsp>
                        <wps:cNvPr id="1123" name="オブジェクト 0"/>
                        <wps:cNvSpPr txBox="1"/>
                        <wps:spPr>
                          <a:xfrm>
                            <a:off x="1418" y="5508"/>
                            <a:ext cx="8993" cy="42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6-2-17</w:t>
                              </w:r>
                              <w:r>
                                <w:rPr>
                                  <w:rFonts w:hint="eastAsia" w:ascii="ＭＳ ゴシック" w:hAnsi="ＭＳ ゴシック" w:eastAsia="ＭＳ ゴシック"/>
                                  <w:sz w:val="22"/>
                                </w:rPr>
                                <w:t>）救急要請から現場到着まで及び医療機関収容までに要した時間</w:t>
                              </w:r>
                            </w:p>
                          </w:txbxContent>
                        </wps:txbx>
                        <wps:bodyPr vertOverflow="overflow" horzOverflow="overflow" wrap="square" lIns="74295" tIns="8890" rIns="74295" bIns="8890"/>
                      </wps:wsp>
                      <wpg:graphicFrame>
                        <wpg:cNvPr id="1124" name="オブジェクト 0"/>
                        <wpg:cNvFrPr/>
                        <wpg:xfrm>
                          <a:off x="1605" y="5919"/>
                          <a:ext cx="4237" cy="2532"/>
                        </wpg:xfrm>
                        <a:graphic>
                          <a:graphicData uri="http://schemas.openxmlformats.org/drawingml/2006/chart">
                            <c:chart xmlns:c="http://schemas.openxmlformats.org/drawingml/2006/chart" r:id="rId46"/>
                          </a:graphicData>
                        </a:graphic>
                      </wpg:graphicFrame>
                      <wpg:graphicFrame>
                        <wpg:cNvPr id="1125" name="オブジェクト 0"/>
                        <wpg:cNvFrPr/>
                        <wpg:xfrm>
                          <a:off x="5990" y="5954"/>
                          <a:ext cx="4221" cy="2552"/>
                        </wpg:xfrm>
                        <a:graphic>
                          <a:graphicData uri="http://schemas.openxmlformats.org/drawingml/2006/chart">
                            <c:chart xmlns:c="http://schemas.openxmlformats.org/drawingml/2006/chart" r:id="rId47"/>
                          </a:graphicData>
                        </a:graphic>
                      </wpg:graphicFrame>
                      <wps:wsp>
                        <wps:cNvPr id="1126" name="オブジェクト 0"/>
                        <wps:cNvSpPr txBox="1"/>
                        <wps:spPr>
                          <a:xfrm>
                            <a:off x="8121" y="8432"/>
                            <a:ext cx="2154" cy="333"/>
                          </a:xfrm>
                          <a:prstGeom prst="rect">
                            <a:avLst/>
                          </a:prstGeom>
                          <a:solidFill>
                            <a:srgbClr val="FFFFFF"/>
                          </a:solidFill>
                          <a:ln w="6350" cmpd="sng">
                            <a:noFill/>
                          </a:ln>
                        </wps:spPr>
                        <wps:style>
                          <a:lnRef idx="0">
                            <a:srgbClr val="000000"/>
                          </a:lnRef>
                          <a:fillRef idx="0">
                            <a:srgbClr val="000000"/>
                          </a:fillRef>
                          <a:effectRef idx="0">
                            <a:srgbClr val="000000"/>
                          </a:effectRef>
                          <a:fontRef idx="minor">
                            <a:schemeClr val="dk1"/>
                          </a:fontRef>
                        </wps:style>
                        <wps:txbx>
                          <w:txbxContent>
                            <w:p>
                              <w:pPr>
                                <w:pStyle w:val="0"/>
                                <w:spacing w:line="240" w:lineRule="auto"/>
                                <w:rPr>
                                  <w:rFonts w:hint="eastAsia" w:ascii="ＭＳ 明朝" w:hAnsi="ＭＳ 明朝" w:eastAsia="ＭＳ 明朝"/>
                                  <w:sz w:val="16"/>
                                </w:rPr>
                              </w:pPr>
                              <w:r>
                                <w:rPr>
                                  <w:rFonts w:hint="eastAsia" w:ascii="ＭＳ 明朝" w:hAnsi="ＭＳ 明朝" w:eastAsia="ＭＳ 明朝"/>
                                  <w:sz w:val="16"/>
                                </w:rPr>
                                <w:t>出典：救急・救助の現況</w:t>
                              </w:r>
                            </w:p>
                          </w:txbxContent>
                        </wps:txbx>
                        <wps:bodyPr vertOverflow="overflow" horzOverflow="overflow" wrap="square" lIns="74295" tIns="8890" rIns="74295" bIns="8890"/>
                      </wps:wsp>
                    </wpg:wgp>
                  </a:graphicData>
                </a:graphic>
              </wp:anchor>
            </w:drawing>
          </mc:Choice>
          <mc:Fallback>
            <w:pict>
              <v:group id="オブジェクト 0" style="margin-top:16.95pt;mso-position-vertical-relative:text;mso-position-horizontal-relative:text;position:absolute;height:162.85pt;width:449.65pt;margin-left:0pt;z-index:114;" coordsize="8993,3257" coordorigin="1418,5508" o:spid="_x0000_s1122" o:allowincell="t" o:allowoverlap="t">
                <v:shapetype id="_x0000_t202" coordsize="21600,21600" o:spt="202" path="m,l,21600r21600,l21600,xe">
                  <v:stroke joinstyle="miter"/>
                  <v:path gradientshapeok="t" o:connecttype="rect"/>
                </v:shapetype>
                <v:shape id="オブジェクト 0" style="height:420;width:8993;top:5508;left:1418;position:absolute;" o:spid="_x0000_s1123" filled="f" stroked="f" strokeweight="0.5pt" o:spt="202" type="#_x0000_t202">
                  <v:fill/>
                  <v:stroke linestyle="single"/>
                  <v:textbox style="layout-flow:horizontal;"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sz w:val="22"/>
                          </w:rPr>
                          <w:t>（図表</w:t>
                        </w:r>
                        <w:r>
                          <w:rPr>
                            <w:rFonts w:hint="eastAsia" w:ascii="ＭＳ ゴシック" w:hAnsi="ＭＳ ゴシック" w:eastAsia="ＭＳ ゴシック"/>
                            <w:color w:val="auto"/>
                            <w:sz w:val="22"/>
                            <w:u w:val="none" w:color="auto"/>
                          </w:rPr>
                          <w:t>6-2-17</w:t>
                        </w:r>
                        <w:r>
                          <w:rPr>
                            <w:rFonts w:hint="eastAsia" w:ascii="ＭＳ ゴシック" w:hAnsi="ＭＳ ゴシック" w:eastAsia="ＭＳ ゴシック"/>
                            <w:sz w:val="22"/>
                          </w:rPr>
                          <w:t>）救急要請から現場到着まで及び医療機関収容までに要した時間</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532;width:4237;top:5919;left:1605;position:absolute;" o:spid="_x0000_s1124" filled="f" stroked="f" o:spt="75" type="#_x0000_t75">
                  <v:fill/>
                  <v:imagedata o:title="" r:id="rId48"/>
                  <w10:wrap type="none" anchorx="text" anchory="text"/>
                </v:shape>
                <v:shape id="オブジェクト 0" style="height:2552;width:4221;top:5954;left:5990;position:absolute;" o:spid="_x0000_s1125" filled="f" stroked="f" o:spt="75" type="#_x0000_t75">
                  <v:fill/>
                  <v:imagedata o:title="" r:id="rId49"/>
                  <w10:wrap type="none" anchorx="text" anchory="text"/>
                </v:shape>
                <v:shape id="オブジェクト 0" style="height:333;width:2154;top:8432;left:8121;position:absolute;" o:spid="_x0000_s1126" filled="t" fillcolor="#ffffff" stroked="f" strokeweight="0.5pt" o:spt="202" type="#_x0000_t202">
                  <v:fill/>
                  <v:stroke linestyle="single"/>
                  <v:textbox style="layout-flow:horizontal;" inset="2.0637499999999998mm,0.24694444444444438mm,2.0637499999999998mm,0.24694444444444438mm">
                    <w:txbxContent>
                      <w:p>
                        <w:pPr>
                          <w:pStyle w:val="0"/>
                          <w:spacing w:line="240" w:lineRule="auto"/>
                          <w:rPr>
                            <w:rFonts w:hint="eastAsia" w:ascii="ＭＳ 明朝" w:hAnsi="ＭＳ 明朝" w:eastAsia="ＭＳ 明朝"/>
                            <w:sz w:val="16"/>
                          </w:rPr>
                        </w:pPr>
                        <w:r>
                          <w:rPr>
                            <w:rFonts w:hint="eastAsia" w:ascii="ＭＳ 明朝" w:hAnsi="ＭＳ 明朝" w:eastAsia="ＭＳ 明朝"/>
                            <w:sz w:val="16"/>
                          </w:rPr>
                          <w:t>出典：救急・救助の現況</w:t>
                        </w:r>
                      </w:p>
                    </w:txbxContent>
                  </v:textbox>
                  <v:imagedata o:title=""/>
                  <w10:wrap type="none" anchorx="text" anchory="text"/>
                </v:shape>
                <w10:wrap type="none" anchorx="text" anchory="text"/>
              </v:group>
            </w:pict>
          </mc:Fallback>
        </mc:AlternateContent>
      </w: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p>
    <w:p>
      <w:pPr>
        <w:pStyle w:val="0"/>
        <w:tabs>
          <w:tab w:val="left" w:leader="none" w:pos="7704"/>
        </w:tabs>
        <w:spacing w:line="240" w:lineRule="auto"/>
        <w:rPr>
          <w:rFonts w:hint="eastAsia" w:ascii="ＭＳ 明朝" w:hAnsi="ＭＳ 明朝" w:eastAsia="ＭＳ 明朝"/>
          <w:b w:val="1"/>
          <w:color w:val="002060"/>
          <w:sz w:val="22"/>
          <w:highlight w:val="none"/>
          <w:u w:val="none" w:color="auto"/>
        </w:rPr>
      </w:pPr>
      <w:r>
        <w:rPr>
          <w:rFonts w:hint="eastAsia" w:ascii="ＭＳ 明朝" w:hAnsi="ＭＳ 明朝" w:eastAsia="ＭＳ 明朝"/>
          <w:b w:val="1"/>
          <w:color w:val="0070C0"/>
          <w:sz w:val="24"/>
          <w:highlight w:val="none"/>
        </w:rPr>
        <w:t>４　急性期の医療提供体制</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000000" w:themeColor="text1"/>
          <w:sz w:val="22"/>
          <w:highlight w:val="none"/>
          <w:u w:val="none" w:color="auto"/>
        </w:rPr>
        <w:t>急性期脳卒中診療は来院後</w:t>
      </w:r>
      <w:r>
        <w:rPr>
          <w:rFonts w:hint="eastAsia" w:ascii="ＭＳ 明朝" w:hAnsi="ＭＳ 明朝" w:eastAsia="ＭＳ 明朝"/>
          <w:color w:val="000000" w:themeColor="text1"/>
          <w:sz w:val="22"/>
          <w:highlight w:val="none"/>
          <w:u w:val="none" w:color="auto"/>
        </w:rPr>
        <w:t>1</w:t>
      </w:r>
      <w:r>
        <w:rPr>
          <w:rFonts w:hint="eastAsia" w:ascii="ＭＳ 明朝" w:hAnsi="ＭＳ 明朝" w:eastAsia="ＭＳ 明朝"/>
          <w:color w:val="000000" w:themeColor="text1"/>
          <w:sz w:val="22"/>
          <w:highlight w:val="none"/>
          <w:u w:val="none" w:color="auto"/>
        </w:rPr>
        <w:t>時間以内に専門的な治療を開始することが求められているため、脳卒中センターは、速やかな診療を行えるように、救急科、脳神経外科、神経内科等の院内の関係各科との連携体制を構築しています。</w:t>
      </w:r>
    </w:p>
    <w:p>
      <w:pPr>
        <w:pStyle w:val="0"/>
        <w:tabs>
          <w:tab w:val="left" w:leader="none" w:pos="7704"/>
        </w:tabs>
        <w:spacing w:line="240" w:lineRule="auto"/>
        <w:ind w:left="227" w:leftChars="100" w:firstLine="227" w:firstLineChars="100"/>
        <w:rPr>
          <w:rFonts w:hint="eastAsia" w:ascii="ＭＳ 明朝" w:hAnsi="ＭＳ 明朝" w:eastAsia="ＭＳ 明朝"/>
          <w:color w:val="FF0000"/>
          <w:sz w:val="22"/>
          <w:highlight w:val="none"/>
          <w:u w:val="none" w:color="auto"/>
        </w:rPr>
      </w:pPr>
      <w:r>
        <w:rPr>
          <w:rFonts w:hint="eastAsia" w:ascii="ＭＳ 明朝" w:hAnsi="ＭＳ 明朝" w:eastAsia="ＭＳ 明朝"/>
          <w:b w:val="0"/>
          <w:color w:val="auto"/>
          <w:sz w:val="22"/>
          <w:highlight w:val="none"/>
          <w:u w:val="none" w:color="auto"/>
        </w:rPr>
        <w:t>本県では平成</w:t>
      </w:r>
      <w:r>
        <w:rPr>
          <w:rFonts w:hint="eastAsia" w:ascii="ＭＳ 明朝" w:hAnsi="ＭＳ 明朝" w:eastAsia="ＭＳ 明朝"/>
          <w:b w:val="0"/>
          <w:color w:val="auto"/>
          <w:sz w:val="22"/>
          <w:highlight w:val="none"/>
          <w:u w:val="none" w:color="auto"/>
        </w:rPr>
        <w:t>20</w:t>
      </w:r>
      <w:r>
        <w:rPr>
          <w:rFonts w:hint="eastAsia" w:ascii="ＭＳ 明朝" w:hAnsi="ＭＳ 明朝" w:eastAsia="ＭＳ 明朝"/>
          <w:b w:val="0"/>
          <w:color w:val="auto"/>
          <w:sz w:val="22"/>
          <w:highlight w:val="none"/>
          <w:u w:val="none" w:color="auto"/>
        </w:rPr>
        <w:t>年度</w:t>
      </w:r>
      <w:r>
        <w:rPr>
          <w:rFonts w:hint="eastAsia" w:ascii="ＭＳ 明朝" w:hAnsi="ＭＳ 明朝" w:eastAsia="ＭＳ 明朝"/>
          <w:b w:val="0"/>
          <w:strike w:val="0"/>
          <w:dstrike w:val="0"/>
          <w:color w:val="auto"/>
          <w:sz w:val="22"/>
          <w:highlight w:val="none"/>
          <w:u w:val="none" w:color="auto"/>
        </w:rPr>
        <w:t>から</w:t>
      </w:r>
      <w:r>
        <w:rPr>
          <w:rFonts w:hint="eastAsia" w:ascii="ＭＳ 明朝" w:hAnsi="ＭＳ 明朝" w:eastAsia="ＭＳ 明朝"/>
          <w:b w:val="0"/>
          <w:color w:val="auto"/>
          <w:sz w:val="22"/>
          <w:highlight w:val="none"/>
          <w:u w:val="none" w:color="auto"/>
        </w:rPr>
        <w:t>、</w:t>
      </w:r>
      <w:r>
        <w:rPr>
          <w:rFonts w:hint="eastAsia" w:ascii="ＭＳ 明朝" w:hAnsi="ＭＳ 明朝" w:eastAsia="ＭＳ 明朝"/>
          <w:b w:val="0"/>
          <w:color w:val="auto"/>
          <w:sz w:val="22"/>
          <w:highlight w:val="none"/>
          <w:u w:val="none" w:color="auto"/>
        </w:rPr>
        <w:t>24</w:t>
      </w:r>
      <w:r>
        <w:rPr>
          <w:rFonts w:hint="eastAsia" w:ascii="ＭＳ 明朝" w:hAnsi="ＭＳ 明朝" w:eastAsia="ＭＳ 明朝"/>
          <w:b w:val="0"/>
          <w:color w:val="auto"/>
          <w:sz w:val="22"/>
          <w:highlight w:val="none"/>
          <w:u w:val="none" w:color="auto"/>
        </w:rPr>
        <w:t>時間</w:t>
      </w:r>
      <w:r>
        <w:rPr>
          <w:rFonts w:hint="eastAsia" w:ascii="ＭＳ 明朝" w:hAnsi="ＭＳ 明朝" w:eastAsia="ＭＳ 明朝"/>
          <w:b w:val="0"/>
          <w:color w:val="auto"/>
          <w:sz w:val="22"/>
          <w:highlight w:val="none"/>
          <w:u w:val="none" w:color="auto"/>
        </w:rPr>
        <w:t>365</w:t>
      </w:r>
      <w:r>
        <w:rPr>
          <w:rFonts w:hint="eastAsia" w:ascii="ＭＳ 明朝" w:hAnsi="ＭＳ 明朝" w:eastAsia="ＭＳ 明朝"/>
          <w:b w:val="0"/>
          <w:color w:val="auto"/>
          <w:sz w:val="22"/>
          <w:highlight w:val="none"/>
          <w:u w:val="none" w:color="auto"/>
        </w:rPr>
        <w:t>日、脳卒中の急性期患者の受入体制が整備され、緊急かつ専門的な治療が可能な医療機関を「脳卒中センター」と、脳卒中患者への初期処置や全身状態安定後の治療等を行う医療機関を「脳卒中支援病院」として指定し、緊急治</w:t>
      </w:r>
      <w:r>
        <w:rPr>
          <w:rFonts w:hint="eastAsia"/>
        </w:rPr>
        <mc:AlternateContent>
          <mc:Choice Requires="wpg">
            <w:drawing>
              <wp:anchor simplePos="0" relativeHeight="94" behindDoc="0" locked="0" layoutInCell="1" hidden="0" allowOverlap="1">
                <wp:simplePos x="0" y="0"/>
                <wp:positionH relativeFrom="column">
                  <wp:posOffset>-64770</wp:posOffset>
                </wp:positionH>
                <wp:positionV relativeFrom="paragraph">
                  <wp:posOffset>862965</wp:posOffset>
                </wp:positionV>
                <wp:extent cx="5670550" cy="2447925"/>
                <wp:effectExtent l="0" t="0" r="635" b="0"/>
                <wp:wrapNone/>
                <wp:docPr id="1127" name="オブジェクト 0"/>
                <a:graphic xmlns:a="http://schemas.openxmlformats.org/drawingml/2006/main">
                  <a:graphicData uri="http://schemas.microsoft.com/office/word/2010/wordprocessingGroup">
                    <wpg:wgp>
                      <wpg:cNvGrpSpPr/>
                      <wpg:grpSpPr>
                        <a:xfrm>
                          <a:off x="0" y="0"/>
                          <a:ext cx="5670550" cy="2447925"/>
                          <a:chOff x="1316" y="11643"/>
                          <a:chExt cx="8930" cy="3855"/>
                        </a:xfrm>
                      </wpg:grpSpPr>
                      <wps:wsp>
                        <wps:cNvPr id="1128" name="テキスト ボックス 2"/>
                        <wps:cNvSpPr txBox="1">
                          <a:spLocks noChangeArrowheads="1"/>
                        </wps:cNvSpPr>
                        <wps:spPr>
                          <a:xfrm>
                            <a:off x="1316" y="11643"/>
                            <a:ext cx="8930" cy="525"/>
                          </a:xfrm>
                          <a:prstGeom prst="rect">
                            <a:avLst/>
                          </a:prstGeom>
                          <a:noFill/>
                          <a:ln w="9525">
                            <a:noFill/>
                            <a:miter lim="800000"/>
                            <a:headEnd/>
                            <a:tailEnd/>
                          </a:ln>
                        </wps:spPr>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6-2-18</w:t>
                              </w:r>
                              <w:r>
                                <w:rPr>
                                  <w:rFonts w:hint="eastAsia" w:ascii="ＭＳ ゴシック" w:hAnsi="ＭＳ ゴシック" w:eastAsia="ＭＳ ゴシック"/>
                                  <w:color w:val="000000"/>
                                  <w:sz w:val="22"/>
                                </w:rPr>
                                <w:t>）脳卒中センター及び脳卒中支援病院</w:t>
                              </w:r>
                            </w:p>
                          </w:txbxContent>
                        </wps:txbx>
                        <wps:bodyPr vertOverflow="overflow" horzOverflow="overflow" wrap="square"/>
                      </wps:wsp>
                      <pic:pic xmlns:pic="http://schemas.openxmlformats.org/drawingml/2006/picture">
                        <pic:nvPicPr>
                          <pic:cNvPr id="1129" name="図 17"/>
                          <pic:cNvPicPr>
                            <a:picLocks noChangeAspect="1"/>
                          </pic:cNvPicPr>
                        </pic:nvPicPr>
                        <pic:blipFill>
                          <a:blip r:embed="rId50"/>
                          <a:stretch>
                            <a:fillRect/>
                          </a:stretch>
                        </pic:blipFill>
                        <pic:spPr>
                          <a:xfrm>
                            <a:off x="3486" y="12017"/>
                            <a:ext cx="5101" cy="3481"/>
                          </a:xfrm>
                          <a:prstGeom prst="rect">
                            <a:avLst/>
                          </a:prstGeom>
                        </pic:spPr>
                      </pic:pic>
                    </wpg:wgp>
                  </a:graphicData>
                </a:graphic>
              </wp:anchor>
            </w:drawing>
          </mc:Choice>
          <mc:Fallback>
            <w:pict>
              <v:group id="オブジェクト 0" style="margin-top:67.95pt;mso-position-vertical-relative:text;mso-position-horizontal-relative:text;position:absolute;height:192.75pt;width:446.5pt;margin-left:-5.09pt;z-index:94;" coordsize="8930,3855" coordorigin="1316,11643" o:spid="_x0000_s1127" o:allowincell="t" o:allowoverlap="t">
                <v:shapetype id="_x0000_t202" coordsize="21600,21600" o:spt="202" path="m,l,21600r21600,l21600,xe">
                  <v:stroke joinstyle="miter"/>
                  <v:path gradientshapeok="t" o:connecttype="rect"/>
                </v:shapetype>
                <v:shape id="テキスト ボックス 2" style="height:525;width:8930;top:11643;left:1316;position:absolute;" o:spid="_x0000_s1128" filled="f" stroked="f" strokeweight="0.75pt" o:spt="202" type="#_x0000_t202">
                  <v:fill/>
                  <v:stroke miterlimit="8"/>
                  <v:textbox style="layout-flow:horizontal;">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6-2-18</w:t>
                        </w:r>
                        <w:r>
                          <w:rPr>
                            <w:rFonts w:hint="eastAsia" w:ascii="ＭＳ ゴシック" w:hAnsi="ＭＳ ゴシック" w:eastAsia="ＭＳ ゴシック"/>
                            <w:color w:val="000000"/>
                            <w:sz w:val="22"/>
                          </w:rPr>
                          <w:t>）脳卒中センター及び脳卒中支援病院</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7" style="height:3481;width:5101;top:12017;left:3486;position:absolute;" o:spid="_x0000_s1129" filled="f" stroked="f" o:spt="75" type="#_x0000_t75">
                  <v:fill/>
                  <v:imagedata o:title="" r:id="rId50"/>
                  <w10:wrap type="none" anchorx="text" anchory="text"/>
                </v:shape>
                <w10:wrap type="none" anchorx="text" anchory="text"/>
              </v:group>
            </w:pict>
          </mc:Fallback>
        </mc:AlternateContent>
      </w:r>
      <w:r>
        <w:rPr>
          <w:rFonts w:hint="eastAsia" w:ascii="ＭＳ 明朝" w:hAnsi="ＭＳ 明朝" w:eastAsia="ＭＳ 明朝"/>
          <w:b w:val="0"/>
          <w:color w:val="auto"/>
          <w:sz w:val="22"/>
          <w:highlight w:val="none"/>
          <w:u w:val="none" w:color="auto"/>
        </w:rPr>
        <w:t>療が必要な患者を脳卒中センターへ集約することを進めています（図表</w:t>
      </w:r>
      <w:r>
        <w:rPr>
          <w:rFonts w:hint="eastAsia" w:ascii="ＭＳ 明朝" w:hAnsi="ＭＳ 明朝" w:eastAsia="ＭＳ 明朝"/>
          <w:b w:val="0"/>
          <w:color w:val="auto"/>
          <w:sz w:val="22"/>
          <w:highlight w:val="none"/>
          <w:u w:val="none" w:color="auto"/>
        </w:rPr>
        <w:t>6-2-18</w:t>
      </w:r>
      <w:r>
        <w:rPr>
          <w:rFonts w:hint="eastAsia" w:ascii="ＭＳ 明朝" w:hAnsi="ＭＳ 明朝" w:eastAsia="ＭＳ 明朝"/>
          <w:b w:val="0"/>
          <w:color w:val="auto"/>
          <w:sz w:val="22"/>
          <w:highlight w:val="none"/>
          <w:u w:val="none" w:color="auto"/>
        </w:rPr>
        <w:t>）。</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血栓を溶解し血流を再開させることのできる</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w:t>
      </w:r>
      <w:r>
        <w:rPr>
          <w:rFonts w:hint="eastAsia" w:ascii="ＭＳ 明朝" w:hAnsi="ＭＳ 明朝" w:eastAsia="ＭＳ 明朝"/>
          <w:color w:val="auto"/>
          <w:sz w:val="22"/>
          <w:highlight w:val="none"/>
          <w:u w:val="none" w:color="auto"/>
          <w:vertAlign w:val="superscript"/>
        </w:rPr>
        <w:t>（注５</w:t>
      </w:r>
      <w:r>
        <w:rPr>
          <w:rFonts w:hint="eastAsia" w:ascii="ＭＳ 明朝" w:hAnsi="ＭＳ 明朝" w:eastAsia="ＭＳ 明朝"/>
          <w:color w:val="auto"/>
          <w:sz w:val="22"/>
          <w:highlight w:val="none"/>
          <w:u w:val="none" w:color="auto"/>
          <w:vertAlign w:val="superscript"/>
        </w:rPr>
        <w:t>)</w:t>
      </w:r>
      <w:r>
        <w:rPr>
          <w:rFonts w:hint="eastAsia" w:ascii="ＭＳ 明朝" w:hAnsi="ＭＳ 明朝" w:eastAsia="ＭＳ 明朝"/>
          <w:color w:val="auto"/>
          <w:sz w:val="22"/>
          <w:highlight w:val="none"/>
          <w:u w:val="none" w:color="auto"/>
        </w:rPr>
        <w:t>は、脳梗塞の発症後</w:t>
      </w:r>
      <w:r>
        <w:rPr>
          <w:rFonts w:hint="eastAsia" w:ascii="ＭＳ 明朝" w:hAnsi="ＭＳ 明朝" w:eastAsia="ＭＳ 明朝"/>
          <w:color w:val="auto"/>
          <w:sz w:val="22"/>
          <w:highlight w:val="none"/>
          <w:u w:val="none" w:color="auto"/>
        </w:rPr>
        <w:t>4.5</w:t>
      </w:r>
      <w:r>
        <w:rPr>
          <w:rFonts w:hint="eastAsia" w:ascii="ＭＳ 明朝" w:hAnsi="ＭＳ 明朝" w:eastAsia="ＭＳ 明朝"/>
          <w:color w:val="auto"/>
          <w:sz w:val="22"/>
          <w:highlight w:val="none"/>
          <w:u w:val="none" w:color="auto"/>
        </w:rPr>
        <w:t>時間以内であれば使用することができるため、適応患者に対してできるだけ速やかに治療を開始する必要があります。</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平成</w:t>
      </w:r>
      <w:r>
        <w:rPr>
          <w:rFonts w:hint="eastAsia" w:ascii="ＭＳ 明朝" w:hAnsi="ＭＳ 明朝" w:eastAsia="ＭＳ 明朝"/>
          <w:color w:val="auto"/>
          <w:sz w:val="22"/>
          <w:highlight w:val="none"/>
          <w:u w:val="none" w:color="auto"/>
        </w:rPr>
        <w:t>24</w:t>
      </w:r>
      <w:r>
        <w:rPr>
          <w:rFonts w:hint="eastAsia" w:ascii="ＭＳ 明朝" w:hAnsi="ＭＳ 明朝" w:eastAsia="ＭＳ 明朝"/>
          <w:color w:val="auto"/>
          <w:sz w:val="22"/>
          <w:highlight w:val="none"/>
          <w:u w:val="none" w:color="auto"/>
        </w:rPr>
        <w:t>年から平成</w:t>
      </w:r>
      <w:r>
        <w:rPr>
          <w:rFonts w:hint="eastAsia" w:ascii="ＭＳ 明朝" w:hAnsi="ＭＳ 明朝" w:eastAsia="ＭＳ 明朝"/>
          <w:color w:val="auto"/>
          <w:sz w:val="22"/>
          <w:highlight w:val="none"/>
          <w:u w:val="none" w:color="auto"/>
        </w:rPr>
        <w:t>27</w:t>
      </w:r>
      <w:r>
        <w:rPr>
          <w:rFonts w:hint="eastAsia" w:ascii="ＭＳ 明朝" w:hAnsi="ＭＳ 明朝" w:eastAsia="ＭＳ 明朝"/>
          <w:color w:val="auto"/>
          <w:sz w:val="22"/>
          <w:highlight w:val="none"/>
          <w:u w:val="none" w:color="auto"/>
        </w:rPr>
        <w:t>年までの高知県脳卒中患者実態調査によると、</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療法の適応患者において時間制限のために</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療法を実施できなかった患者の割合は減少傾向にありました（図表</w:t>
      </w:r>
      <w:r>
        <w:rPr>
          <w:rFonts w:hint="eastAsia" w:ascii="ＭＳ 明朝" w:hAnsi="ＭＳ 明朝" w:eastAsia="ＭＳ 明朝"/>
          <w:color w:val="auto"/>
          <w:sz w:val="22"/>
          <w:highlight w:val="none"/>
          <w:u w:val="none" w:color="auto"/>
        </w:rPr>
        <w:t>6-2-19</w:t>
      </w:r>
      <w:r>
        <w:rPr>
          <w:rFonts w:hint="eastAsia" w:ascii="ＭＳ 明朝" w:hAnsi="ＭＳ 明朝" w:eastAsia="ＭＳ 明朝"/>
          <w:color w:val="auto"/>
          <w:sz w:val="22"/>
          <w:highlight w:val="none"/>
          <w:u w:val="none" w:color="auto"/>
        </w:rPr>
        <w:t>）。搬送方法別にみると、</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療法の禁忌のない者に対する</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療法実施率は、救急車・ヘリ搬送以外の患者よりも救急車・ヘリ搬送の患者のほうが数倍高くなっています（図表</w:t>
      </w:r>
      <w:r>
        <w:rPr>
          <w:rFonts w:hint="eastAsia" w:ascii="ＭＳ 明朝" w:hAnsi="ＭＳ 明朝" w:eastAsia="ＭＳ 明朝"/>
          <w:color w:val="auto"/>
          <w:sz w:val="22"/>
          <w:highlight w:val="none"/>
          <w:u w:val="none" w:color="auto"/>
        </w:rPr>
        <w:t>6-2-20</w:t>
      </w:r>
      <w:r>
        <w:rPr>
          <w:rFonts w:hint="eastAsia" w:ascii="ＭＳ 明朝" w:hAnsi="ＭＳ 明朝" w:eastAsia="ＭＳ 明朝"/>
          <w:color w:val="auto"/>
          <w:sz w:val="22"/>
          <w:highlight w:val="none"/>
          <w:u w:val="none" w:color="auto"/>
        </w:rPr>
        <w:t>）。</w:t>
      </w:r>
    </w:p>
    <w:p>
      <w:pPr>
        <w:pStyle w:val="0"/>
        <w:tabs>
          <w:tab w:val="left" w:leader="none" w:pos="7704"/>
        </w:tabs>
        <w:spacing w:line="240" w:lineRule="auto"/>
        <w:ind w:left="227" w:leftChars="100" w:firstLine="0" w:firstLineChars="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16"/>
          <w:highlight w:val="none"/>
          <w:u w:val="none" w:color="auto"/>
        </w:rPr>
        <w:t>（注５）</w:t>
      </w:r>
      <w:r>
        <w:rPr>
          <w:rFonts w:hint="eastAsia" w:ascii="ＭＳ 明朝" w:hAnsi="ＭＳ 明朝" w:eastAsia="ＭＳ 明朝"/>
          <w:color w:val="auto"/>
          <w:sz w:val="16"/>
          <w:highlight w:val="none"/>
          <w:u w:val="none" w:color="auto"/>
        </w:rPr>
        <w:t>t-PA</w:t>
      </w:r>
      <w:r>
        <w:rPr>
          <w:rFonts w:hint="eastAsia" w:ascii="ＭＳ 明朝" w:hAnsi="ＭＳ 明朝" w:eastAsia="ＭＳ 明朝"/>
          <w:color w:val="auto"/>
          <w:sz w:val="16"/>
          <w:highlight w:val="none"/>
          <w:u w:val="none" w:color="auto"/>
        </w:rPr>
        <w:t>療法：発症から</w:t>
      </w:r>
      <w:r>
        <w:rPr>
          <w:rFonts w:hint="eastAsia" w:ascii="ＭＳ 明朝" w:hAnsi="ＭＳ 明朝" w:eastAsia="ＭＳ 明朝"/>
          <w:color w:val="auto"/>
          <w:sz w:val="16"/>
          <w:highlight w:val="none"/>
          <w:u w:val="none" w:color="auto"/>
        </w:rPr>
        <w:t>4.5</w:t>
      </w:r>
      <w:r>
        <w:rPr>
          <w:rFonts w:hint="eastAsia" w:ascii="ＭＳ 明朝" w:hAnsi="ＭＳ 明朝" w:eastAsia="ＭＳ 明朝"/>
          <w:color w:val="auto"/>
          <w:sz w:val="16"/>
          <w:highlight w:val="none"/>
          <w:u w:val="none" w:color="auto"/>
        </w:rPr>
        <w:t>時間以内に治療可能な虚血性脳血管障害患者に対して行う血栓溶解療法</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r>
        <w:rPr>
          <w:rFonts w:hint="eastAsia"/>
          <w:highlight w:val="none"/>
        </w:rPr>
        <mc:AlternateContent>
          <mc:Choice Requires="wps">
            <w:drawing>
              <wp:anchor simplePos="0" relativeHeight="4" behindDoc="0" locked="0" layoutInCell="1" hidden="0" allowOverlap="1">
                <wp:simplePos x="0" y="0"/>
                <wp:positionH relativeFrom="page">
                  <wp:posOffset>1802130</wp:posOffset>
                </wp:positionH>
                <wp:positionV relativeFrom="page">
                  <wp:posOffset>3021965</wp:posOffset>
                </wp:positionV>
                <wp:extent cx="3954780" cy="396240"/>
                <wp:effectExtent l="0" t="0" r="635" b="635"/>
                <wp:wrapNone/>
                <wp:docPr id="1130" name="テキスト ボックス 2"/>
                <a:graphic xmlns:a="http://schemas.openxmlformats.org/drawingml/2006/main">
                  <a:graphicData uri="http://schemas.microsoft.com/office/word/2010/wordprocessingShape">
                    <wps:wsp>
                      <wps:cNvPr id="1130" name="テキスト ボックス 2"/>
                      <wps:cNvSpPr txBox="1">
                        <a:spLocks noChangeArrowheads="1"/>
                      </wps:cNvSpPr>
                      <wps:spPr>
                        <a:xfrm>
                          <a:off x="0" y="0"/>
                          <a:ext cx="3954780" cy="396240"/>
                        </a:xfrm>
                        <a:prstGeom prst="rect">
                          <a:avLst/>
                        </a:prstGeom>
                        <a:noFill/>
                        <a:ln w="9525">
                          <a:noFill/>
                          <a:miter lim="800000"/>
                          <a:headEnd/>
                          <a:tailEnd/>
                        </a:ln>
                      </wps:spPr>
                      <wps:txbx>
                        <w:txbxContent>
                          <w:p>
                            <w:pPr>
                              <w:pStyle w:val="0"/>
                              <w:spacing w:line="240" w:lineRule="exact"/>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6-2-19</w:t>
                            </w:r>
                            <w:r>
                              <w:rPr>
                                <w:rFonts w:hint="eastAsia" w:ascii="ＭＳ ゴシック" w:hAnsi="ＭＳ ゴシック" w:eastAsia="ＭＳ ゴシック"/>
                                <w:color w:val="000000"/>
                                <w:sz w:val="22"/>
                              </w:rPr>
                              <w:t>）</w:t>
                            </w:r>
                            <w:r>
                              <w:rPr>
                                <w:rFonts w:hint="eastAsia" w:ascii="ＭＳ ゴシック" w:hAnsi="ＭＳ ゴシック" w:eastAsia="ＭＳ ゴシック"/>
                                <w:sz w:val="22"/>
                              </w:rPr>
                              <w:t>t-PA</w:t>
                            </w:r>
                            <w:r>
                              <w:rPr>
                                <w:rFonts w:hint="eastAsia" w:ascii="ＭＳ ゴシック" w:hAnsi="ＭＳ ゴシック" w:eastAsia="ＭＳ ゴシック"/>
                                <w:sz w:val="22"/>
                              </w:rPr>
                              <w:t>療法の適応があったが時間制限のため</w:t>
                            </w:r>
                          </w:p>
                          <w:p>
                            <w:pPr>
                              <w:pStyle w:val="0"/>
                              <w:spacing w:line="240" w:lineRule="exact"/>
                              <w:ind w:firstLine="1050" w:firstLineChars="500"/>
                              <w:rPr>
                                <w:rFonts w:hint="eastAsia" w:ascii="ＭＳ ゴシック" w:hAnsi="ＭＳ ゴシック" w:eastAsia="ＭＳ ゴシック"/>
                                <w:sz w:val="22"/>
                              </w:rPr>
                            </w:pPr>
                            <w:r>
                              <w:rPr>
                                <w:rFonts w:hint="eastAsia" w:ascii="ＭＳ ゴシック" w:hAnsi="ＭＳ ゴシック" w:eastAsia="ＭＳ ゴシック"/>
                                <w:sz w:val="22"/>
                              </w:rPr>
                              <w:t>使用できなかった件数とその割合</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テキスト ボックス 2" style="margin-top:237.95pt;mso-position-vertical-relative:page;mso-position-horizontal-relative:page;position:absolute;height:31.2pt;width:311.39pt;margin-left:141.9pt;z-index:4;" o:spid="_x0000_s1130" o:allowincell="t" o:allowoverlap="t" filled="f" stroked="f" strokeweight="0.75pt" o:spt="202" type="#_x0000_t202">
                <v:fill/>
                <v:stroke miterlimit="8"/>
                <v:textbox style="layout-flow:horizontal;">
                  <w:txbxContent>
                    <w:p>
                      <w:pPr>
                        <w:pStyle w:val="0"/>
                        <w:spacing w:line="240" w:lineRule="exact"/>
                        <w:rPr>
                          <w:rFonts w:hint="eastAsia" w:ascii="ＭＳ ゴシック" w:hAnsi="ＭＳ ゴシック" w:eastAsia="ＭＳ ゴシック"/>
                          <w:sz w:val="22"/>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6-2-19</w:t>
                      </w:r>
                      <w:r>
                        <w:rPr>
                          <w:rFonts w:hint="eastAsia" w:ascii="ＭＳ ゴシック" w:hAnsi="ＭＳ ゴシック" w:eastAsia="ＭＳ ゴシック"/>
                          <w:color w:val="000000"/>
                          <w:sz w:val="22"/>
                        </w:rPr>
                        <w:t>）</w:t>
                      </w:r>
                      <w:r>
                        <w:rPr>
                          <w:rFonts w:hint="eastAsia" w:ascii="ＭＳ ゴシック" w:hAnsi="ＭＳ ゴシック" w:eastAsia="ＭＳ ゴシック"/>
                          <w:sz w:val="22"/>
                        </w:rPr>
                        <w:t>t-PA</w:t>
                      </w:r>
                      <w:r>
                        <w:rPr>
                          <w:rFonts w:hint="eastAsia" w:ascii="ＭＳ ゴシック" w:hAnsi="ＭＳ ゴシック" w:eastAsia="ＭＳ ゴシック"/>
                          <w:sz w:val="22"/>
                        </w:rPr>
                        <w:t>療法の適応があったが時間制限のため</w:t>
                      </w:r>
                    </w:p>
                    <w:p>
                      <w:pPr>
                        <w:pStyle w:val="0"/>
                        <w:spacing w:line="240" w:lineRule="exact"/>
                        <w:ind w:firstLine="1050" w:firstLineChars="500"/>
                        <w:rPr>
                          <w:rFonts w:hint="eastAsia" w:ascii="ＭＳ ゴシック" w:hAnsi="ＭＳ ゴシック" w:eastAsia="ＭＳ ゴシック"/>
                          <w:sz w:val="22"/>
                        </w:rPr>
                      </w:pPr>
                      <w:r>
                        <w:rPr>
                          <w:rFonts w:hint="eastAsia" w:ascii="ＭＳ ゴシック" w:hAnsi="ＭＳ ゴシック" w:eastAsia="ＭＳ ゴシック"/>
                          <w:sz w:val="22"/>
                        </w:rPr>
                        <w:t>使用できなかった件数とその割合</w:t>
                      </w:r>
                    </w:p>
                  </w:txbxContent>
                </v:textbox>
                <v:imagedata o:title=""/>
                <w10:wrap type="none" anchorx="page" anchory="page"/>
              </v:shape>
            </w:pict>
          </mc:Fallback>
        </mc:AlternateConten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tbl>
      <w:tblPr>
        <w:tblStyle w:val="11"/>
        <w:tblpPr w:leftFromText="0" w:rightFromText="0" w:topFromText="0" w:bottomFromText="0" w:vertAnchor="text" w:horzAnchor="margin" w:tblpX="1153" w:tblpY="227"/>
        <w:tblOverlap w:val="never"/>
        <w:tblW w:w="659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Look w:firstRow="1" w:lastRow="0" w:firstColumn="1" w:lastColumn="0" w:noHBand="0" w:noVBand="1" w:val="04A0"/>
      </w:tblPr>
      <w:tblGrid>
        <w:gridCol w:w="1319"/>
        <w:gridCol w:w="1320"/>
        <w:gridCol w:w="1320"/>
        <w:gridCol w:w="1319"/>
        <w:gridCol w:w="1320"/>
      </w:tblGrid>
      <w:tr>
        <w:trPr>
          <w:trHeight w:val="360" w:hRule="atLeast"/>
        </w:trPr>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rPr>
                <w:rFonts w:hint="eastAsia"/>
              </w:rPr>
            </w:pP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H24</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H25</w:t>
            </w: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H26</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H27</w:t>
            </w:r>
          </w:p>
        </w:tc>
      </w:tr>
      <w:tr>
        <w:trPr>
          <w:trHeight w:val="350" w:hRule="atLeast"/>
        </w:trPr>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件数</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97</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120</w:t>
            </w: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86</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112</w:t>
            </w:r>
          </w:p>
        </w:tc>
      </w:tr>
      <w:tr>
        <w:trPr>
          <w:trHeight w:val="350" w:hRule="atLeast"/>
        </w:trPr>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DAEEF3"/>
            <w:tcMar>
              <w:top w:w="0" w:type="dxa"/>
              <w:left w:w="105" w:type="dxa"/>
              <w:bottom w:w="0" w:type="dxa"/>
              <w:right w:w="105" w:type="dxa"/>
            </w:tcMar>
            <w:vAlign w:val="center"/>
          </w:tcPr>
          <w:p>
            <w:pPr>
              <w:pStyle w:val="0"/>
              <w:jc w:val="center"/>
              <w:rPr>
                <w:rFonts w:hint="eastAsia"/>
                <w:sz w:val="20"/>
              </w:rPr>
            </w:pPr>
            <w:r>
              <w:rPr>
                <w:rFonts w:hint="eastAsia"/>
                <w:sz w:val="20"/>
              </w:rPr>
              <w:t>割合（％）</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61.6</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52.5</w:t>
            </w:r>
          </w:p>
        </w:tc>
        <w:tc>
          <w:tcPr>
            <w:tcW w:w="131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40.0</w:t>
            </w:r>
          </w:p>
        </w:tc>
        <w:tc>
          <w:tcPr>
            <w:tcW w:w="132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shd w:val="clear" w:color="auto" w:fill="auto"/>
            <w:tcMar>
              <w:top w:w="0" w:type="dxa"/>
              <w:left w:w="105" w:type="dxa"/>
              <w:bottom w:w="0" w:type="dxa"/>
              <w:right w:w="105" w:type="dxa"/>
            </w:tcMar>
            <w:vAlign w:val="center"/>
          </w:tcPr>
          <w:p>
            <w:pPr>
              <w:pStyle w:val="0"/>
              <w:jc w:val="center"/>
              <w:rPr>
                <w:rFonts w:hint="eastAsia" w:ascii="ＭＳ 明朝" w:hAnsi="ＭＳ 明朝" w:eastAsia="ＭＳ 明朝"/>
                <w:b w:val="0"/>
                <w:i w:val="0"/>
                <w:smallCaps w:val="0"/>
                <w:color w:val="auto"/>
                <w:sz w:val="36"/>
                <w:highlight w:val="none"/>
              </w:rPr>
            </w:pPr>
            <w:r>
              <w:rPr>
                <w:rFonts w:hint="eastAsia" w:ascii="ＭＳ 明朝" w:hAnsi="ＭＳ 明朝" w:eastAsia="ＭＳ 明朝"/>
                <w:b w:val="0"/>
                <w:i w:val="0"/>
                <w:smallCaps w:val="0"/>
                <w:color w:val="auto"/>
                <w:sz w:val="20"/>
                <w:highlight w:val="none"/>
              </w:rPr>
              <w:t>34.5</w:t>
            </w:r>
          </w:p>
        </w:tc>
      </w:tr>
    </w:tbl>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jc w:val="right"/>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r>
        <w:rPr>
          <w:rFonts w:hint="eastAsia"/>
        </w:rPr>
        <mc:AlternateContent>
          <mc:Choice Requires="wps">
            <w:drawing>
              <wp:anchor simplePos="0" relativeHeight="5" behindDoc="0" locked="0" layoutInCell="1" hidden="0" allowOverlap="1">
                <wp:simplePos x="0" y="0"/>
                <wp:positionH relativeFrom="column">
                  <wp:posOffset>3920490</wp:posOffset>
                </wp:positionH>
                <wp:positionV relativeFrom="paragraph">
                  <wp:posOffset>49530</wp:posOffset>
                </wp:positionV>
                <wp:extent cx="1828800" cy="266065"/>
                <wp:effectExtent l="0" t="0" r="635" b="635"/>
                <wp:wrapNone/>
                <wp:docPr id="1131" name="オブジェクト 0"/>
                <a:graphic xmlns:a="http://schemas.openxmlformats.org/drawingml/2006/main">
                  <a:graphicData uri="http://schemas.microsoft.com/office/word/2010/wordprocessingShape">
                    <wps:wsp>
                      <wps:cNvPr id="1131" name="オブジェクト 0"/>
                      <wps:cNvSpPr txBox="1">
                        <a:spLocks noChangeArrowheads="1"/>
                      </wps:cNvSpPr>
                      <wps:spPr>
                        <a:xfrm>
                          <a:off x="0" y="0"/>
                          <a:ext cx="1828800" cy="266065"/>
                        </a:xfrm>
                        <a:prstGeom prst="rect">
                          <a:avLst/>
                        </a:prstGeom>
                        <a:noFill/>
                        <a:ln>
                          <a:miter/>
                        </a:ln>
                      </wps:spPr>
                      <wps:txbx>
                        <w:txbxContent>
                          <w:p>
                            <w:pPr>
                              <w:pStyle w:val="0"/>
                              <w:rPr>
                                <w:rFonts w:hint="default"/>
                                <w:color w:val="auto"/>
                                <w:sz w:val="16"/>
                              </w:rPr>
                            </w:pPr>
                            <w:r>
                              <w:rPr>
                                <w:rFonts w:hint="eastAsia"/>
                                <w:color w:val="auto"/>
                                <w:sz w:val="16"/>
                              </w:rPr>
                              <w:t>出典：高知県脳卒中患者実態調査</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3.9pt;mso-position-vertical-relative:text;mso-position-horizontal-relative:text;position:absolute;height:20.95pt;width:144pt;margin-left:308.7pt;z-index:5;" o:spid="_x0000_s1131" o:allowincell="t" o:allowoverlap="t"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出典：高知県脳卒中患者実態調査</w:t>
                      </w:r>
                    </w:p>
                  </w:txbxContent>
                </v:textbox>
                <v:imagedata o:title=""/>
                <w10:wrap type="none" anchorx="text" anchory="text"/>
              </v:shape>
            </w:pict>
          </mc:Fallback>
        </mc:AlternateConten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r>
        <w:rPr>
          <w:rFonts w:hint="eastAsia"/>
        </w:rPr>
        <mc:AlternateContent>
          <mc:Choice Requires="wpg">
            <w:drawing>
              <wp:anchor simplePos="0" relativeHeight="97" behindDoc="0" locked="0" layoutInCell="1" hidden="0" allowOverlap="1">
                <wp:simplePos x="0" y="0"/>
                <wp:positionH relativeFrom="column">
                  <wp:posOffset>278765</wp:posOffset>
                </wp:positionH>
                <wp:positionV relativeFrom="paragraph">
                  <wp:posOffset>111760</wp:posOffset>
                </wp:positionV>
                <wp:extent cx="5531485" cy="1488440"/>
                <wp:effectExtent l="0" t="0" r="635" b="635"/>
                <wp:wrapNone/>
                <wp:docPr id="1132" name="オブジェクト 0"/>
                <a:graphic xmlns:a="http://schemas.openxmlformats.org/drawingml/2006/main">
                  <a:graphicData uri="http://schemas.microsoft.com/office/word/2010/wordprocessingGroup">
                    <wpg:wgp>
                      <wpg:cNvGrpSpPr/>
                      <wpg:grpSpPr>
                        <a:xfrm>
                          <a:off x="0" y="0"/>
                          <a:ext cx="5531485" cy="1488440"/>
                          <a:chOff x="1857" y="7050"/>
                          <a:chExt cx="8711" cy="2344"/>
                        </a:xfrm>
                      </wpg:grpSpPr>
                      <wps:wsp>
                        <wps:cNvPr id="1133" name="テキスト ボックス 2"/>
                        <wps:cNvSpPr txBox="1">
                          <a:spLocks noChangeArrowheads="1"/>
                        </wps:cNvSpPr>
                        <wps:spPr>
                          <a:xfrm>
                            <a:off x="1857" y="7050"/>
                            <a:ext cx="8711" cy="525"/>
                          </a:xfrm>
                          <a:prstGeom prst="rect">
                            <a:avLst/>
                          </a:prstGeom>
                          <a:noFill/>
                          <a:ln w="9525">
                            <a:noFill/>
                            <a:miter lim="800000"/>
                            <a:headEnd/>
                            <a:tailEnd/>
                          </a:ln>
                        </wps:spPr>
                        <wps:txbx>
                          <w:txbxContent>
                            <w:p>
                              <w:pPr>
                                <w:pStyle w:val="0"/>
                                <w:spacing w:line="160" w:lineRule="atLeast"/>
                                <w:jc w:val="center"/>
                                <w:rPr>
                                  <w:rFonts w:hint="eastAsia" w:ascii="ＭＳ ゴシック" w:hAnsi="ＭＳ ゴシック" w:eastAsia="ＭＳ ゴシック"/>
                                  <w:sz w:val="21"/>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6-2-20</w:t>
                              </w:r>
                              <w:r>
                                <w:rPr>
                                  <w:rFonts w:hint="eastAsia" w:ascii="ＭＳ ゴシック" w:hAnsi="ＭＳ ゴシック" w:eastAsia="ＭＳ ゴシック"/>
                                  <w:color w:val="000000"/>
                                  <w:sz w:val="22"/>
                                </w:rPr>
                                <w:t>）</w:t>
                              </w:r>
                              <w:r>
                                <w:rPr>
                                  <w:rFonts w:hint="eastAsia" w:ascii="ＭＳ ゴシック" w:hAnsi="ＭＳ ゴシック" w:eastAsia="ＭＳ ゴシック"/>
                                  <w:color w:val="000000"/>
                                  <w:sz w:val="22"/>
                                </w:rPr>
                                <w:t>t-PA</w:t>
                              </w:r>
                              <w:r>
                                <w:rPr>
                                  <w:rFonts w:hint="eastAsia" w:ascii="ＭＳ ゴシック" w:hAnsi="ＭＳ ゴシック" w:eastAsia="ＭＳ ゴシック"/>
                                  <w:color w:val="000000"/>
                                  <w:sz w:val="22"/>
                                </w:rPr>
                                <w:t>療法禁忌なし患者への</w:t>
                              </w:r>
                              <w:r>
                                <w:rPr>
                                  <w:rFonts w:hint="eastAsia" w:ascii="ＭＳ ゴシック" w:hAnsi="ＭＳ ゴシック" w:eastAsia="ＭＳ ゴシック"/>
                                  <w:color w:val="000000"/>
                                  <w:sz w:val="22"/>
                                </w:rPr>
                                <w:t>t-PA</w:t>
                              </w:r>
                              <w:r>
                                <w:rPr>
                                  <w:rFonts w:hint="eastAsia" w:ascii="ＭＳ ゴシック" w:hAnsi="ＭＳ ゴシック" w:eastAsia="ＭＳ ゴシック"/>
                                  <w:color w:val="000000"/>
                                  <w:sz w:val="22"/>
                                </w:rPr>
                                <w:t>療法実施率</w:t>
                              </w:r>
                              <w:r>
                                <w:rPr>
                                  <w:rFonts w:hint="eastAsia" w:ascii="ＭＳ ゴシック" w:hAnsi="ＭＳ ゴシック" w:eastAsia="ＭＳ ゴシック"/>
                                  <w:color w:val="000000"/>
                                  <w:sz w:val="21"/>
                                </w:rPr>
                                <w:t>（搬送・入院手段別）</w:t>
                              </w:r>
                            </w:p>
                          </w:txbxContent>
                        </wps:txbx>
                        <wps:bodyPr vertOverflow="overflow" horzOverflow="overflow" wrap="square"/>
                      </wps:wsp>
                      <wpg:graphicFrame>
                        <wpg:cNvPr id="1134" name="オブジェクト 0"/>
                        <wpg:cNvFrPr/>
                        <wpg:xfrm>
                          <a:off x="3085" y="7467"/>
                          <a:ext cx="5774" cy="1905"/>
                        </wpg:xfrm>
                        <a:graphic>
                          <a:graphicData uri="http://schemas.openxmlformats.org/drawingml/2006/chart">
                            <c:chart xmlns:c="http://schemas.openxmlformats.org/drawingml/2006/chart" r:id="rId51"/>
                          </a:graphicData>
                        </a:graphic>
                      </wpg:graphicFrame>
                      <wps:wsp>
                        <wps:cNvPr id="1135" name="オブジェクト 0"/>
                        <wps:cNvSpPr txBox="1">
                          <a:spLocks noChangeArrowheads="1"/>
                        </wps:cNvSpPr>
                        <wps:spPr>
                          <a:xfrm>
                            <a:off x="7331" y="8975"/>
                            <a:ext cx="2880" cy="419"/>
                          </a:xfrm>
                          <a:prstGeom prst="rect">
                            <a:avLst/>
                          </a:prstGeom>
                          <a:noFill/>
                          <a:ln>
                            <a:miter/>
                          </a:ln>
                        </wps:spPr>
                        <wps:txbx>
                          <w:txbxContent>
                            <w:p>
                              <w:pPr>
                                <w:pStyle w:val="0"/>
                                <w:rPr>
                                  <w:rFonts w:hint="default"/>
                                  <w:color w:val="auto"/>
                                  <w:sz w:val="16"/>
                                </w:rPr>
                              </w:pPr>
                              <w:r>
                                <w:rPr>
                                  <w:rFonts w:hint="eastAsia"/>
                                  <w:color w:val="auto"/>
                                  <w:sz w:val="16"/>
                                </w:rPr>
                                <w:t>出典：高知県脳卒中患者実態調査</w:t>
                              </w:r>
                            </w:p>
                          </w:txbxContent>
                        </wps:txbx>
                        <wps:bodyPr vertOverflow="overflow" horzOverflow="overflow" wrap="square" lIns="74295" tIns="8890" rIns="74295" bIns="8890" upright="1"/>
                      </wps:wsp>
                    </wpg:wgp>
                  </a:graphicData>
                </a:graphic>
              </wp:anchor>
            </w:drawing>
          </mc:Choice>
          <mc:Fallback>
            <w:pict>
              <v:group id="オブジェクト 0" style="margin-top:8.8000000000000007pt;mso-position-vertical-relative:text;mso-position-horizontal-relative:text;position:absolute;height:117.2pt;width:435.55pt;margin-left:21.95pt;z-index:97;" coordsize="8711,2344" coordorigin="1857,7050" o:spid="_x0000_s1132" o:allowincell="t" o:allowoverlap="t">
                <v:shapetype id="_x0000_t202" coordsize="21600,21600" o:spt="202" path="m,l,21600r21600,l21600,xe">
                  <v:stroke joinstyle="miter"/>
                  <v:path gradientshapeok="t" o:connecttype="rect"/>
                </v:shapetype>
                <v:shape id="テキスト ボックス 2" style="height:525;width:8711;top:7050;left:1857;position:absolute;" o:spid="_x0000_s1133" filled="f" stroked="f" strokeweight="0.75pt" o:spt="202" type="#_x0000_t202">
                  <v:fill/>
                  <v:stroke miterlimit="8"/>
                  <v:textbox style="layout-flow:horizontal;">
                    <w:txbxContent>
                      <w:p>
                        <w:pPr>
                          <w:pStyle w:val="0"/>
                          <w:spacing w:line="160" w:lineRule="atLeast"/>
                          <w:jc w:val="center"/>
                          <w:rPr>
                            <w:rFonts w:hint="eastAsia" w:ascii="ＭＳ ゴシック" w:hAnsi="ＭＳ ゴシック" w:eastAsia="ＭＳ ゴシック"/>
                            <w:sz w:val="21"/>
                          </w:rPr>
                        </w:pPr>
                        <w:r>
                          <w:rPr>
                            <w:rFonts w:hint="eastAsia" w:ascii="ＭＳ ゴシック" w:hAnsi="ＭＳ ゴシック" w:eastAsia="ＭＳ ゴシック"/>
                            <w:color w:val="000000"/>
                            <w:sz w:val="22"/>
                          </w:rPr>
                          <w:t>（図表</w:t>
                        </w:r>
                        <w:r>
                          <w:rPr>
                            <w:rFonts w:hint="eastAsia" w:ascii="ＭＳ ゴシック" w:hAnsi="ＭＳ ゴシック" w:eastAsia="ＭＳ ゴシック"/>
                            <w:color w:val="000000"/>
                            <w:sz w:val="22"/>
                          </w:rPr>
                          <w:t>6-2-20</w:t>
                        </w:r>
                        <w:r>
                          <w:rPr>
                            <w:rFonts w:hint="eastAsia" w:ascii="ＭＳ ゴシック" w:hAnsi="ＭＳ ゴシック" w:eastAsia="ＭＳ ゴシック"/>
                            <w:color w:val="000000"/>
                            <w:sz w:val="22"/>
                          </w:rPr>
                          <w:t>）</w:t>
                        </w:r>
                        <w:r>
                          <w:rPr>
                            <w:rFonts w:hint="eastAsia" w:ascii="ＭＳ ゴシック" w:hAnsi="ＭＳ ゴシック" w:eastAsia="ＭＳ ゴシック"/>
                            <w:color w:val="000000"/>
                            <w:sz w:val="22"/>
                          </w:rPr>
                          <w:t>t-PA</w:t>
                        </w:r>
                        <w:r>
                          <w:rPr>
                            <w:rFonts w:hint="eastAsia" w:ascii="ＭＳ ゴシック" w:hAnsi="ＭＳ ゴシック" w:eastAsia="ＭＳ ゴシック"/>
                            <w:color w:val="000000"/>
                            <w:sz w:val="22"/>
                          </w:rPr>
                          <w:t>療法禁忌なし患者への</w:t>
                        </w:r>
                        <w:r>
                          <w:rPr>
                            <w:rFonts w:hint="eastAsia" w:ascii="ＭＳ ゴシック" w:hAnsi="ＭＳ ゴシック" w:eastAsia="ＭＳ ゴシック"/>
                            <w:color w:val="000000"/>
                            <w:sz w:val="22"/>
                          </w:rPr>
                          <w:t>t-PA</w:t>
                        </w:r>
                        <w:r>
                          <w:rPr>
                            <w:rFonts w:hint="eastAsia" w:ascii="ＭＳ ゴシック" w:hAnsi="ＭＳ ゴシック" w:eastAsia="ＭＳ ゴシック"/>
                            <w:color w:val="000000"/>
                            <w:sz w:val="22"/>
                          </w:rPr>
                          <w:t>療法実施率</w:t>
                        </w:r>
                        <w:r>
                          <w:rPr>
                            <w:rFonts w:hint="eastAsia" w:ascii="ＭＳ ゴシック" w:hAnsi="ＭＳ ゴシック" w:eastAsia="ＭＳ ゴシック"/>
                            <w:color w:val="000000"/>
                            <w:sz w:val="21"/>
                          </w:rPr>
                          <w:t>（搬送・入院手段別）</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905;width:5774;top:7467;left:3085;position:absolute;" o:spid="_x0000_s1134" filled="f" stroked="f" o:spt="75" type="#_x0000_t75">
                  <v:fill/>
                  <v:imagedata o:title="" r:id="rId52"/>
                  <w10:wrap type="none" anchorx="text" anchory="text"/>
                </v:shape>
                <v:shape id="オブジェクト 0" style="height:419;width:2880;top:8975;left:7331;position:absolute;" o:spid="_x0000_s1135"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出典：高知県脳卒中患者実態調査</w:t>
                        </w:r>
                      </w:p>
                    </w:txbxContent>
                  </v:textbox>
                  <v:imagedata o:title=""/>
                  <w10:wrap type="none" anchorx="text" anchory="text"/>
                </v:shape>
                <w10:wrap type="none" anchorx="text" anchory="text"/>
              </v:group>
            </w:pict>
          </mc:Fallback>
        </mc:AlternateConten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0"/>
          <w:highlight w:val="none"/>
          <w:u w:val="none" w:color="auto"/>
        </w:rPr>
      </w:pPr>
    </w:p>
    <w:p>
      <w:pPr>
        <w:pStyle w:val="0"/>
        <w:tabs>
          <w:tab w:val="left" w:leader="none" w:pos="7704"/>
        </w:tabs>
        <w:snapToGrid w:val="0"/>
        <w:spacing w:line="320" w:lineRule="exact"/>
        <w:ind w:left="455" w:hanging="455" w:hangingChars="200"/>
        <w:rPr>
          <w:rFonts w:hint="eastAsia" w:ascii="ＭＳ 明朝" w:hAnsi="ＭＳ 明朝" w:eastAsia="ＭＳ 明朝"/>
          <w:color w:val="auto"/>
          <w:sz w:val="22"/>
          <w:highlight w:val="none"/>
          <w:u w:val="none" w:color="auto"/>
        </w:rPr>
      </w:pPr>
      <w:r>
        <w:rPr>
          <w:rFonts w:hint="eastAsia" w:ascii="ＭＳ 明朝" w:hAnsi="ＭＳ 明朝" w:eastAsia="ＭＳ 明朝"/>
          <w:b w:val="1"/>
          <w:color w:val="auto"/>
          <w:highlight w:val="none"/>
          <w:u w:val="none" w:color="auto"/>
        </w:rPr>
        <w:t>　　　</w:t>
      </w:r>
      <w:r>
        <w:rPr>
          <w:rFonts w:hint="eastAsia" w:ascii="ＭＳ 明朝" w:hAnsi="ＭＳ 明朝" w:eastAsia="ＭＳ 明朝"/>
          <w:color w:val="000000" w:themeColor="text1"/>
          <w:sz w:val="22"/>
          <w:highlight w:val="none"/>
          <w:u w:val="none" w:color="auto"/>
        </w:rPr>
        <w:t>本県全体の</w:t>
      </w:r>
      <w:r>
        <w:rPr>
          <w:rFonts w:hint="eastAsia" w:ascii="ＭＳ 明朝" w:hAnsi="ＭＳ 明朝" w:eastAsia="ＭＳ 明朝"/>
          <w:b w:val="0"/>
          <w:color w:val="auto"/>
          <w:sz w:val="22"/>
          <w:highlight w:val="none"/>
          <w:u w:val="none" w:color="auto"/>
        </w:rPr>
        <w:t>急性期診療に関係する医療資源について</w:t>
      </w:r>
      <w:r>
        <w:rPr>
          <w:rFonts w:hint="eastAsia" w:ascii="ＭＳ 明朝" w:hAnsi="ＭＳ 明朝" w:eastAsia="ＭＳ 明朝"/>
          <w:color w:val="auto"/>
          <w:sz w:val="22"/>
          <w:highlight w:val="none"/>
          <w:u w:val="none" w:color="auto"/>
        </w:rPr>
        <w:t>は、神経内科医数は少ないものの、</w:t>
      </w:r>
      <w:r>
        <w:rPr>
          <w:rFonts w:hint="eastAsia" w:ascii="ＭＳ 明朝" w:hAnsi="ＭＳ 明朝" w:eastAsia="ＭＳ 明朝"/>
          <w:color w:val="auto"/>
          <w:sz w:val="22"/>
          <w:highlight w:val="none"/>
          <w:u w:val="none" w:color="auto"/>
        </w:rPr>
        <w:t>10</w:t>
      </w:r>
      <w:r>
        <w:rPr>
          <w:rFonts w:hint="eastAsia" w:ascii="ＭＳ 明朝" w:hAnsi="ＭＳ 明朝" w:eastAsia="ＭＳ 明朝"/>
          <w:color w:val="auto"/>
          <w:sz w:val="22"/>
          <w:highlight w:val="none"/>
          <w:u w:val="none" w:color="auto"/>
        </w:rPr>
        <w:t>万人当たりの脳神経外科医数（図表</w:t>
      </w:r>
      <w:r>
        <w:rPr>
          <w:rFonts w:hint="eastAsia" w:ascii="ＭＳ 明朝" w:hAnsi="ＭＳ 明朝" w:eastAsia="ＭＳ 明朝"/>
          <w:color w:val="auto"/>
          <w:sz w:val="22"/>
          <w:highlight w:val="none"/>
          <w:u w:val="none" w:color="auto"/>
        </w:rPr>
        <w:t>6-2-21</w:t>
      </w:r>
      <w:r>
        <w:rPr>
          <w:rFonts w:hint="eastAsia" w:ascii="ＭＳ 明朝" w:hAnsi="ＭＳ 明朝" w:eastAsia="ＭＳ 明朝"/>
          <w:color w:val="auto"/>
          <w:sz w:val="22"/>
          <w:highlight w:val="none"/>
          <w:u w:val="none" w:color="auto"/>
        </w:rPr>
        <w:t>）や脳卒中専門病室（ＳＣＵ）病床数（図表</w:t>
      </w:r>
      <w:r>
        <w:rPr>
          <w:rFonts w:hint="eastAsia" w:ascii="ＭＳ 明朝" w:hAnsi="ＭＳ 明朝" w:eastAsia="ＭＳ 明朝"/>
          <w:color w:val="auto"/>
          <w:sz w:val="22"/>
          <w:highlight w:val="none"/>
          <w:u w:val="none" w:color="auto"/>
        </w:rPr>
        <w:t>6-2-23</w:t>
      </w:r>
      <w:r>
        <w:rPr>
          <w:rFonts w:hint="eastAsia" w:ascii="ＭＳ 明朝" w:hAnsi="ＭＳ 明朝" w:eastAsia="ＭＳ 明朝"/>
          <w:color w:val="auto"/>
          <w:sz w:val="22"/>
          <w:highlight w:val="none"/>
          <w:u w:val="none" w:color="auto"/>
        </w:rPr>
        <w:t>）などは全国平均を大きく上回っています。しかし、中央保健医療圏に医療資源が集中しており、地域偏在が存在します。</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実施件数については、安芸保健医療圏の体制整備等により、平成</w:t>
      </w:r>
      <w:r>
        <w:rPr>
          <w:rFonts w:hint="eastAsia" w:ascii="ＭＳ 明朝" w:hAnsi="ＭＳ 明朝" w:eastAsia="ＭＳ 明朝"/>
          <w:color w:val="auto"/>
          <w:sz w:val="22"/>
          <w:highlight w:val="none"/>
          <w:u w:val="none" w:color="auto"/>
        </w:rPr>
        <w:t>27</w:t>
      </w:r>
      <w:r>
        <w:rPr>
          <w:rFonts w:hint="eastAsia" w:ascii="ＭＳ 明朝" w:hAnsi="ＭＳ 明朝" w:eastAsia="ＭＳ 明朝"/>
          <w:color w:val="auto"/>
          <w:sz w:val="22"/>
          <w:highlight w:val="none"/>
          <w:u w:val="none" w:color="auto"/>
        </w:rPr>
        <w:t>年度と比較すると増加しています</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図表</w:t>
      </w:r>
      <w:r>
        <w:rPr>
          <w:rFonts w:hint="eastAsia" w:ascii="ＭＳ 明朝" w:hAnsi="ＭＳ 明朝" w:eastAsia="ＭＳ 明朝"/>
          <w:color w:val="auto"/>
          <w:sz w:val="22"/>
          <w:highlight w:val="none"/>
          <w:u w:val="none" w:color="auto"/>
        </w:rPr>
        <w:t>6-2-24</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6-2-25)</w:t>
      </w:r>
      <w:r>
        <w:rPr>
          <w:rFonts w:hint="eastAsia" w:ascii="ＭＳ 明朝" w:hAnsi="ＭＳ 明朝" w:eastAsia="ＭＳ 明朝"/>
          <w:color w:val="auto"/>
          <w:sz w:val="22"/>
          <w:highlight w:val="none"/>
          <w:u w:val="none" w:color="auto"/>
        </w:rPr>
        <w:t>。</w:t>
      </w:r>
    </w:p>
    <w:p>
      <w:pPr>
        <w:pStyle w:val="0"/>
        <w:tabs>
          <w:tab w:val="left" w:leader="none" w:pos="7704"/>
        </w:tabs>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　　　　　　　　　　　　　　　　　　　　　</w:t>
      </w:r>
    </w:p>
    <w:p>
      <w:pPr>
        <w:pStyle w:val="0"/>
        <w:tabs>
          <w:tab w:val="left" w:leader="none" w:pos="7704"/>
        </w:tabs>
        <w:spacing w:line="240" w:lineRule="auto"/>
        <w:ind w:leftChars="0" w:firstLineChars="0"/>
        <w:jc w:val="center"/>
        <w:rPr>
          <w:rFonts w:hint="eastAsia" w:ascii="ＭＳ 明朝" w:hAnsi="ＭＳ 明朝" w:eastAsia="ＭＳ 明朝"/>
          <w:color w:val="000000" w:themeColor="text1"/>
          <w:sz w:val="20"/>
          <w:highlight w:val="none"/>
        </w:rPr>
      </w:pPr>
      <w:r>
        <w:rPr>
          <w:rFonts w:hint="eastAsia" w:ascii="ＭＳ ゴシック" w:hAnsi="ＭＳ ゴシック" w:eastAsia="ＭＳ ゴシック"/>
          <w:color w:val="000000" w:themeColor="text1"/>
          <w:sz w:val="22"/>
          <w:highlight w:val="none"/>
        </w:rPr>
        <w:t>（図表</w:t>
      </w:r>
      <w:r>
        <w:rPr>
          <w:rFonts w:hint="eastAsia" w:ascii="ＭＳ ゴシック" w:hAnsi="ＭＳ ゴシック" w:eastAsia="ＭＳ ゴシック"/>
          <w:color w:val="000000" w:themeColor="text1"/>
          <w:sz w:val="22"/>
          <w:highlight w:val="none"/>
        </w:rPr>
        <w:t>6-2-21</w:t>
      </w:r>
      <w:r>
        <w:rPr>
          <w:rFonts w:hint="eastAsia" w:ascii="ＭＳ ゴシック" w:hAnsi="ＭＳ ゴシック" w:eastAsia="ＭＳ ゴシック"/>
          <w:color w:val="000000" w:themeColor="text1"/>
          <w:sz w:val="22"/>
          <w:highlight w:val="none"/>
        </w:rPr>
        <w:t>）神経内科医師数</w:t>
      </w:r>
    </w:p>
    <w:tbl>
      <w:tblPr>
        <w:tblStyle w:val="44"/>
        <w:tblW w:w="8667" w:type="dxa"/>
        <w:jc w:val="center"/>
        <w:tblInd w:w="0" w:type="dxa"/>
        <w:tblLayout w:type="fixed"/>
        <w:tblLook w:firstRow="1" w:lastRow="0" w:firstColumn="1" w:lastColumn="0" w:noHBand="0" w:noVBand="1" w:val="04A0"/>
      </w:tblPr>
      <w:tblGrid>
        <w:gridCol w:w="1313"/>
        <w:gridCol w:w="1153"/>
        <w:gridCol w:w="1153"/>
        <w:gridCol w:w="1153"/>
        <w:gridCol w:w="1155"/>
        <w:gridCol w:w="1511"/>
        <w:gridCol w:w="1229"/>
      </w:tblGrid>
      <w:tr>
        <w:trPr/>
        <w:tc>
          <w:tcPr>
            <w:tcW w:w="1313"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p>
        </w:tc>
        <w:tc>
          <w:tcPr>
            <w:tcW w:w="115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安芸</w:t>
            </w:r>
          </w:p>
        </w:tc>
        <w:tc>
          <w:tcPr>
            <w:tcW w:w="115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中央</w:t>
            </w:r>
          </w:p>
        </w:tc>
        <w:tc>
          <w:tcPr>
            <w:tcW w:w="115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高幡</w:t>
            </w:r>
          </w:p>
        </w:tc>
        <w:tc>
          <w:tcPr>
            <w:tcW w:w="1155"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幡多</w:t>
            </w:r>
          </w:p>
        </w:tc>
        <w:tc>
          <w:tcPr>
            <w:tcW w:w="1511"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229"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3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医師数</w:t>
            </w:r>
          </w:p>
        </w:tc>
        <w:tc>
          <w:tcPr>
            <w:tcW w:w="1153" w:type="dxa"/>
            <w:vAlign w:val="center"/>
          </w:tcPr>
          <w:p>
            <w:pPr>
              <w:pStyle w:val="0"/>
              <w:tabs>
                <w:tab w:val="clear"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53"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28</w:t>
            </w:r>
          </w:p>
        </w:tc>
        <w:tc>
          <w:tcPr>
            <w:tcW w:w="1153"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55"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511" w:type="dxa"/>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28</w:t>
            </w:r>
          </w:p>
        </w:tc>
        <w:tc>
          <w:tcPr>
            <w:tcW w:w="1229" w:type="dxa"/>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5,758</w:t>
            </w:r>
          </w:p>
        </w:tc>
      </w:tr>
      <w:tr>
        <w:trPr/>
        <w:tc>
          <w:tcPr>
            <w:tcW w:w="13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万人対</w:t>
            </w:r>
          </w:p>
        </w:tc>
        <w:tc>
          <w:tcPr>
            <w:tcW w:w="115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5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5.4</w:t>
            </w:r>
          </w:p>
        </w:tc>
        <w:tc>
          <w:tcPr>
            <w:tcW w:w="115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55"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511" w:type="dxa"/>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w:t>
            </w:r>
          </w:p>
        </w:tc>
        <w:tc>
          <w:tcPr>
            <w:tcW w:w="1229" w:type="dxa"/>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4.6</w:t>
            </w:r>
          </w:p>
        </w:tc>
      </w:tr>
    </w:tbl>
    <w:p>
      <w:pPr>
        <w:pStyle w:val="0"/>
        <w:tabs>
          <w:tab w:val="left" w:leader="none" w:pos="7704"/>
        </w:tabs>
        <w:spacing w:line="0" w:lineRule="atLeast"/>
        <w:ind w:firstLine="3835" w:firstLineChars="2300"/>
        <w:jc w:val="right"/>
        <w:rPr>
          <w:rFonts w:hint="eastAsia" w:ascii="ＭＳ 明朝" w:hAnsi="ＭＳ 明朝" w:eastAsia="ＭＳ 明朝"/>
          <w:color w:val="auto"/>
          <w:sz w:val="21"/>
          <w:highlight w:val="none"/>
        </w:rPr>
      </w:pP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令和２年</w:t>
      </w:r>
      <w:r>
        <w:rPr>
          <w:rFonts w:hint="eastAsia" w:ascii="ＭＳ 明朝" w:hAnsi="ＭＳ 明朝" w:eastAsia="ＭＳ 明朝"/>
          <w:color w:val="auto"/>
          <w:sz w:val="16"/>
          <w:highlight w:val="none"/>
        </w:rPr>
        <w:t>医師・歯科医師・薬剤師調査</w:t>
      </w:r>
    </w:p>
    <w:p>
      <w:pPr>
        <w:pStyle w:val="0"/>
        <w:tabs>
          <w:tab w:val="left" w:leader="none" w:pos="7704"/>
        </w:tabs>
        <w:spacing w:line="0" w:lineRule="atLeast"/>
        <w:ind w:firstLine="3835" w:firstLineChars="2300"/>
        <w:jc w:val="center"/>
        <w:rPr>
          <w:rFonts w:hint="eastAsia" w:ascii="ＭＳ 明朝" w:hAnsi="ＭＳ 明朝" w:eastAsia="ＭＳ 明朝"/>
          <w:color w:val="auto"/>
          <w:sz w:val="21"/>
          <w:highlight w:val="none"/>
        </w:rPr>
      </w:pPr>
    </w:p>
    <w:p>
      <w:pPr>
        <w:pStyle w:val="0"/>
        <w:tabs>
          <w:tab w:val="left" w:leader="none" w:pos="7704"/>
        </w:tabs>
        <w:spacing w:line="0" w:lineRule="atLeast"/>
        <w:ind w:leftChars="0" w:firstLineChars="0"/>
        <w:jc w:val="center"/>
        <w:rPr>
          <w:rFonts w:hint="eastAsia" w:ascii="ＭＳ ゴシック" w:hAnsi="ＭＳ ゴシック" w:eastAsia="ＭＳ ゴシック"/>
          <w:color w:val="000000" w:themeColor="text1"/>
          <w:sz w:val="20"/>
          <w:highlight w:val="none"/>
        </w:rPr>
      </w:pPr>
      <w:r>
        <w:rPr>
          <w:rFonts w:hint="eastAsia" w:ascii="ＭＳ ゴシック" w:hAnsi="ＭＳ ゴシック" w:eastAsia="ＭＳ ゴシック"/>
          <w:color w:val="000000" w:themeColor="text1"/>
          <w:sz w:val="22"/>
          <w:highlight w:val="none"/>
        </w:rPr>
        <w:t>（図表</w:t>
      </w:r>
      <w:r>
        <w:rPr>
          <w:rFonts w:hint="eastAsia" w:ascii="ＭＳ ゴシック" w:hAnsi="ＭＳ ゴシック" w:eastAsia="ＭＳ ゴシック"/>
          <w:color w:val="000000" w:themeColor="text1"/>
          <w:sz w:val="22"/>
          <w:highlight w:val="none"/>
        </w:rPr>
        <w:t>6-2-22</w:t>
      </w:r>
      <w:r>
        <w:rPr>
          <w:rFonts w:hint="eastAsia" w:ascii="ＭＳ ゴシック" w:hAnsi="ＭＳ ゴシック" w:eastAsia="ＭＳ ゴシック"/>
          <w:color w:val="000000" w:themeColor="text1"/>
          <w:sz w:val="22"/>
          <w:highlight w:val="none"/>
        </w:rPr>
        <w:t>）脳神経外科医師数</w:t>
      </w:r>
    </w:p>
    <w:tbl>
      <w:tblPr>
        <w:tblStyle w:val="44"/>
        <w:tblW w:w="8586" w:type="dxa"/>
        <w:jc w:val="center"/>
        <w:tblInd w:w="0" w:type="dxa"/>
        <w:tblLayout w:type="fixed"/>
        <w:tblLook w:firstRow="1" w:lastRow="0" w:firstColumn="1" w:lastColumn="0" w:noHBand="0" w:noVBand="1" w:val="04A0"/>
      </w:tblPr>
      <w:tblGrid>
        <w:gridCol w:w="1305"/>
        <w:gridCol w:w="1213"/>
        <w:gridCol w:w="1213"/>
        <w:gridCol w:w="1213"/>
        <w:gridCol w:w="1213"/>
        <w:gridCol w:w="1213"/>
        <w:gridCol w:w="1216"/>
      </w:tblGrid>
      <w:tr>
        <w:trPr/>
        <w:tc>
          <w:tcPr>
            <w:tcW w:w="1305"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p>
        </w:tc>
        <w:tc>
          <w:tcPr>
            <w:tcW w:w="12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安芸</w:t>
            </w:r>
          </w:p>
        </w:tc>
        <w:tc>
          <w:tcPr>
            <w:tcW w:w="12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中央</w:t>
            </w:r>
          </w:p>
        </w:tc>
        <w:tc>
          <w:tcPr>
            <w:tcW w:w="12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高幡</w:t>
            </w:r>
          </w:p>
        </w:tc>
        <w:tc>
          <w:tcPr>
            <w:tcW w:w="1213"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幡多</w:t>
            </w:r>
          </w:p>
        </w:tc>
        <w:tc>
          <w:tcPr>
            <w:tcW w:w="1213"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21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305"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医師数</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56</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w:t>
            </w:r>
          </w:p>
        </w:tc>
        <w:tc>
          <w:tcPr>
            <w:tcW w:w="1213" w:type="dxa"/>
            <w:vAlign w:val="top"/>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72</w:t>
            </w:r>
          </w:p>
        </w:tc>
        <w:tc>
          <w:tcPr>
            <w:tcW w:w="1216" w:type="dxa"/>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7,349</w:t>
            </w:r>
          </w:p>
        </w:tc>
      </w:tr>
      <w:tr>
        <w:trPr/>
        <w:tc>
          <w:tcPr>
            <w:tcW w:w="1305"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万人対</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16.1</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10.9</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3.9</w:t>
            </w:r>
          </w:p>
        </w:tc>
        <w:tc>
          <w:tcPr>
            <w:tcW w:w="1213"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8.8</w:t>
            </w:r>
          </w:p>
        </w:tc>
        <w:tc>
          <w:tcPr>
            <w:tcW w:w="1213" w:type="dxa"/>
            <w:vAlign w:val="top"/>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10.4</w:t>
            </w:r>
          </w:p>
        </w:tc>
        <w:tc>
          <w:tcPr>
            <w:tcW w:w="1216" w:type="dxa"/>
            <w:vAlign w:val="top"/>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5.8</w:t>
            </w:r>
          </w:p>
        </w:tc>
      </w:tr>
    </w:tbl>
    <w:p>
      <w:pPr>
        <w:pStyle w:val="0"/>
        <w:tabs>
          <w:tab w:val="left" w:leader="none" w:pos="7704"/>
        </w:tabs>
        <w:spacing w:line="0" w:lineRule="atLeast"/>
        <w:ind w:firstLine="3835" w:firstLineChars="2300"/>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令和２年</w:t>
      </w:r>
      <w:r>
        <w:rPr>
          <w:rFonts w:hint="eastAsia" w:ascii="ＭＳ 明朝" w:hAnsi="ＭＳ 明朝" w:eastAsia="ＭＳ 明朝"/>
          <w:color w:val="auto"/>
          <w:sz w:val="16"/>
          <w:highlight w:val="none"/>
        </w:rPr>
        <w:t>医師・歯科医師・薬剤師調査</w:t>
      </w:r>
    </w:p>
    <w:p>
      <w:pPr>
        <w:pStyle w:val="0"/>
        <w:tabs>
          <w:tab w:val="left" w:leader="none" w:pos="7704"/>
        </w:tabs>
        <w:snapToGrid w:val="0"/>
        <w:spacing w:line="240" w:lineRule="exact"/>
        <w:ind w:leftChars="0" w:firstLine="0" w:firstLineChars="0"/>
        <w:rPr>
          <w:rFonts w:hint="eastAsia" w:ascii="ＭＳ 明朝" w:hAnsi="ＭＳ 明朝" w:eastAsia="ＭＳ 明朝"/>
          <w:color w:val="auto"/>
          <w:sz w:val="20"/>
          <w:highlight w:val="none"/>
        </w:rPr>
      </w:pPr>
    </w:p>
    <w:p>
      <w:pPr>
        <w:pStyle w:val="0"/>
        <w:tabs>
          <w:tab w:val="left" w:leader="none" w:pos="7704"/>
        </w:tabs>
        <w:spacing w:line="240" w:lineRule="auto"/>
        <w:ind w:leftChars="0" w:firstLineChars="0"/>
        <w:jc w:val="center"/>
        <w:rPr>
          <w:rFonts w:hint="eastAsia" w:ascii="ＭＳ 明朝" w:hAnsi="ＭＳ 明朝" w:eastAsia="ＭＳ 明朝"/>
          <w:color w:val="000000" w:themeColor="text1"/>
          <w:sz w:val="20"/>
          <w:highlight w:val="none"/>
        </w:rPr>
      </w:pPr>
      <w:r>
        <w:rPr>
          <w:rFonts w:hint="eastAsia" w:ascii="ＭＳ ゴシック" w:hAnsi="ＭＳ ゴシック" w:eastAsia="ＭＳ ゴシック"/>
          <w:color w:val="000000" w:themeColor="text1"/>
          <w:sz w:val="22"/>
          <w:highlight w:val="none"/>
        </w:rPr>
        <w:t>（図表</w:t>
      </w:r>
      <w:r>
        <w:rPr>
          <w:rFonts w:hint="eastAsia" w:ascii="ＭＳ ゴシック" w:hAnsi="ＭＳ ゴシック" w:eastAsia="ＭＳ ゴシック"/>
          <w:color w:val="000000" w:themeColor="text1"/>
          <w:sz w:val="22"/>
          <w:highlight w:val="none"/>
        </w:rPr>
        <w:t>6-2-23</w:t>
      </w:r>
      <w:r>
        <w:rPr>
          <w:rFonts w:hint="eastAsia" w:ascii="ＭＳ ゴシック" w:hAnsi="ＭＳ ゴシック" w:eastAsia="ＭＳ ゴシック"/>
          <w:color w:val="000000" w:themeColor="text1"/>
          <w:sz w:val="22"/>
          <w:highlight w:val="none"/>
        </w:rPr>
        <w:t>）脳卒中の専門病室を有する病院の病床数</w:t>
      </w:r>
      <w:r>
        <w:rPr>
          <w:rFonts w:hint="eastAsia" w:ascii="ＭＳ ゴシック" w:hAnsi="ＭＳ ゴシック" w:eastAsia="ＭＳ ゴシック"/>
          <w:color w:val="000000" w:themeColor="text1"/>
          <w:sz w:val="18"/>
          <w:highlight w:val="none"/>
          <w:vertAlign w:val="superscript"/>
        </w:rPr>
        <w:t>（注６）</w:t>
      </w:r>
    </w:p>
    <w:tbl>
      <w:tblPr>
        <w:tblStyle w:val="44"/>
        <w:tblW w:w="8527"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firstRow="1" w:lastRow="0" w:firstColumn="1" w:lastColumn="0" w:noHBand="0" w:noVBand="1" w:val="04A0"/>
      </w:tblPr>
      <w:tblGrid>
        <w:gridCol w:w="1362"/>
        <w:gridCol w:w="1194"/>
        <w:gridCol w:w="1194"/>
        <w:gridCol w:w="1194"/>
        <w:gridCol w:w="1194"/>
        <w:gridCol w:w="1194"/>
        <w:gridCol w:w="1195"/>
      </w:tblGrid>
      <w:tr>
        <w:trPr/>
        <w:tc>
          <w:tcPr>
            <w:tcW w:w="1362" w:type="dxa"/>
            <w:tcBorders>
              <w:top w:val="none" w:color="auto" w:sz="0" w:space="0"/>
              <w:left w:val="none" w:color="auto" w:sz="0" w:space="0"/>
              <w:bottom w:val="none" w:color="auto" w:sz="0" w:space="0"/>
              <w:right w:val="none" w:color="auto" w:sz="0" w:space="0"/>
              <w:tl2br w:val="nil"/>
              <w:tr2bl w:val="nil"/>
            </w:tcBorders>
            <w:shd w:val="clear" w:color="auto" w:fill="DAEEF3"/>
            <w:vAlign w:val="top"/>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 xml:space="preserve"> </w:t>
            </w:r>
          </w:p>
        </w:tc>
        <w:tc>
          <w:tcPr>
            <w:tcW w:w="1194" w:type="dxa"/>
            <w:tcBorders>
              <w:top w:val="none" w:color="auto" w:sz="0" w:space="0"/>
              <w:left w:val="none" w:color="auto" w:sz="0" w:space="0"/>
              <w:bottom w:val="none" w:color="auto" w:sz="0" w:space="0"/>
              <w:right w:val="none" w:color="auto" w:sz="0" w:space="0"/>
              <w:tl2br w:val="nil"/>
              <w:tr2bl w:val="nil"/>
            </w:tcBorders>
            <w:shd w:val="clear" w:color="auto" w:fill="DAEEF3"/>
            <w:vAlign w:val="center"/>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 xml:space="preserve"> </w:t>
            </w:r>
            <w:r>
              <w:rPr>
                <w:rFonts w:hint="eastAsia" w:ascii="ＭＳ 明朝" w:hAnsi="ＭＳ 明朝" w:eastAsia="ＭＳ 明朝"/>
                <w:color w:val="000000" w:themeColor="text1"/>
                <w:sz w:val="20"/>
                <w:highlight w:val="none"/>
              </w:rPr>
              <w:t>安芸</w:t>
            </w:r>
          </w:p>
        </w:tc>
        <w:tc>
          <w:tcPr>
            <w:tcW w:w="1194" w:type="dxa"/>
            <w:tcBorders>
              <w:top w:val="none" w:color="auto" w:sz="0" w:space="0"/>
              <w:left w:val="none" w:color="auto" w:sz="0" w:space="0"/>
              <w:bottom w:val="none" w:color="auto" w:sz="0" w:space="0"/>
              <w:right w:val="none" w:color="auto" w:sz="0" w:space="0"/>
              <w:tl2br w:val="nil"/>
              <w:tr2bl w:val="nil"/>
            </w:tcBorders>
            <w:shd w:val="clear" w:color="auto" w:fill="DAEEF3"/>
            <w:vAlign w:val="center"/>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 xml:space="preserve"> </w:t>
            </w:r>
            <w:r>
              <w:rPr>
                <w:rFonts w:hint="eastAsia" w:ascii="ＭＳ 明朝" w:hAnsi="ＭＳ 明朝" w:eastAsia="ＭＳ 明朝"/>
                <w:color w:val="000000" w:themeColor="text1"/>
                <w:sz w:val="20"/>
                <w:highlight w:val="none"/>
              </w:rPr>
              <w:t>中央</w:t>
            </w:r>
          </w:p>
        </w:tc>
        <w:tc>
          <w:tcPr>
            <w:tcW w:w="1194" w:type="dxa"/>
            <w:tcBorders>
              <w:top w:val="none" w:color="auto" w:sz="0" w:space="0"/>
              <w:left w:val="none" w:color="auto" w:sz="0" w:space="0"/>
              <w:bottom w:val="none" w:color="auto" w:sz="0" w:space="0"/>
              <w:right w:val="none" w:color="auto" w:sz="0" w:space="0"/>
              <w:tl2br w:val="nil"/>
              <w:tr2bl w:val="nil"/>
            </w:tcBorders>
            <w:shd w:val="clear" w:color="auto" w:fill="DAEEF3"/>
            <w:vAlign w:val="center"/>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 xml:space="preserve"> </w:t>
            </w:r>
            <w:r>
              <w:rPr>
                <w:rFonts w:hint="eastAsia" w:ascii="ＭＳ 明朝" w:hAnsi="ＭＳ 明朝" w:eastAsia="ＭＳ 明朝"/>
                <w:color w:val="000000" w:themeColor="text1"/>
                <w:sz w:val="20"/>
                <w:highlight w:val="none"/>
              </w:rPr>
              <w:t>高幡</w:t>
            </w:r>
          </w:p>
        </w:tc>
        <w:tc>
          <w:tcPr>
            <w:tcW w:w="1194" w:type="dxa"/>
            <w:tcBorders>
              <w:top w:val="none" w:color="auto" w:sz="0" w:space="0"/>
              <w:left w:val="none" w:color="auto" w:sz="0" w:space="0"/>
              <w:bottom w:val="none" w:color="auto" w:sz="0" w:space="0"/>
              <w:right w:val="none" w:color="auto" w:sz="0" w:space="0"/>
              <w:tl2br w:val="nil"/>
              <w:tr2bl w:val="nil"/>
            </w:tcBorders>
            <w:shd w:val="clear" w:color="auto" w:fill="DAEEF3"/>
            <w:vAlign w:val="center"/>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 xml:space="preserve"> </w:t>
            </w:r>
            <w:r>
              <w:rPr>
                <w:rFonts w:hint="eastAsia" w:ascii="ＭＳ 明朝" w:hAnsi="ＭＳ 明朝" w:eastAsia="ＭＳ 明朝"/>
                <w:color w:val="000000" w:themeColor="text1"/>
                <w:sz w:val="20"/>
                <w:highlight w:val="none"/>
              </w:rPr>
              <w:t>幡多</w:t>
            </w:r>
          </w:p>
        </w:tc>
        <w:tc>
          <w:tcPr>
            <w:tcW w:w="1194" w:type="dxa"/>
            <w:tcBorders>
              <w:top w:val="none" w:color="auto" w:sz="0" w:space="0"/>
              <w:left w:val="none" w:color="auto" w:sz="0" w:space="0"/>
              <w:bottom w:val="none" w:color="auto" w:sz="0" w:space="0"/>
              <w:right w:val="none" w:color="auto" w:sz="0" w:space="0"/>
              <w:tl2br w:val="nil"/>
              <w:tr2bl w:val="nil"/>
            </w:tcBorders>
            <w:shd w:val="clear" w:color="auto" w:fill="DAEEF3"/>
            <w:vAlign w:val="top"/>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県</w:t>
            </w:r>
          </w:p>
        </w:tc>
        <w:tc>
          <w:tcPr>
            <w:tcW w:w="1195" w:type="dxa"/>
            <w:tcBorders>
              <w:top w:val="none" w:color="auto" w:sz="0" w:space="0"/>
              <w:left w:val="none" w:color="auto" w:sz="0" w:space="0"/>
              <w:bottom w:val="single" w:color="000000" w:themeColor="text1" w:sz="4" w:space="0"/>
              <w:right w:val="none" w:color="auto" w:sz="0" w:space="0"/>
              <w:tl2br w:val="nil"/>
              <w:tr2bl w:val="nil"/>
            </w:tcBorders>
            <w:shd w:val="clear" w:color="auto" w:fill="DAEEF3"/>
            <w:vAlign w:val="top"/>
          </w:tcPr>
          <w:p>
            <w:pPr>
              <w:pStyle w:val="0"/>
              <w:tabs>
                <w:tab w:val="left" w:leader="none" w:pos="567"/>
              </w:tabs>
              <w:jc w:val="center"/>
              <w:rPr>
                <w:rFonts w:hint="eastAsia" w:ascii="ＭＳ 明朝" w:hAnsi="ＭＳ 明朝" w:eastAsia="ＭＳ 明朝"/>
                <w:color w:val="000000" w:themeColor="text1"/>
                <w:sz w:val="20"/>
                <w:highlight w:val="none"/>
              </w:rPr>
            </w:pPr>
            <w:r>
              <w:rPr>
                <w:rFonts w:hint="eastAsia" w:ascii="ＭＳ 明朝" w:hAnsi="ＭＳ 明朝" w:eastAsia="ＭＳ 明朝"/>
                <w:color w:val="000000" w:themeColor="text1"/>
                <w:sz w:val="20"/>
                <w:highlight w:val="none"/>
              </w:rPr>
              <w:t>全国</w:t>
            </w:r>
          </w:p>
        </w:tc>
      </w:tr>
      <w:tr>
        <w:trPr>
          <w:trHeight w:val="350" w:hRule="atLeast"/>
        </w:trPr>
        <w:tc>
          <w:tcPr>
            <w:tcW w:w="1362" w:type="dxa"/>
            <w:tcBorders>
              <w:top w:val="none" w:color="auto" w:sz="0" w:space="0"/>
              <w:left w:val="none" w:color="auto" w:sz="0" w:space="0"/>
              <w:bottom w:val="none" w:color="auto" w:sz="0" w:space="0"/>
              <w:right w:val="none" w:color="auto" w:sz="0" w:space="0"/>
              <w:tl2br w:val="nil"/>
              <w:tr2bl w:val="nil"/>
            </w:tcBorders>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病床数</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28</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ind w:firstLine="413" w:firstLineChars="2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 xml:space="preserve">0 </w:t>
            </w:r>
          </w:p>
        </w:tc>
        <w:tc>
          <w:tcPr>
            <w:tcW w:w="1194" w:type="dxa"/>
            <w:tcBorders>
              <w:top w:val="none" w:color="auto" w:sz="0" w:space="0"/>
              <w:left w:val="none" w:color="auto" w:sz="0" w:space="0"/>
              <w:bottom w:val="single" w:color="auto" w:sz="4" w:space="0"/>
              <w:right w:val="none" w:color="auto" w:sz="0" w:space="0"/>
              <w:tl2br w:val="nil"/>
              <w:tr2bl w:val="nil"/>
            </w:tcBorders>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28</w:t>
            </w:r>
          </w:p>
        </w:tc>
        <w:tc>
          <w:tcPr>
            <w:tcW w:w="1195" w:type="dxa"/>
            <w:tcBorders>
              <w:top w:val="none" w:color="auto" w:sz="0" w:space="0"/>
              <w:left w:val="none" w:color="auto" w:sz="0" w:space="0"/>
              <w:bottom w:val="single" w:color="auto" w:sz="4" w:space="0"/>
              <w:right w:val="none" w:color="auto" w:sz="0" w:space="0"/>
              <w:tl2br w:val="nil"/>
              <w:tr2bl w:val="nil"/>
            </w:tcBorders>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1,577</w:t>
            </w:r>
          </w:p>
        </w:tc>
      </w:tr>
      <w:tr>
        <w:trPr/>
        <w:tc>
          <w:tcPr>
            <w:tcW w:w="1362" w:type="dxa"/>
            <w:tcBorders>
              <w:top w:val="none" w:color="auto" w:sz="0" w:space="0"/>
              <w:left w:val="none" w:color="auto" w:sz="0" w:space="0"/>
              <w:bottom w:val="none" w:color="auto" w:sz="0" w:space="0"/>
              <w:right w:val="none" w:color="auto" w:sz="0" w:space="0"/>
              <w:tl2br w:val="nil"/>
              <w:tr2bl w:val="nil"/>
            </w:tcBorders>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万人対</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5.4</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ind w:firstLine="413" w:firstLineChars="2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94" w:type="dxa"/>
            <w:tcBorders>
              <w:top w:val="none" w:color="auto" w:sz="0" w:space="0"/>
              <w:left w:val="none" w:color="auto" w:sz="0" w:space="0"/>
              <w:bottom w:val="none" w:color="auto" w:sz="0" w:space="0"/>
              <w:right w:val="none" w:color="auto" w:sz="0" w:space="0"/>
              <w:tl2br w:val="nil"/>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tc>
        <w:tc>
          <w:tcPr>
            <w:tcW w:w="1194" w:type="dxa"/>
            <w:tcBorders>
              <w:top w:val="none" w:color="auto" w:sz="0" w:space="0"/>
              <w:left w:val="none" w:color="auto" w:sz="0" w:space="0"/>
              <w:bottom w:val="none" w:color="auto" w:sz="0" w:space="0"/>
              <w:right w:val="none" w:color="auto" w:sz="0" w:space="0"/>
              <w:tl2br w:val="nil"/>
              <w:tr2bl w:val="nil"/>
            </w:tcBorders>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w:t>
            </w:r>
          </w:p>
        </w:tc>
        <w:tc>
          <w:tcPr>
            <w:tcW w:w="1195" w:type="dxa"/>
            <w:tcBorders>
              <w:top w:val="none" w:color="auto" w:sz="0" w:space="0"/>
              <w:left w:val="none" w:color="auto" w:sz="0" w:space="0"/>
              <w:bottom w:val="none" w:color="auto" w:sz="0" w:space="0"/>
              <w:right w:val="none" w:color="auto" w:sz="0" w:space="0"/>
              <w:tl2br w:val="nil"/>
              <w:tr2bl w:val="nil"/>
            </w:tcBorders>
            <w:vAlign w:val="top"/>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w:t>
            </w:r>
          </w:p>
        </w:tc>
      </w:tr>
    </w:tbl>
    <w:p>
      <w:pPr>
        <w:pStyle w:val="0"/>
        <w:tabs>
          <w:tab w:val="left" w:leader="none" w:pos="7704"/>
        </w:tabs>
        <w:spacing w:line="0" w:lineRule="atLeast"/>
        <w:ind w:leftChars="0" w:firstLine="225" w:firstLineChars="135"/>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（注６）病院表（</w:t>
      </w:r>
      <w:r>
        <w:rPr>
          <w:rFonts w:hint="eastAsia" w:ascii="ＭＳ 明朝" w:hAnsi="ＭＳ 明朝" w:eastAsia="ＭＳ 明朝"/>
          <w:color w:val="auto"/>
          <w:sz w:val="16"/>
          <w:highlight w:val="none"/>
        </w:rPr>
        <w:t>28</w:t>
      </w:r>
      <w:r>
        <w:rPr>
          <w:rFonts w:hint="eastAsia" w:ascii="ＭＳ 明朝" w:hAnsi="ＭＳ 明朝" w:eastAsia="ＭＳ 明朝"/>
          <w:color w:val="auto"/>
          <w:sz w:val="16"/>
          <w:highlight w:val="none"/>
        </w:rPr>
        <w:t>）特殊診療設備で、</w:t>
      </w:r>
      <w:r>
        <w:rPr>
          <w:rFonts w:hint="eastAsia" w:ascii="ＭＳ 明朝" w:hAnsi="ＭＳ 明朝" w:eastAsia="ＭＳ 明朝"/>
          <w:color w:val="auto"/>
          <w:sz w:val="16"/>
          <w:highlight w:val="none"/>
        </w:rPr>
        <w:t>SCU</w:t>
      </w:r>
      <w:r>
        <w:rPr>
          <w:rFonts w:hint="eastAsia" w:ascii="ＭＳ 明朝" w:hAnsi="ＭＳ 明朝" w:eastAsia="ＭＳ 明朝"/>
          <w:color w:val="auto"/>
          <w:sz w:val="16"/>
          <w:highlight w:val="none"/>
        </w:rPr>
        <w:t>の病床数</w:t>
      </w:r>
      <w:r>
        <w:rPr>
          <w:rFonts w:hint="eastAsia" w:ascii="ＭＳ 明朝" w:hAnsi="ＭＳ 明朝" w:eastAsia="ＭＳ 明朝"/>
          <w:color w:val="auto"/>
          <w:sz w:val="16"/>
          <w:highlight w:val="none"/>
        </w:rPr>
        <w:t xml:space="preserve"> </w:t>
      </w:r>
      <w:r>
        <w:rPr>
          <w:rFonts w:hint="eastAsia" w:ascii="ＭＳ 明朝" w:hAnsi="ＭＳ 明朝" w:eastAsia="ＭＳ 明朝"/>
          <w:color w:val="auto"/>
          <w:sz w:val="16"/>
          <w:highlight w:val="none"/>
        </w:rPr>
        <w:t>　　　　　　　　　　　　　</w:t>
      </w:r>
      <w:r>
        <w:rPr>
          <w:rFonts w:hint="eastAsia" w:ascii="ＭＳ 明朝" w:hAnsi="ＭＳ 明朝" w:eastAsia="ＭＳ 明朝"/>
          <w:color w:val="auto"/>
          <w:sz w:val="16"/>
          <w:highlight w:val="none"/>
        </w:rPr>
        <w:t xml:space="preserve">  </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令和２年</w:t>
      </w:r>
      <w:r>
        <w:rPr>
          <w:rFonts w:hint="eastAsia" w:ascii="ＭＳ 明朝" w:hAnsi="ＭＳ 明朝" w:eastAsia="ＭＳ 明朝"/>
          <w:color w:val="auto"/>
          <w:sz w:val="16"/>
          <w:highlight w:val="none"/>
        </w:rPr>
        <w:t>医療施設調査票</w:t>
      </w:r>
    </w:p>
    <w:p>
      <w:pPr>
        <w:pStyle w:val="0"/>
        <w:tabs>
          <w:tab w:val="left" w:leader="none" w:pos="7704"/>
        </w:tabs>
        <w:snapToGrid w:val="0"/>
        <w:spacing w:line="300" w:lineRule="exact"/>
        <w:rPr>
          <w:rFonts w:hint="eastAsia" w:ascii="ＭＳ 明朝" w:hAnsi="ＭＳ 明朝" w:eastAsia="ＭＳ 明朝"/>
          <w:color w:val="auto"/>
          <w:sz w:val="20"/>
          <w:highlight w:val="none"/>
        </w:rPr>
      </w:pPr>
    </w:p>
    <w:tbl>
      <w:tblPr>
        <w:tblStyle w:val="44"/>
        <w:tblpPr w:leftFromText="0" w:rightFromText="0" w:topFromText="0" w:bottomFromText="0" w:vertAnchor="text" w:horzAnchor="margin" w:tblpX="228" w:tblpY="323"/>
        <w:tblOverlap w:val="never"/>
        <w:tblW w:w="8626" w:type="dxa"/>
        <w:tblLayout w:type="fixed"/>
        <w:tblLook w:firstRow="1" w:lastRow="0" w:firstColumn="1" w:lastColumn="0" w:noHBand="0" w:noVBand="1" w:val="04A0"/>
      </w:tblPr>
      <w:tblGrid>
        <w:gridCol w:w="1362"/>
        <w:gridCol w:w="1362"/>
        <w:gridCol w:w="1135"/>
        <w:gridCol w:w="1135"/>
        <w:gridCol w:w="1135"/>
        <w:gridCol w:w="1293"/>
        <w:gridCol w:w="1204"/>
      </w:tblGrid>
      <w:tr>
        <w:trPr/>
        <w:tc>
          <w:tcPr>
            <w:tcW w:w="1362"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保健医療圏</w:t>
            </w:r>
          </w:p>
        </w:tc>
        <w:tc>
          <w:tcPr>
            <w:tcW w:w="1362"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安芸</w:t>
            </w:r>
          </w:p>
        </w:tc>
        <w:tc>
          <w:tcPr>
            <w:tcW w:w="1135"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p>
        </w:tc>
        <w:tc>
          <w:tcPr>
            <w:tcW w:w="1135"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高幡</w:t>
            </w:r>
          </w:p>
        </w:tc>
        <w:tc>
          <w:tcPr>
            <w:tcW w:w="1135"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p>
        </w:tc>
        <w:tc>
          <w:tcPr>
            <w:tcW w:w="1293"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20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362"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医療機関数</w:t>
            </w:r>
          </w:p>
        </w:tc>
        <w:tc>
          <w:tcPr>
            <w:tcW w:w="1362" w:type="dxa"/>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w:t>
            </w:r>
          </w:p>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0</w:t>
            </w:r>
            <w:r>
              <w:rPr>
                <w:rFonts w:hint="eastAsia" w:ascii="ＭＳ 明朝" w:hAnsi="ＭＳ 明朝" w:eastAsia="ＭＳ 明朝"/>
                <w:color w:val="auto"/>
                <w:sz w:val="20"/>
                <w:highlight w:val="none"/>
              </w:rPr>
              <w:t>）</w:t>
            </w:r>
          </w:p>
        </w:tc>
        <w:tc>
          <w:tcPr>
            <w:tcW w:w="1135" w:type="dxa"/>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7</w:t>
            </w:r>
          </w:p>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4</w:t>
            </w:r>
            <w:r>
              <w:rPr>
                <w:rFonts w:hint="eastAsia" w:ascii="ＭＳ 明朝" w:hAnsi="ＭＳ 明朝" w:eastAsia="ＭＳ 明朝"/>
                <w:color w:val="auto"/>
                <w:sz w:val="20"/>
                <w:highlight w:val="none"/>
                <w:u w:val="none" w:color="auto"/>
              </w:rPr>
              <w:t>）</w:t>
            </w:r>
          </w:p>
        </w:tc>
        <w:tc>
          <w:tcPr>
            <w:tcW w:w="1135" w:type="dxa"/>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0</w:t>
            </w:r>
          </w:p>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0</w:t>
            </w:r>
            <w:r>
              <w:rPr>
                <w:rFonts w:hint="eastAsia" w:ascii="ＭＳ 明朝" w:hAnsi="ＭＳ 明朝" w:eastAsia="ＭＳ 明朝"/>
                <w:color w:val="auto"/>
                <w:sz w:val="20"/>
                <w:highlight w:val="none"/>
              </w:rPr>
              <w:t>）</w:t>
            </w:r>
          </w:p>
        </w:tc>
        <w:tc>
          <w:tcPr>
            <w:tcW w:w="1135" w:type="dxa"/>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w:t>
            </w:r>
          </w:p>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1</w:t>
            </w:r>
            <w:r>
              <w:rPr>
                <w:rFonts w:hint="eastAsia" w:ascii="ＭＳ 明朝" w:hAnsi="ＭＳ 明朝" w:eastAsia="ＭＳ 明朝"/>
                <w:color w:val="auto"/>
                <w:sz w:val="20"/>
                <w:highlight w:val="none"/>
              </w:rPr>
              <w:t>）</w:t>
            </w:r>
          </w:p>
        </w:tc>
        <w:tc>
          <w:tcPr>
            <w:tcW w:w="12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9</w:t>
            </w:r>
          </w:p>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5</w:t>
            </w:r>
            <w:r>
              <w:rPr>
                <w:rFonts w:hint="eastAsia" w:ascii="ＭＳ 明朝" w:hAnsi="ＭＳ 明朝" w:eastAsia="ＭＳ 明朝"/>
                <w:color w:val="auto"/>
                <w:sz w:val="20"/>
                <w:highlight w:val="none"/>
              </w:rPr>
              <w:t>）</w:t>
            </w:r>
          </w:p>
        </w:tc>
        <w:tc>
          <w:tcPr>
            <w:tcW w:w="1204" w:type="dxa"/>
            <w:tcBorders>
              <w:top w:val="single" w:color="auto" w:sz="4" w:space="0"/>
              <w:left w:val="single" w:color="auto" w:sz="4" w:space="0"/>
              <w:bottom w:val="single" w:color="auto" w:sz="4" w:space="0"/>
              <w:right w:val="single" w:color="auto" w:sz="4" w:space="0"/>
              <w:tl2br w:val="none" w:color="auto" w:sz="0" w:space="0"/>
              <w:tr2bl w:val="single" w:color="auto" w:sz="4" w:space="0"/>
            </w:tcBorders>
            <w:shd w:val="clear" w:color="auto" w:fill="auto"/>
            <w:vAlign w:val="center"/>
          </w:tcPr>
          <w:p>
            <w:pPr>
              <w:pStyle w:val="0"/>
              <w:tabs>
                <w:tab w:val="left" w:leader="none" w:pos="567"/>
              </w:tabs>
              <w:jc w:val="center"/>
              <w:rPr>
                <w:rFonts w:hint="eastAsia" w:ascii="ＭＳ 明朝" w:hAnsi="ＭＳ 明朝" w:eastAsia="ＭＳ 明朝"/>
                <w:color w:val="auto"/>
                <w:sz w:val="20"/>
                <w:highlight w:val="none"/>
              </w:rPr>
            </w:pPr>
          </w:p>
        </w:tc>
      </w:tr>
    </w:tbl>
    <w:p>
      <w:pPr>
        <w:pStyle w:val="0"/>
        <w:tabs>
          <w:tab w:val="left" w:leader="none" w:pos="7704"/>
        </w:tabs>
        <w:spacing w:line="60" w:lineRule="atLeast"/>
        <w:ind w:leftChars="0" w:hanging="1513" w:hangingChars="732"/>
        <w:jc w:val="center"/>
        <w:rPr>
          <w:rFonts w:hint="eastAsia" w:ascii="ＭＳ 明朝" w:hAnsi="ＭＳ 明朝" w:eastAsia="ＭＳ 明朝"/>
          <w:color w:val="auto"/>
          <w:sz w:val="18"/>
          <w:highlight w:val="none"/>
        </w:rPr>
      </w:pPr>
      <w:r>
        <w:rPr>
          <w:rFonts w:hint="eastAsia" w:ascii="ＭＳ ゴシック" w:hAnsi="ＭＳ ゴシック" w:eastAsia="ＭＳ ゴシック"/>
          <w:color w:val="auto"/>
          <w:sz w:val="22"/>
          <w:highlight w:val="none"/>
        </w:rPr>
        <w:t>（</w:t>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6-2-24</w:t>
      </w:r>
      <w:r>
        <w:rPr>
          <w:rFonts w:hint="eastAsia" w:ascii="ＭＳ ゴシック" w:hAnsi="ＭＳ ゴシック" w:eastAsia="ＭＳ ゴシック"/>
          <w:color w:val="auto"/>
          <w:sz w:val="22"/>
          <w:highlight w:val="none"/>
          <w:u w:val="none" w:color="auto"/>
        </w:rPr>
        <w:t>）</w:t>
      </w:r>
      <w:r>
        <w:rPr>
          <w:rFonts w:hint="eastAsia" w:ascii="ＭＳ ゴシック" w:hAnsi="ＭＳ ゴシック" w:eastAsia="ＭＳ ゴシック"/>
          <w:color w:val="auto"/>
          <w:sz w:val="22"/>
          <w:highlight w:val="none"/>
          <w:u w:val="none" w:color="auto"/>
        </w:rPr>
        <w:t>t-PA</w:t>
      </w:r>
      <w:r>
        <w:rPr>
          <w:rFonts w:hint="eastAsia" w:ascii="ＭＳ ゴシック" w:hAnsi="ＭＳ ゴシック" w:eastAsia="ＭＳ ゴシック"/>
          <w:color w:val="auto"/>
          <w:sz w:val="22"/>
          <w:highlight w:val="none"/>
          <w:u w:val="none" w:color="auto"/>
        </w:rPr>
        <w:t>製剤による脳血栓溶解療法の実施可能な医療機関数</w:t>
      </w:r>
    </w:p>
    <w:p>
      <w:pPr>
        <w:pStyle w:val="0"/>
        <w:tabs>
          <w:tab w:val="left" w:leader="none" w:pos="7704"/>
        </w:tabs>
        <w:spacing w:line="0" w:lineRule="atLeast"/>
        <w:ind w:leftChars="0" w:firstLineChars="0"/>
        <w:jc w:val="right"/>
        <w:rPr>
          <w:rFonts w:hint="eastAsia" w:ascii="ＭＳ 明朝" w:hAnsi="ＭＳ 明朝" w:eastAsia="ＭＳ 明朝"/>
          <w:color w:val="auto"/>
          <w:sz w:val="20"/>
          <w:highlight w:val="none"/>
        </w:rPr>
      </w:pP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四国厚生支局　施設基準の届出受理状況「超急性期脳卒中加算」（令和５年</w:t>
      </w:r>
      <w:r>
        <w:rPr>
          <w:rFonts w:hint="eastAsia" w:ascii="ＭＳ 明朝" w:hAnsi="ＭＳ 明朝" w:eastAsia="ＭＳ 明朝"/>
          <w:color w:val="auto"/>
          <w:sz w:val="16"/>
          <w:highlight w:val="none"/>
          <w:u w:val="none" w:color="auto"/>
        </w:rPr>
        <w:t>10</w:t>
      </w:r>
      <w:r>
        <w:rPr>
          <w:rFonts w:hint="eastAsia" w:ascii="ＭＳ 明朝" w:hAnsi="ＭＳ 明朝" w:eastAsia="ＭＳ 明朝"/>
          <w:color w:val="auto"/>
          <w:sz w:val="16"/>
          <w:highlight w:val="none"/>
          <w:u w:val="none" w:color="auto"/>
        </w:rPr>
        <w:t>月、括弧内は平成</w:t>
      </w:r>
      <w:r>
        <w:rPr>
          <w:rFonts w:hint="eastAsia" w:ascii="ＭＳ 明朝" w:hAnsi="ＭＳ 明朝" w:eastAsia="ＭＳ 明朝"/>
          <w:color w:val="auto"/>
          <w:sz w:val="16"/>
          <w:highlight w:val="none"/>
          <w:u w:val="none" w:color="auto"/>
        </w:rPr>
        <w:t>29</w:t>
      </w:r>
      <w:r>
        <w:rPr>
          <w:rFonts w:hint="eastAsia" w:ascii="ＭＳ 明朝" w:hAnsi="ＭＳ 明朝" w:eastAsia="ＭＳ 明朝"/>
          <w:color w:val="auto"/>
          <w:sz w:val="16"/>
          <w:highlight w:val="none"/>
          <w:u w:val="none" w:color="auto"/>
        </w:rPr>
        <w:t>年８月）</w:t>
      </w:r>
    </w:p>
    <w:p>
      <w:pPr>
        <w:pStyle w:val="0"/>
        <w:tabs>
          <w:tab w:val="left" w:leader="none" w:pos="7704"/>
        </w:tabs>
        <w:snapToGrid w:val="0"/>
        <w:spacing w:line="240" w:lineRule="auto"/>
        <w:jc w:val="center"/>
        <w:rPr>
          <w:rFonts w:hint="eastAsia" w:ascii="ＭＳ 明朝" w:hAnsi="ＭＳ 明朝" w:eastAsia="ＭＳ 明朝"/>
          <w:color w:val="auto"/>
          <w:sz w:val="21"/>
          <w:highlight w:val="none"/>
        </w:rPr>
      </w:pPr>
    </w:p>
    <w:p>
      <w:pPr>
        <w:pStyle w:val="0"/>
        <w:tabs>
          <w:tab w:val="left" w:leader="none" w:pos="7704"/>
        </w:tabs>
        <w:snapToGrid w:val="0"/>
        <w:spacing w:line="240" w:lineRule="auto"/>
        <w:ind w:left="0" w:leftChars="0" w:firstLine="0" w:firstLineChars="0"/>
        <w:jc w:val="center"/>
        <w:rPr>
          <w:rFonts w:hint="eastAsia" w:ascii="ＭＳ ゴシック" w:hAnsi="ＭＳ ゴシック" w:eastAsia="ＭＳ ゴシック"/>
          <w:color w:val="auto"/>
          <w:sz w:val="22"/>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6-2-25</w:t>
      </w:r>
      <w:r>
        <w:rPr>
          <w:rFonts w:hint="eastAsia" w:ascii="ＭＳ ゴシック" w:hAnsi="ＭＳ ゴシック" w:eastAsia="ＭＳ ゴシック"/>
          <w:color w:val="auto"/>
          <w:sz w:val="22"/>
          <w:highlight w:val="none"/>
          <w:u w:val="none" w:color="auto"/>
        </w:rPr>
        <w:t>）脳梗塞に対する</w:t>
      </w:r>
      <w:r>
        <w:rPr>
          <w:rFonts w:hint="eastAsia" w:ascii="ＭＳ ゴシック" w:hAnsi="ＭＳ ゴシック" w:eastAsia="ＭＳ ゴシック"/>
          <w:color w:val="auto"/>
          <w:sz w:val="22"/>
          <w:highlight w:val="none"/>
          <w:u w:val="none" w:color="auto"/>
        </w:rPr>
        <w:t>t-PA</w:t>
      </w:r>
      <w:r>
        <w:rPr>
          <w:rFonts w:hint="eastAsia" w:ascii="ＭＳ ゴシック" w:hAnsi="ＭＳ ゴシック" w:eastAsia="ＭＳ ゴシック"/>
          <w:color w:val="auto"/>
          <w:sz w:val="22"/>
          <w:highlight w:val="none"/>
          <w:u w:val="none" w:color="auto"/>
        </w:rPr>
        <w:t>による脳血栓溶解療法適用患者への</w:t>
      </w:r>
    </w:p>
    <w:p>
      <w:pPr>
        <w:pStyle w:val="0"/>
        <w:tabs>
          <w:tab w:val="left" w:leader="none" w:pos="7704"/>
        </w:tabs>
        <w:snapToGrid w:val="0"/>
        <w:spacing w:line="240" w:lineRule="auto"/>
        <w:ind w:left="0" w:leftChars="0" w:firstLine="2494" w:firstLineChars="1100"/>
        <w:jc w:val="both"/>
        <w:rPr>
          <w:rFonts w:hint="eastAsia" w:ascii="ＭＳ 明朝" w:hAnsi="ＭＳ 明朝" w:eastAsia="ＭＳ 明朝"/>
          <w:color w:val="auto"/>
          <w:sz w:val="20"/>
          <w:highlight w:val="none"/>
        </w:rPr>
      </w:pPr>
      <w:r>
        <w:rPr>
          <w:rFonts w:hint="eastAsia" w:ascii="ＭＳ ゴシック" w:hAnsi="ＭＳ ゴシック" w:eastAsia="ＭＳ ゴシック"/>
          <w:color w:val="auto"/>
          <w:sz w:val="22"/>
          <w:highlight w:val="none"/>
          <w:u w:val="none" w:color="auto"/>
        </w:rPr>
        <w:t>同療法実施件数</w:t>
      </w:r>
      <w:r>
        <w:rPr>
          <w:rFonts w:hint="eastAsia" w:ascii="ＭＳ ゴシック" w:hAnsi="ＭＳ ゴシック" w:eastAsia="ＭＳ ゴシック"/>
          <w:color w:val="auto"/>
          <w:sz w:val="21"/>
          <w:highlight w:val="none"/>
          <w:u w:val="none" w:color="auto"/>
        </w:rPr>
        <w:t>（レセプト算定回数）</w:t>
      </w:r>
    </w:p>
    <w:tbl>
      <w:tblPr>
        <w:tblStyle w:val="44"/>
        <w:tblpPr w:leftFromText="142" w:rightFromText="142" w:topFromText="0" w:bottomFromText="0" w:vertAnchor="text" w:horzAnchor="margin" w:tblpXSpec="center" w:tblpY="114"/>
        <w:tblW w:w="8673" w:type="dxa"/>
        <w:tblLayout w:type="fixed"/>
        <w:tblLook w:firstRow="1" w:lastRow="0" w:firstColumn="1" w:lastColumn="0" w:noHBand="0" w:noVBand="1" w:val="04A0"/>
      </w:tblPr>
      <w:tblGrid>
        <w:gridCol w:w="1239"/>
        <w:gridCol w:w="1239"/>
        <w:gridCol w:w="1239"/>
        <w:gridCol w:w="1239"/>
        <w:gridCol w:w="1239"/>
        <w:gridCol w:w="1239"/>
        <w:gridCol w:w="1239"/>
      </w:tblGrid>
      <w:tr>
        <w:trPr/>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安芸</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高幡</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p>
        </w:tc>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446" w:type="dxa"/>
            <w:shd w:val="clear" w:color="auto" w:fill="DAEEF3"/>
            <w:vAlign w:val="center"/>
          </w:tcPr>
          <w:p>
            <w:pPr>
              <w:pStyle w:val="0"/>
              <w:tabs>
                <w:tab w:val="left" w:leader="none" w:pos="7704"/>
              </w:tabs>
              <w:snapToGrid w:val="0"/>
              <w:jc w:val="center"/>
              <w:rPr>
                <w:rFonts w:hint="eastAsia"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実施件数</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153</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175</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0</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44</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17</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210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192</w:t>
            </w:r>
            <w:r>
              <w:rPr>
                <w:rFonts w:hint="eastAsia" w:ascii="ＭＳ 明朝" w:hAnsi="ＭＳ 明朝" w:eastAsia="ＭＳ 明朝"/>
                <w:color w:val="auto"/>
                <w:sz w:val="20"/>
                <w:highlight w:val="none"/>
                <w:u w:val="none" w:color="auto"/>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r>
        <w:trPr/>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10</w:t>
            </w:r>
            <w:r>
              <w:rPr>
                <w:rFonts w:hint="eastAsia" w:ascii="ＭＳ 明朝" w:hAnsi="ＭＳ 明朝" w:eastAsia="ＭＳ 明朝"/>
                <w:color w:val="auto"/>
                <w:sz w:val="20"/>
                <w:highlight w:val="none"/>
                <w:u w:val="none" w:color="auto"/>
              </w:rPr>
              <w:t>万人対</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31.0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30.1</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32.2</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0</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56.8</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18.5</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31.1</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25.7</w:t>
            </w:r>
            <w:r>
              <w:rPr>
                <w:rFonts w:hint="eastAsia" w:ascii="ＭＳ 明朝" w:hAnsi="ＭＳ 明朝" w:eastAsia="ＭＳ 明朝"/>
                <w:color w:val="auto"/>
                <w:sz w:val="20"/>
                <w:highlight w:val="none"/>
                <w:u w:val="none" w:color="auto"/>
              </w:rPr>
              <w:t>）</w:t>
            </w:r>
          </w:p>
        </w:tc>
        <w:tc>
          <w:tcPr>
            <w:tcW w:w="1446" w:type="dxa"/>
            <w:tcBorders>
              <w:top w:val="none" w:color="auto" w:sz="0" w:space="0"/>
              <w:left w:val="none" w:color="auto" w:sz="0" w:space="0"/>
              <w:bottom w:val="none" w:color="auto" w:sz="0"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bl>
    <w:p>
      <w:pPr>
        <w:pStyle w:val="0"/>
        <w:tabs>
          <w:tab w:val="left" w:leader="none" w:pos="7704"/>
        </w:tabs>
        <w:spacing w:line="0" w:lineRule="atLeast"/>
        <w:ind w:left="227" w:leftChars="100" w:right="218" w:rightChars="96" w:firstLine="250" w:firstLineChars="150"/>
        <w:jc w:val="right"/>
        <w:rPr>
          <w:rFonts w:hint="eastAsia" w:ascii="ＭＳ 明朝" w:hAnsi="ＭＳ 明朝" w:eastAsia="ＭＳ 明朝"/>
          <w:color w:val="auto"/>
          <w:highlight w:val="none"/>
          <w:u w:val="none" w:color="auto"/>
        </w:rPr>
      </w:pPr>
      <w:r>
        <w:rPr>
          <w:rFonts w:hint="eastAsia" w:ascii="ＭＳ 明朝" w:hAnsi="ＭＳ 明朝" w:eastAsia="ＭＳ 明朝"/>
          <w:color w:val="auto"/>
          <w:sz w:val="16"/>
          <w:highlight w:val="none"/>
          <w:u w:val="none" w:color="auto"/>
        </w:rPr>
        <w:t>　</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NDB</w:t>
      </w:r>
      <w:r>
        <w:rPr>
          <w:rFonts w:hint="eastAsia" w:ascii="ＭＳ 明朝" w:hAnsi="ＭＳ 明朝" w:eastAsia="ＭＳ 明朝"/>
          <w:color w:val="auto"/>
          <w:sz w:val="16"/>
          <w:highlight w:val="none"/>
          <w:u w:val="none" w:color="auto"/>
        </w:rPr>
        <w:t>（括弧内は平成</w:t>
      </w:r>
      <w:r>
        <w:rPr>
          <w:rFonts w:hint="eastAsia" w:ascii="ＭＳ 明朝" w:hAnsi="ＭＳ 明朝" w:eastAsia="ＭＳ 明朝"/>
          <w:color w:val="auto"/>
          <w:sz w:val="16"/>
          <w:highlight w:val="none"/>
          <w:u w:val="none" w:color="auto"/>
        </w:rPr>
        <w:t>27</w:t>
      </w:r>
      <w:r>
        <w:rPr>
          <w:rFonts w:hint="eastAsia" w:ascii="ＭＳ 明朝" w:hAnsi="ＭＳ 明朝" w:eastAsia="ＭＳ 明朝"/>
          <w:color w:val="auto"/>
          <w:sz w:val="16"/>
          <w:highlight w:val="none"/>
          <w:u w:val="none" w:color="auto"/>
        </w:rPr>
        <w:t>年度）</w:t>
      </w:r>
    </w:p>
    <w:p>
      <w:pPr>
        <w:pStyle w:val="0"/>
        <w:tabs>
          <w:tab w:val="left" w:leader="none" w:pos="7704"/>
        </w:tabs>
        <w:snapToGrid w:val="1"/>
        <w:spacing w:line="240" w:lineRule="auto"/>
        <w:rPr>
          <w:rFonts w:hint="eastAsia" w:ascii="ＭＳ 明朝" w:hAnsi="ＭＳ 明朝" w:eastAsia="ＭＳ 明朝"/>
          <w:b w:val="1"/>
          <w:color w:val="000000" w:themeColor="text1"/>
          <w:highlight w:val="none"/>
          <w:u w:val="none" w:color="auto"/>
        </w:rPr>
      </w:pPr>
    </w:p>
    <w:p>
      <w:pPr>
        <w:pStyle w:val="0"/>
        <w:tabs>
          <w:tab w:val="left" w:leader="none" w:pos="7704"/>
        </w:tabs>
        <w:snapToGrid w:val="0"/>
        <w:spacing w:line="240" w:lineRule="auto"/>
        <w:ind w:left="0" w:leftChars="0" w:firstLine="0" w:firstLineChars="0"/>
        <w:jc w:val="center"/>
        <w:rPr>
          <w:rFonts w:hint="eastAsia" w:ascii="ＭＳ ゴシック" w:hAnsi="ＭＳ ゴシック" w:eastAsia="ＭＳ ゴシック"/>
          <w:color w:val="auto"/>
          <w:sz w:val="22"/>
          <w:highlight w:val="none"/>
          <w:u w:val="none" w:color="auto"/>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6-2-26</w:t>
      </w:r>
      <w:r>
        <w:rPr>
          <w:rFonts w:hint="eastAsia" w:ascii="ＭＳ ゴシック" w:hAnsi="ＭＳ ゴシック" w:eastAsia="ＭＳ ゴシック"/>
          <w:color w:val="auto"/>
          <w:sz w:val="22"/>
          <w:highlight w:val="none"/>
          <w:u w:val="none" w:color="auto"/>
        </w:rPr>
        <w:t>）脳梗塞に対する脳血管内治療（経皮的脳血栓回収術</w:t>
      </w:r>
      <w:r>
        <w:rPr>
          <w:rFonts w:hint="eastAsia" w:ascii="ＭＳ ゴシック" w:hAnsi="ＭＳ ゴシック" w:eastAsia="ＭＳ ゴシック"/>
          <w:color w:val="auto"/>
          <w:sz w:val="22"/>
          <w:highlight w:val="none"/>
          <w:u w:val="none" w:color="auto"/>
          <w:vertAlign w:val="superscript"/>
        </w:rPr>
        <w:t>（注７）</w:t>
      </w:r>
      <w:r>
        <w:rPr>
          <w:rFonts w:hint="eastAsia" w:ascii="ＭＳ ゴシック" w:hAnsi="ＭＳ ゴシック" w:eastAsia="ＭＳ ゴシック"/>
          <w:color w:val="auto"/>
          <w:sz w:val="22"/>
          <w:highlight w:val="none"/>
          <w:u w:val="none" w:color="auto"/>
        </w:rPr>
        <w:t>等）</w:t>
      </w:r>
    </w:p>
    <w:p>
      <w:pPr>
        <w:pStyle w:val="0"/>
        <w:tabs>
          <w:tab w:val="left" w:leader="none" w:pos="7704"/>
        </w:tabs>
        <w:snapToGrid w:val="0"/>
        <w:spacing w:line="240" w:lineRule="auto"/>
        <w:ind w:left="0" w:leftChars="0" w:firstLine="2268" w:firstLineChars="1000"/>
        <w:rPr>
          <w:rFonts w:hint="eastAsia" w:ascii="ＭＳ 明朝" w:hAnsi="ＭＳ 明朝" w:eastAsia="ＭＳ 明朝"/>
          <w:color w:val="000000" w:themeColor="text1"/>
          <w:sz w:val="16"/>
          <w:highlight w:val="none"/>
        </w:rPr>
      </w:pPr>
      <w:r>
        <w:rPr>
          <w:rFonts w:hint="eastAsia" w:ascii="ＭＳ ゴシック" w:hAnsi="ＭＳ ゴシック" w:eastAsia="ＭＳ ゴシック"/>
          <w:color w:val="auto"/>
          <w:sz w:val="22"/>
          <w:highlight w:val="none"/>
          <w:u w:val="none" w:color="auto"/>
        </w:rPr>
        <w:t>の実施件数</w:t>
      </w:r>
      <w:r>
        <w:rPr>
          <w:rFonts w:hint="eastAsia" w:ascii="ＭＳ ゴシック" w:hAnsi="ＭＳ ゴシック" w:eastAsia="ＭＳ ゴシック"/>
          <w:color w:val="auto"/>
          <w:sz w:val="21"/>
          <w:highlight w:val="none"/>
          <w:u w:val="none" w:color="auto"/>
        </w:rPr>
        <w:t>（レセプト算定回数）</w:t>
      </w:r>
    </w:p>
    <w:tbl>
      <w:tblPr>
        <w:tblStyle w:val="44"/>
        <w:tblpPr w:leftFromText="142" w:rightFromText="142" w:topFromText="0" w:bottomFromText="0" w:vertAnchor="text" w:horzAnchor="margin" w:tblpXSpec="center" w:tblpY="114"/>
        <w:tblW w:w="8721" w:type="dxa"/>
        <w:tblLayout w:type="fixed"/>
        <w:tblLook w:firstRow="1" w:lastRow="0" w:firstColumn="1" w:lastColumn="0" w:noHBand="0" w:noVBand="1" w:val="04A0"/>
      </w:tblPr>
      <w:tblGrid>
        <w:gridCol w:w="1246"/>
        <w:gridCol w:w="1246"/>
        <w:gridCol w:w="1246"/>
        <w:gridCol w:w="1245"/>
        <w:gridCol w:w="1246"/>
        <w:gridCol w:w="1246"/>
        <w:gridCol w:w="1246"/>
      </w:tblGrid>
      <w:tr>
        <w:trPr/>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安芸</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中央</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高幡</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幡多</w:t>
            </w:r>
          </w:p>
        </w:tc>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446" w:type="dxa"/>
            <w:shd w:val="clear" w:color="auto" w:fill="DAEEF3"/>
            <w:vAlign w:val="center"/>
          </w:tcPr>
          <w:p>
            <w:pPr>
              <w:pStyle w:val="0"/>
              <w:tabs>
                <w:tab w:val="left" w:leader="none" w:pos="7704"/>
              </w:tabs>
              <w:snapToGrid w:val="0"/>
              <w:jc w:val="center"/>
              <w:rPr>
                <w:rFonts w:hint="eastAsia"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実施件数</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(0)</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117</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67</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0</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13</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ind w:left="0" w:leftChars="0" w:firstLine="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ind w:left="0" w:leftChars="0" w:firstLine="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67</w:t>
            </w:r>
            <w:r>
              <w:rPr>
                <w:rFonts w:hint="eastAsia" w:ascii="ＭＳ 明朝" w:hAnsi="ＭＳ 明朝" w:eastAsia="ＭＳ 明朝"/>
                <w:color w:val="auto"/>
                <w:sz w:val="20"/>
                <w:highlight w:val="none"/>
                <w:u w:val="none" w:color="auto"/>
              </w:rPr>
              <w:t>）</w:t>
            </w:r>
          </w:p>
        </w:tc>
        <w:tc>
          <w:tcPr>
            <w:tcW w:w="1446" w:type="dxa"/>
            <w:tcBorders>
              <w:top w:val="none" w:color="auto" w:sz="0" w:space="0"/>
              <w:left w:val="none" w:color="auto" w:sz="0" w:space="0"/>
              <w:bottom w:val="none" w:color="auto" w:sz="0" w:space="0"/>
              <w:right w:val="none" w:color="auto" w:sz="0" w:space="0"/>
              <w:tl2br w:val="none" w:color="auto" w:sz="0" w:space="0"/>
              <w:tr2bl w:val="single" w:color="000000" w:themeColor="text1" w:sz="4" w:space="0"/>
            </w:tcBorders>
            <w:vAlign w:val="center"/>
          </w:tcPr>
          <w:p>
            <w:pPr>
              <w:pStyle w:val="0"/>
              <w:tabs>
                <w:tab w:val="left" w:leader="none" w:pos="567"/>
              </w:tabs>
              <w:jc w:val="center"/>
              <w:rPr>
                <w:rFonts w:hint="eastAsia" w:ascii="ＭＳ 明朝" w:hAnsi="ＭＳ 明朝" w:eastAsia="ＭＳ 明朝"/>
                <w:color w:val="auto"/>
                <w:sz w:val="20"/>
                <w:highlight w:val="none"/>
              </w:rPr>
            </w:pPr>
          </w:p>
        </w:tc>
      </w:tr>
      <w:tr>
        <w:trPr/>
        <w:tc>
          <w:tcPr>
            <w:tcW w:w="1446" w:type="dxa"/>
            <w:shd w:val="clear" w:color="auto" w:fill="DAEEF3"/>
            <w:vAlign w:val="center"/>
          </w:tcPr>
          <w:p>
            <w:pPr>
              <w:pStyle w:val="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10</w:t>
            </w:r>
            <w:r>
              <w:rPr>
                <w:rFonts w:hint="eastAsia" w:ascii="ＭＳ 明朝" w:hAnsi="ＭＳ 明朝" w:eastAsia="ＭＳ 明朝"/>
                <w:color w:val="auto"/>
                <w:sz w:val="20"/>
                <w:highlight w:val="none"/>
                <w:u w:val="none" w:color="auto"/>
              </w:rPr>
              <w:t>万人対</w:t>
            </w:r>
          </w:p>
        </w:tc>
        <w:tc>
          <w:tcPr>
            <w:tcW w:w="1446"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0</w:t>
            </w:r>
            <w:r>
              <w:rPr>
                <w:rFonts w:hint="eastAsia" w:ascii="ＭＳ 明朝" w:hAnsi="ＭＳ 明朝" w:eastAsia="ＭＳ 明朝"/>
                <w:color w:val="auto"/>
                <w:sz w:val="20"/>
                <w:highlight w:val="none"/>
                <w:u w:val="none" w:color="auto"/>
              </w:rPr>
              <w:t>）</w:t>
            </w:r>
          </w:p>
        </w:tc>
        <w:tc>
          <w:tcPr>
            <w:tcW w:w="1446"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23.0</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12.3</w:t>
            </w:r>
            <w:r>
              <w:rPr>
                <w:rFonts w:hint="eastAsia" w:ascii="ＭＳ 明朝" w:hAnsi="ＭＳ 明朝" w:eastAsia="ＭＳ 明朝"/>
                <w:color w:val="auto"/>
                <w:sz w:val="20"/>
                <w:highlight w:val="none"/>
                <w:u w:val="none" w:color="auto"/>
              </w:rPr>
              <w:t>）</w:t>
            </w:r>
          </w:p>
        </w:tc>
        <w:tc>
          <w:tcPr>
            <w:tcW w:w="1446"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0</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0</w:t>
            </w:r>
            <w:r>
              <w:rPr>
                <w:rFonts w:hint="eastAsia" w:ascii="ＭＳ 明朝" w:hAnsi="ＭＳ 明朝" w:eastAsia="ＭＳ 明朝"/>
                <w:color w:val="auto"/>
                <w:sz w:val="20"/>
                <w:highlight w:val="none"/>
                <w:u w:val="none" w:color="auto"/>
              </w:rPr>
              <w:t>）</w:t>
            </w:r>
          </w:p>
        </w:tc>
        <w:tc>
          <w:tcPr>
            <w:tcW w:w="1446"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16.8</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9.4</w:t>
            </w:r>
            <w:r>
              <w:rPr>
                <w:rFonts w:hint="eastAsia" w:ascii="ＭＳ 明朝" w:hAnsi="ＭＳ 明朝" w:eastAsia="ＭＳ 明朝"/>
                <w:color w:val="auto"/>
                <w:sz w:val="20"/>
                <w:highlight w:val="none"/>
                <w:u w:val="none" w:color="auto"/>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single" w:color="000000" w:themeColor="text1" w:sz="4" w:space="0"/>
            </w:tcBorders>
            <w:vAlign w:val="center"/>
          </w:tcPr>
          <w:p>
            <w:pPr>
              <w:pStyle w:val="0"/>
              <w:jc w:val="center"/>
              <w:rPr>
                <w:rFonts w:hint="eastAsia" w:ascii="ＭＳ 明朝" w:hAnsi="ＭＳ 明朝" w:eastAsia="ＭＳ 明朝"/>
                <w:color w:val="auto"/>
                <w:sz w:val="20"/>
                <w:highlight w:val="none"/>
              </w:rPr>
            </w:pPr>
          </w:p>
        </w:tc>
      </w:tr>
    </w:tbl>
    <w:p>
      <w:pPr>
        <w:pStyle w:val="0"/>
        <w:tabs>
          <w:tab w:val="left" w:leader="none" w:pos="7704"/>
        </w:tabs>
        <w:spacing w:line="240" w:lineRule="auto"/>
        <w:jc w:val="right"/>
        <w:rPr>
          <w:rFonts w:hint="eastAsia" w:ascii="ＭＳ 明朝" w:hAnsi="ＭＳ 明朝" w:eastAsia="ＭＳ 明朝"/>
          <w:b w:val="1"/>
          <w:color w:val="auto"/>
          <w:highlight w:val="none"/>
        </w:rPr>
      </w:pPr>
      <w:r>
        <w:rPr>
          <w:rFonts w:hint="eastAsia" w:ascii="ＭＳ 明朝" w:hAnsi="ＭＳ 明朝" w:eastAsia="ＭＳ 明朝"/>
          <w:color w:val="auto"/>
          <w:sz w:val="16"/>
          <w:highlight w:val="none"/>
        </w:rPr>
        <w:t>※一定数よりも少ない場合は表示されないため０ではない　　　　　　</w:t>
      </w:r>
      <w:r>
        <w:rPr>
          <w:rFonts w:hint="eastAsia" w:ascii="ＭＳ 明朝" w:hAnsi="ＭＳ 明朝" w:eastAsia="ＭＳ 明朝"/>
          <w:color w:val="auto"/>
          <w:sz w:val="16"/>
          <w:highlight w:val="none"/>
        </w:rPr>
        <w:t xml:space="preserve"> </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NDB</w:t>
      </w:r>
      <w:r>
        <w:rPr>
          <w:rFonts w:hint="eastAsia" w:ascii="ＭＳ 明朝" w:hAnsi="ＭＳ 明朝" w:eastAsia="ＭＳ 明朝"/>
          <w:color w:val="auto"/>
          <w:sz w:val="16"/>
          <w:highlight w:val="none"/>
          <w:u w:val="none" w:color="auto"/>
        </w:rPr>
        <w:t>（括弧内は平成</w:t>
      </w:r>
      <w:r>
        <w:rPr>
          <w:rFonts w:hint="eastAsia" w:ascii="ＭＳ 明朝" w:hAnsi="ＭＳ 明朝" w:eastAsia="ＭＳ 明朝"/>
          <w:color w:val="auto"/>
          <w:sz w:val="16"/>
          <w:highlight w:val="none"/>
          <w:u w:val="none" w:color="auto"/>
        </w:rPr>
        <w:t>27</w:t>
      </w:r>
      <w:r>
        <w:rPr>
          <w:rFonts w:hint="eastAsia" w:ascii="ＭＳ 明朝" w:hAnsi="ＭＳ 明朝" w:eastAsia="ＭＳ 明朝"/>
          <w:color w:val="auto"/>
          <w:sz w:val="16"/>
          <w:highlight w:val="none"/>
          <w:u w:val="none" w:color="auto"/>
        </w:rPr>
        <w:t>年度）</w:t>
      </w:r>
    </w:p>
    <w:p>
      <w:pPr>
        <w:pStyle w:val="0"/>
        <w:tabs>
          <w:tab w:val="left" w:leader="none" w:pos="7704"/>
        </w:tabs>
        <w:snapToGrid w:val="0"/>
        <w:spacing w:line="240" w:lineRule="auto"/>
        <w:ind w:left="907" w:leftChars="100" w:hanging="680" w:hangingChars="408"/>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（注７）</w:t>
      </w:r>
      <w:r>
        <w:rPr>
          <w:rFonts w:hint="eastAsia" w:ascii="ＭＳ 明朝" w:hAnsi="ＭＳ 明朝" w:eastAsia="ＭＳ 明朝"/>
          <w:color w:val="auto"/>
          <w:sz w:val="16"/>
          <w:u w:val="none" w:color="auto"/>
        </w:rPr>
        <w:t>経皮的脳血栓回収術：</w:t>
      </w:r>
      <w:r>
        <w:rPr>
          <w:rFonts w:hint="eastAsia" w:ascii="ＭＳ 明朝" w:hAnsi="ＭＳ 明朝" w:eastAsia="ＭＳ 明朝"/>
          <w:color w:val="auto"/>
          <w:sz w:val="16"/>
          <w:highlight w:val="none"/>
          <w:u w:val="none" w:color="auto"/>
        </w:rPr>
        <w:t>カテーテルから特殊な機材を通して、血管の内腔から病変に到達し、遠視下に病気を治す治療法である血管内治療のひとつ。</w:t>
      </w:r>
      <w:r>
        <w:rPr>
          <w:rFonts w:hint="eastAsia" w:ascii="ＭＳ 明朝" w:hAnsi="ＭＳ 明朝" w:eastAsia="ＭＳ 明朝"/>
          <w:color w:val="auto"/>
          <w:sz w:val="16"/>
          <w:highlight w:val="none"/>
          <w:u w:val="none" w:color="auto"/>
        </w:rPr>
        <w:t>t-PA</w:t>
      </w:r>
      <w:r>
        <w:rPr>
          <w:rFonts w:hint="eastAsia" w:ascii="ＭＳ 明朝" w:hAnsi="ＭＳ 明朝" w:eastAsia="ＭＳ 明朝"/>
          <w:color w:val="auto"/>
          <w:sz w:val="16"/>
          <w:highlight w:val="none"/>
          <w:u w:val="none" w:color="auto"/>
        </w:rPr>
        <w:t>が使用できない場合や主幹動脈が閉塞した場合に</w:t>
      </w:r>
      <w:r>
        <w:rPr>
          <w:rFonts w:hint="eastAsia" w:ascii="ＭＳ 明朝" w:hAnsi="ＭＳ 明朝" w:eastAsia="ＭＳ 明朝"/>
          <w:color w:val="auto"/>
          <w:sz w:val="16"/>
          <w:highlight w:val="none"/>
          <w:u w:val="none" w:color="auto"/>
        </w:rPr>
        <w:t>t-PA</w:t>
      </w:r>
      <w:r>
        <w:rPr>
          <w:rFonts w:hint="eastAsia" w:ascii="ＭＳ 明朝" w:hAnsi="ＭＳ 明朝" w:eastAsia="ＭＳ 明朝"/>
          <w:color w:val="auto"/>
          <w:sz w:val="16"/>
          <w:highlight w:val="none"/>
          <w:u w:val="none" w:color="auto"/>
        </w:rPr>
        <w:t>療法に追加して行うことがある。特殊なデバイスを用いて血栓を体外に回収する方法。</w:t>
      </w:r>
    </w:p>
    <w:p>
      <w:pPr>
        <w:pStyle w:val="0"/>
        <w:tabs>
          <w:tab w:val="left" w:leader="none" w:pos="7704"/>
        </w:tabs>
        <w:spacing w:line="0" w:lineRule="atLeast"/>
        <w:ind w:right="1336"/>
        <w:rPr>
          <w:rFonts w:hint="eastAsia" w:ascii="ＭＳ 明朝" w:hAnsi="ＭＳ 明朝" w:eastAsia="ＭＳ 明朝"/>
          <w:color w:val="auto"/>
          <w:sz w:val="24"/>
          <w:highlight w:val="none"/>
        </w:rPr>
      </w:pPr>
    </w:p>
    <w:tbl>
      <w:tblPr>
        <w:tblStyle w:val="44"/>
        <w:tblpPr w:leftFromText="142" w:rightFromText="142" w:topFromText="0" w:bottomFromText="0" w:vertAnchor="text" w:horzAnchor="margin" w:tblpXSpec="center" w:tblpY="358"/>
        <w:tblW w:w="8766" w:type="dxa"/>
        <w:tblLayout w:type="fixed"/>
        <w:tblLook w:firstRow="1" w:lastRow="0" w:firstColumn="1" w:lastColumn="0" w:noHBand="0" w:noVBand="1" w:val="04A0"/>
      </w:tblPr>
      <w:tblGrid>
        <w:gridCol w:w="1252"/>
        <w:gridCol w:w="1253"/>
        <w:gridCol w:w="1252"/>
        <w:gridCol w:w="1252"/>
        <w:gridCol w:w="1252"/>
        <w:gridCol w:w="1253"/>
        <w:gridCol w:w="1252"/>
      </w:tblGrid>
      <w:tr>
        <w:trPr/>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安芸</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中央</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高幡</w:t>
            </w:r>
          </w:p>
        </w:tc>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幡多</w:t>
            </w:r>
          </w:p>
        </w:tc>
        <w:tc>
          <w:tcPr>
            <w:tcW w:w="1446"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446" w:type="dxa"/>
            <w:shd w:val="clear" w:color="auto" w:fill="DAEEF3"/>
            <w:vAlign w:val="center"/>
          </w:tcPr>
          <w:p>
            <w:pPr>
              <w:pStyle w:val="0"/>
              <w:tabs>
                <w:tab w:val="left" w:leader="none" w:pos="567"/>
              </w:tabs>
              <w:snapToGrid w:val="0"/>
              <w:jc w:val="center"/>
              <w:rPr>
                <w:rFonts w:hint="eastAsia" w:ascii="ＭＳ 明朝" w:hAnsi="ＭＳ 明朝" w:eastAsia="ＭＳ 明朝"/>
                <w:color w:val="auto"/>
                <w:sz w:val="20"/>
                <w:highlight w:val="none"/>
                <w:vertAlign w:val="superscript"/>
              </w:rPr>
            </w:pPr>
            <w:r>
              <w:rPr>
                <w:rFonts w:hint="eastAsia" w:ascii="ＭＳ 明朝" w:hAnsi="ＭＳ 明朝" w:eastAsia="ＭＳ 明朝"/>
                <w:color w:val="auto"/>
                <w:sz w:val="18"/>
                <w:highlight w:val="none"/>
              </w:rPr>
              <w:t>実施件数</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40</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33</w:t>
            </w:r>
            <w:r>
              <w:rPr>
                <w:rFonts w:hint="eastAsia" w:ascii="ＭＳ 明朝" w:hAnsi="ＭＳ 明朝" w:eastAsia="ＭＳ 明朝"/>
                <w:color w:val="auto"/>
                <w:sz w:val="20"/>
                <w:highlight w:val="none"/>
                <w:u w:val="none" w:color="auto"/>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r>
        <w:trPr>
          <w:trHeight w:val="356" w:hRule="atLeast"/>
        </w:trPr>
        <w:tc>
          <w:tcPr>
            <w:tcW w:w="144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万人対</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 xml:space="preserve"> -</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7.9</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6.1</w:t>
            </w:r>
            <w:r>
              <w:rPr>
                <w:rFonts w:hint="eastAsia" w:ascii="ＭＳ 明朝" w:hAnsi="ＭＳ 明朝" w:eastAsia="ＭＳ 明朝"/>
                <w:color w:val="auto"/>
                <w:sz w:val="20"/>
                <w:highlight w:val="none"/>
                <w:u w:val="none" w:color="auto"/>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vAlign w:val="center"/>
          </w:tcPr>
          <w:p>
            <w:pPr>
              <w:pStyle w:val="0"/>
              <w:numPr>
                <w:numId w:val="0"/>
              </w:numPr>
              <w:tabs>
                <w:tab w:val="left" w:leader="none" w:pos="567"/>
              </w:tabs>
              <w:ind w:left="0" w:leftChars="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numPr>
                <w:numId w:val="0"/>
              </w:numPr>
              <w:tabs>
                <w:tab w:val="left" w:leader="none" w:pos="567"/>
              </w:tabs>
              <w:ind w:left="0" w:leftChars="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446" w:type="dxa"/>
            <w:tcBorders>
              <w:top w:val="none" w:color="auto" w:sz="0" w:space="0"/>
              <w:left w:val="none" w:color="auto" w:sz="0" w:space="0"/>
              <w:bottom w:val="none" w:color="auto" w:sz="0"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bl>
    <w:p>
      <w:pPr>
        <w:pStyle w:val="0"/>
        <w:tabs>
          <w:tab w:val="left" w:leader="none" w:pos="7704"/>
        </w:tabs>
        <w:spacing w:line="240" w:lineRule="auto"/>
        <w:ind w:leftChars="0" w:firstLineChars="0"/>
        <w:jc w:val="center"/>
        <w:rPr>
          <w:rFonts w:hint="eastAsia" w:ascii="ＭＳ 明朝" w:hAnsi="ＭＳ 明朝" w:eastAsia="ＭＳ 明朝"/>
          <w:color w:val="000000" w:themeColor="text1"/>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6-2-27</w:t>
      </w:r>
      <w:r>
        <w:rPr>
          <w:rFonts w:hint="eastAsia" w:ascii="ＭＳ ゴシック" w:hAnsi="ＭＳ ゴシック" w:eastAsia="ＭＳ ゴシック"/>
          <w:color w:val="auto"/>
          <w:sz w:val="22"/>
          <w:highlight w:val="none"/>
          <w:u w:val="none" w:color="auto"/>
        </w:rPr>
        <w:t>）くも膜下出血に対する脳動脈コイル塞栓術の実施件数</w:t>
      </w:r>
      <w:r>
        <w:rPr>
          <w:rFonts w:hint="eastAsia" w:ascii="ＭＳ ゴシック" w:hAnsi="ＭＳ ゴシック" w:eastAsia="ＭＳ ゴシック"/>
          <w:color w:val="auto"/>
          <w:sz w:val="21"/>
          <w:highlight w:val="none"/>
          <w:u w:val="none" w:color="auto"/>
        </w:rPr>
        <w:t>（レセプト算定回数）</w:t>
      </w:r>
    </w:p>
    <w:p>
      <w:pPr>
        <w:pStyle w:val="0"/>
        <w:tabs>
          <w:tab w:val="left" w:leader="none" w:pos="7704"/>
        </w:tabs>
        <w:spacing w:line="0" w:lineRule="atLeast"/>
        <w:ind w:leftChars="0" w:right="0" w:rightChars="0" w:firstLineChars="0"/>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※一定数よりも少ない場合は表示されないため０ではない　　　　　　</w:t>
      </w:r>
      <w:r>
        <w:rPr>
          <w:rFonts w:hint="eastAsia" w:ascii="ＭＳ 明朝" w:hAnsi="ＭＳ 明朝" w:eastAsia="ＭＳ 明朝"/>
          <w:color w:val="auto"/>
          <w:sz w:val="16"/>
          <w:highlight w:val="none"/>
        </w:rPr>
        <w:t xml:space="preserve"> </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NDB</w:t>
      </w:r>
      <w:r>
        <w:rPr>
          <w:rFonts w:hint="eastAsia" w:ascii="ＭＳ 明朝" w:hAnsi="ＭＳ 明朝" w:eastAsia="ＭＳ 明朝"/>
          <w:color w:val="auto"/>
          <w:sz w:val="16"/>
          <w:highlight w:val="none"/>
          <w:u w:val="none" w:color="auto"/>
        </w:rPr>
        <w:t>（括弧内は平成</w:t>
      </w:r>
      <w:r>
        <w:rPr>
          <w:rFonts w:hint="eastAsia" w:ascii="ＭＳ 明朝" w:hAnsi="ＭＳ 明朝" w:eastAsia="ＭＳ 明朝"/>
          <w:color w:val="auto"/>
          <w:sz w:val="16"/>
          <w:highlight w:val="none"/>
          <w:u w:val="none" w:color="auto"/>
        </w:rPr>
        <w:t>27</w:t>
      </w:r>
      <w:r>
        <w:rPr>
          <w:rFonts w:hint="eastAsia" w:ascii="ＭＳ 明朝" w:hAnsi="ＭＳ 明朝" w:eastAsia="ＭＳ 明朝"/>
          <w:color w:val="auto"/>
          <w:sz w:val="16"/>
          <w:highlight w:val="none"/>
          <w:u w:val="none" w:color="auto"/>
        </w:rPr>
        <w:t>年度）</w:t>
      </w:r>
    </w:p>
    <w:p>
      <w:pPr>
        <w:pStyle w:val="0"/>
        <w:tabs>
          <w:tab w:val="left" w:leader="none" w:pos="7704"/>
        </w:tabs>
        <w:spacing w:line="0" w:lineRule="atLeast"/>
        <w:ind w:right="334" w:firstLine="4169" w:firstLineChars="2500"/>
        <w:jc w:val="right"/>
        <w:rPr>
          <w:rFonts w:hint="eastAsia" w:ascii="ＭＳ 明朝" w:hAnsi="ＭＳ 明朝" w:eastAsia="ＭＳ 明朝"/>
          <w:color w:val="auto"/>
          <w:sz w:val="16"/>
          <w:highlight w:val="none"/>
        </w:rPr>
      </w:pPr>
    </w:p>
    <w:p>
      <w:pPr>
        <w:pStyle w:val="0"/>
        <w:tabs>
          <w:tab w:val="left" w:leader="none" w:pos="7704"/>
        </w:tabs>
        <w:spacing w:line="240" w:lineRule="auto"/>
        <w:jc w:val="center"/>
        <w:rPr>
          <w:rFonts w:hint="eastAsia" w:ascii="ＭＳ 明朝" w:hAnsi="ＭＳ 明朝" w:eastAsia="ＭＳ 明朝"/>
          <w:color w:val="auto"/>
          <w:sz w:val="22"/>
          <w:highlight w:val="none"/>
        </w:rPr>
      </w:pPr>
      <w:r>
        <w:rPr>
          <w:rFonts w:hint="eastAsia" w:ascii="ＭＳ 明朝" w:hAnsi="ＭＳ 明朝" w:eastAsia="ＭＳ 明朝"/>
          <w:highlight w:val="none"/>
        </w:rPr>
        <w:br w:type="page"/>
      </w:r>
    </w:p>
    <w:p>
      <w:pPr>
        <w:pStyle w:val="0"/>
        <w:tabs>
          <w:tab w:val="left" w:leader="none" w:pos="7704"/>
        </w:tabs>
        <w:snapToGrid w:val="0"/>
        <w:spacing w:line="240" w:lineRule="auto"/>
        <w:ind w:leftChars="0" w:firstLineChars="0"/>
        <w:jc w:val="center"/>
        <w:rPr>
          <w:rFonts w:hint="eastAsia" w:ascii="ＭＳ 明朝" w:hAnsi="ＭＳ 明朝" w:eastAsia="ＭＳ 明朝"/>
          <w:color w:val="000000" w:themeColor="text1"/>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6-2-28</w:t>
      </w:r>
      <w:r>
        <w:rPr>
          <w:rFonts w:hint="eastAsia" w:ascii="ＭＳ ゴシック" w:hAnsi="ＭＳ ゴシック" w:eastAsia="ＭＳ ゴシック"/>
          <w:color w:val="auto"/>
          <w:sz w:val="22"/>
          <w:highlight w:val="none"/>
          <w:u w:val="none" w:color="auto"/>
        </w:rPr>
        <w:t>）くも膜下出血に対する脳動脈クリッピング術の実施件数</w:t>
      </w:r>
      <w:r>
        <w:rPr>
          <w:rFonts w:hint="eastAsia" w:ascii="ＭＳ ゴシック" w:hAnsi="ＭＳ ゴシック" w:eastAsia="ＭＳ ゴシック"/>
          <w:color w:val="auto"/>
          <w:spacing w:val="0"/>
          <w:w w:val="80"/>
          <w:sz w:val="20"/>
          <w:highlight w:val="none"/>
          <w:u w:val="none" w:color="auto"/>
          <w:fitText w:val="1608" w:id="1"/>
        </w:rPr>
        <w:t>（レセプト算定回数</w:t>
      </w:r>
      <w:r>
        <w:rPr>
          <w:rFonts w:hint="eastAsia" w:ascii="ＭＳ ゴシック" w:hAnsi="ＭＳ ゴシック" w:eastAsia="ＭＳ ゴシック"/>
          <w:color w:val="auto"/>
          <w:spacing w:val="7"/>
          <w:w w:val="80"/>
          <w:sz w:val="20"/>
          <w:highlight w:val="none"/>
          <w:u w:val="none" w:color="auto"/>
          <w:fitText w:val="1608" w:id="1"/>
        </w:rPr>
        <w:t>）</w:t>
      </w:r>
    </w:p>
    <w:tbl>
      <w:tblPr>
        <w:tblStyle w:val="44"/>
        <w:tblpPr w:leftFromText="142" w:rightFromText="142" w:topFromText="0" w:bottomFromText="0" w:vertAnchor="text" w:horzAnchor="margin" w:tblpXSpec="center" w:tblpY="114"/>
        <w:tblW w:w="8766" w:type="dxa"/>
        <w:tblLayout w:type="fixed"/>
        <w:tblLook w:firstRow="1" w:lastRow="0" w:firstColumn="1" w:lastColumn="0" w:noHBand="0" w:noVBand="1" w:val="04A0"/>
      </w:tblPr>
      <w:tblGrid>
        <w:gridCol w:w="1225"/>
        <w:gridCol w:w="1256"/>
        <w:gridCol w:w="1256"/>
        <w:gridCol w:w="1256"/>
        <w:gridCol w:w="1256"/>
        <w:gridCol w:w="1256"/>
        <w:gridCol w:w="1261"/>
      </w:tblGrid>
      <w:tr>
        <w:trPr/>
        <w:tc>
          <w:tcPr>
            <w:tcW w:w="1225" w:type="dxa"/>
            <w:shd w:val="clear" w:color="auto" w:fill="DAEEF3"/>
            <w:vAlign w:val="top"/>
          </w:tcPr>
          <w:p>
            <w:pPr>
              <w:pStyle w:val="0"/>
              <w:tabs>
                <w:tab w:val="left" w:leader="none" w:pos="567"/>
              </w:tabs>
              <w:jc w:val="center"/>
              <w:rPr>
                <w:rFonts w:hint="eastAsia" w:ascii="ＭＳ 明朝" w:hAnsi="ＭＳ 明朝" w:eastAsia="ＭＳ 明朝"/>
                <w:color w:val="auto"/>
                <w:sz w:val="20"/>
                <w:highlight w:val="none"/>
              </w:rPr>
            </w:pPr>
          </w:p>
        </w:tc>
        <w:tc>
          <w:tcPr>
            <w:tcW w:w="125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安芸</w:t>
            </w:r>
          </w:p>
        </w:tc>
        <w:tc>
          <w:tcPr>
            <w:tcW w:w="125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中央</w:t>
            </w:r>
          </w:p>
        </w:tc>
        <w:tc>
          <w:tcPr>
            <w:tcW w:w="125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高幡</w:t>
            </w:r>
          </w:p>
        </w:tc>
        <w:tc>
          <w:tcPr>
            <w:tcW w:w="1256"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 xml:space="preserve"> </w:t>
            </w:r>
            <w:r>
              <w:rPr>
                <w:rFonts w:hint="eastAsia" w:ascii="ＭＳ 明朝" w:hAnsi="ＭＳ 明朝" w:eastAsia="ＭＳ 明朝"/>
                <w:color w:val="auto"/>
                <w:sz w:val="20"/>
                <w:highlight w:val="none"/>
              </w:rPr>
              <w:t>幡多</w:t>
            </w:r>
          </w:p>
        </w:tc>
        <w:tc>
          <w:tcPr>
            <w:tcW w:w="1256"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県</w:t>
            </w:r>
          </w:p>
        </w:tc>
        <w:tc>
          <w:tcPr>
            <w:tcW w:w="1261" w:type="dxa"/>
            <w:tcBorders>
              <w:top w:val="none" w:color="auto" w:sz="0" w:space="0"/>
              <w:left w:val="none" w:color="auto" w:sz="0" w:space="0"/>
              <w:bottom w:val="single" w:color="000000" w:themeColor="text1" w:sz="4" w:space="0"/>
              <w:right w:val="none" w:color="auto" w:sz="0" w:space="0"/>
              <w:tl2br w:val="none" w:color="auto" w:sz="0" w:space="0"/>
              <w:tr2bl w:val="none" w:color="auto" w:sz="0" w:space="0"/>
            </w:tcBorders>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全国</w:t>
            </w:r>
          </w:p>
        </w:tc>
      </w:tr>
      <w:tr>
        <w:trPr/>
        <w:tc>
          <w:tcPr>
            <w:tcW w:w="1225" w:type="dxa"/>
            <w:shd w:val="clear" w:color="auto" w:fill="DAEEF3"/>
            <w:vAlign w:val="center"/>
          </w:tcPr>
          <w:p>
            <w:pPr>
              <w:pStyle w:val="0"/>
              <w:tabs>
                <w:tab w:val="left" w:leader="none" w:pos="567"/>
              </w:tabs>
              <w:snapToGrid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18"/>
                <w:highlight w:val="none"/>
              </w:rPr>
              <w:t>実施件数</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vertAlign w:val="superscript"/>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21</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44</w:t>
            </w:r>
            <w:r>
              <w:rPr>
                <w:rFonts w:hint="eastAsia" w:ascii="ＭＳ 明朝" w:hAnsi="ＭＳ 明朝" w:eastAsia="ＭＳ 明朝"/>
                <w:color w:val="auto"/>
                <w:sz w:val="20"/>
                <w:highlight w:val="none"/>
                <w:u w:val="none" w:color="auto"/>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10</w:t>
            </w:r>
            <w:r>
              <w:rPr>
                <w:rFonts w:hint="eastAsia" w:ascii="ＭＳ 明朝" w:hAnsi="ＭＳ 明朝" w:eastAsia="ＭＳ 明朝"/>
                <w:color w:val="auto"/>
                <w:sz w:val="20"/>
                <w:highlight w:val="none"/>
                <w:u w:val="none" w:color="auto"/>
                <w:vertAlign w:val="baseline"/>
              </w:rPr>
              <w:t>）</w:t>
            </w:r>
          </w:p>
        </w:tc>
        <w:tc>
          <w:tcPr>
            <w:tcW w:w="1256" w:type="dxa"/>
            <w:tcBorders>
              <w:top w:val="none" w:color="auto" w:sz="0" w:space="0"/>
              <w:left w:val="none" w:color="auto" w:sz="0" w:space="0"/>
              <w:bottom w:val="single" w:color="000000" w:themeColor="text1" w:sz="4" w:space="0"/>
              <w:right w:val="none" w:color="auto" w:sz="0" w:space="0"/>
              <w:tl2br w:val="none" w:color="auto" w:sz="0" w:space="0"/>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vertAlign w:val="superscript"/>
              </w:rPr>
              <w:t>※</w:t>
            </w:r>
          </w:p>
          <w:p>
            <w:pPr>
              <w:pStyle w:val="0"/>
              <w:tabs>
                <w:tab w:val="left" w:leader="none" w:pos="567"/>
              </w:tabs>
              <w:jc w:val="center"/>
              <w:rPr>
                <w:rFonts w:hint="eastAsia" w:ascii="ＭＳ 明朝" w:hAnsi="ＭＳ 明朝" w:eastAsia="ＭＳ 明朝"/>
                <w:color w:val="auto"/>
                <w:sz w:val="20"/>
                <w:highlight w:val="none"/>
                <w:u w:val="none" w:color="auto"/>
                <w:vertAlign w:val="superscript"/>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261" w:type="dxa"/>
            <w:tcBorders>
              <w:top w:val="none" w:color="auto" w:sz="0" w:space="0"/>
              <w:left w:val="none" w:color="auto" w:sz="0" w:space="0"/>
              <w:bottom w:val="single" w:color="000000" w:themeColor="text1" w:sz="4"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r>
        <w:trPr>
          <w:trHeight w:val="320" w:hRule="atLeast"/>
        </w:trPr>
        <w:tc>
          <w:tcPr>
            <w:tcW w:w="1225"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10</w:t>
            </w:r>
            <w:r>
              <w:rPr>
                <w:rFonts w:hint="eastAsia" w:ascii="ＭＳ 明朝" w:hAnsi="ＭＳ 明朝" w:eastAsia="ＭＳ 明朝"/>
                <w:color w:val="auto"/>
                <w:sz w:val="20"/>
                <w:highlight w:val="none"/>
              </w:rPr>
              <w:t>万人対</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4.1</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8.1</w:t>
            </w:r>
            <w:r>
              <w:rPr>
                <w:rFonts w:hint="eastAsia" w:ascii="ＭＳ 明朝" w:hAnsi="ＭＳ 明朝" w:eastAsia="ＭＳ 明朝"/>
                <w:color w:val="auto"/>
                <w:sz w:val="20"/>
                <w:highlight w:val="none"/>
                <w:u w:val="none" w:color="auto"/>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tc>
        <w:tc>
          <w:tcPr>
            <w:tcW w:w="1256" w:type="dxa"/>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10.9</w:t>
            </w:r>
            <w:r>
              <w:rPr>
                <w:rFonts w:hint="eastAsia" w:ascii="ＭＳ 明朝" w:hAnsi="ＭＳ 明朝" w:eastAsia="ＭＳ 明朝"/>
                <w:color w:val="auto"/>
                <w:sz w:val="20"/>
                <w:highlight w:val="none"/>
                <w:u w:val="none" w:color="auto"/>
              </w:rPr>
              <w:t>）</w:t>
            </w:r>
          </w:p>
        </w:tc>
        <w:tc>
          <w:tcPr>
            <w:tcW w:w="1256" w:type="dxa"/>
            <w:tcBorders>
              <w:top w:val="none" w:color="auto" w:sz="0" w:space="0"/>
              <w:left w:val="none" w:color="auto" w:sz="0" w:space="0"/>
              <w:bottom w:val="none" w:color="auto" w:sz="0" w:space="0"/>
              <w:right w:val="none" w:color="auto" w:sz="0" w:space="0"/>
              <w:tl2br w:val="none" w:color="auto" w:sz="0" w:space="0"/>
              <w:tr2bl w:val="nil"/>
            </w:tcBorders>
            <w:vAlign w:val="center"/>
          </w:tcPr>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w:t>
            </w:r>
          </w:p>
          <w:p>
            <w:pPr>
              <w:pStyle w:val="0"/>
              <w:tabs>
                <w:tab w:val="left" w:leader="none" w:pos="567"/>
              </w:tabs>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r>
              <w:rPr>
                <w:rFonts w:hint="eastAsia" w:ascii="ＭＳ 明朝" w:hAnsi="ＭＳ 明朝" w:eastAsia="ＭＳ 明朝"/>
                <w:color w:val="auto"/>
                <w:sz w:val="20"/>
                <w:highlight w:val="none"/>
                <w:u w:val="none" w:color="auto"/>
                <w:vertAlign w:val="baseline"/>
              </w:rPr>
              <w:t>）</w:t>
            </w:r>
          </w:p>
        </w:tc>
        <w:tc>
          <w:tcPr>
            <w:tcW w:w="1261" w:type="dxa"/>
            <w:tcBorders>
              <w:top w:val="none" w:color="auto" w:sz="0" w:space="0"/>
              <w:left w:val="none" w:color="auto" w:sz="0" w:space="0"/>
              <w:bottom w:val="none" w:color="auto" w:sz="0" w:space="0"/>
              <w:right w:val="none" w:color="auto" w:sz="0" w:space="0"/>
              <w:tl2br w:val="none" w:color="auto" w:sz="0" w:space="0"/>
              <w:tr2bl w:val="single" w:color="000000" w:themeColor="text1" w:sz="4" w:space="0"/>
            </w:tcBorders>
            <w:vAlign w:val="top"/>
          </w:tcPr>
          <w:p>
            <w:pPr>
              <w:pStyle w:val="0"/>
              <w:tabs>
                <w:tab w:val="left" w:leader="none" w:pos="567"/>
              </w:tabs>
              <w:jc w:val="center"/>
              <w:rPr>
                <w:rFonts w:hint="eastAsia" w:ascii="ＭＳ 明朝" w:hAnsi="ＭＳ 明朝" w:eastAsia="ＭＳ 明朝"/>
                <w:color w:val="auto"/>
                <w:sz w:val="20"/>
                <w:highlight w:val="none"/>
              </w:rPr>
            </w:pPr>
          </w:p>
        </w:tc>
      </w:tr>
    </w:tbl>
    <w:p>
      <w:pPr>
        <w:pStyle w:val="0"/>
        <w:tabs>
          <w:tab w:val="left" w:leader="none" w:pos="7704"/>
        </w:tabs>
        <w:spacing w:line="0" w:lineRule="atLeast"/>
        <w:ind w:leftChars="0" w:right="0" w:rightChars="0" w:firstLineChars="0"/>
        <w:jc w:val="right"/>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※一定数よりも少ない場合は表示されないため０ではない　　　　　　</w:t>
      </w:r>
      <w:r>
        <w:rPr>
          <w:rFonts w:hint="eastAsia" w:ascii="ＭＳ 明朝" w:hAnsi="ＭＳ 明朝" w:eastAsia="ＭＳ 明朝"/>
          <w:color w:val="auto"/>
          <w:sz w:val="16"/>
          <w:highlight w:val="none"/>
        </w:rPr>
        <w:t xml:space="preserve"> </w:t>
      </w: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令和３年度</w:t>
      </w:r>
      <w:r>
        <w:rPr>
          <w:rFonts w:hint="eastAsia" w:ascii="ＭＳ 明朝" w:hAnsi="ＭＳ 明朝" w:eastAsia="ＭＳ 明朝"/>
          <w:color w:val="auto"/>
          <w:sz w:val="16"/>
          <w:highlight w:val="none"/>
          <w:u w:val="none" w:color="auto"/>
        </w:rPr>
        <w:t>NDB</w:t>
      </w:r>
      <w:r>
        <w:rPr>
          <w:rFonts w:hint="eastAsia" w:ascii="ＭＳ 明朝" w:hAnsi="ＭＳ 明朝" w:eastAsia="ＭＳ 明朝"/>
          <w:color w:val="auto"/>
          <w:sz w:val="16"/>
          <w:highlight w:val="none"/>
          <w:u w:val="none" w:color="auto"/>
        </w:rPr>
        <w:t>（括弧内は平成</w:t>
      </w:r>
      <w:r>
        <w:rPr>
          <w:rFonts w:hint="eastAsia" w:ascii="ＭＳ 明朝" w:hAnsi="ＭＳ 明朝" w:eastAsia="ＭＳ 明朝"/>
          <w:color w:val="auto"/>
          <w:sz w:val="16"/>
          <w:highlight w:val="none"/>
          <w:u w:val="none" w:color="auto"/>
        </w:rPr>
        <w:t>27</w:t>
      </w:r>
      <w:r>
        <w:rPr>
          <w:rFonts w:hint="eastAsia" w:ascii="ＭＳ 明朝" w:hAnsi="ＭＳ 明朝" w:eastAsia="ＭＳ 明朝"/>
          <w:color w:val="auto"/>
          <w:sz w:val="16"/>
          <w:highlight w:val="none"/>
          <w:u w:val="none" w:color="auto"/>
        </w:rPr>
        <w:t>年度）</w:t>
      </w:r>
    </w:p>
    <w:p>
      <w:pPr>
        <w:pStyle w:val="0"/>
        <w:tabs>
          <w:tab w:val="left" w:leader="none" w:pos="7704"/>
        </w:tabs>
        <w:spacing w:line="0" w:lineRule="atLeast"/>
        <w:ind w:right="334" w:firstLine="4169" w:firstLineChars="2500"/>
        <w:jc w:val="right"/>
        <w:rPr>
          <w:rFonts w:hint="eastAsia" w:ascii="ＭＳ 明朝" w:hAnsi="ＭＳ 明朝" w:eastAsia="ＭＳ 明朝"/>
          <w:color w:val="auto"/>
          <w:sz w:val="16"/>
          <w:highlight w:val="none"/>
        </w:rPr>
      </w:pPr>
    </w:p>
    <w:p>
      <w:pPr>
        <w:pStyle w:val="0"/>
        <w:tabs>
          <w:tab w:val="left" w:leader="none" w:pos="7704"/>
        </w:tabs>
        <w:snapToGrid w:val="1"/>
        <w:spacing w:line="240" w:lineRule="auto"/>
        <w:rPr>
          <w:rFonts w:hint="eastAsia" w:ascii="ＭＳ 明朝" w:hAnsi="ＭＳ 明朝" w:eastAsia="ＭＳ 明朝"/>
          <w:b w:val="1"/>
          <w:color w:val="auto"/>
          <w:highlight w:val="none"/>
          <w:u w:val="none" w:color="auto"/>
        </w:rPr>
      </w:pPr>
    </w:p>
    <w:p>
      <w:pPr>
        <w:pStyle w:val="0"/>
        <w:tabs>
          <w:tab w:val="left" w:leader="none" w:pos="7704"/>
        </w:tabs>
        <w:snapToGrid w:val="0"/>
        <w:spacing w:line="320" w:lineRule="exact"/>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発症後は、リハビリテーションの開始時期が早いほど、ＡＤＬの改善度が良好で、在宅復帰率も高いため、脳卒中の急性期診療時に適切なリハビリテーションを開始し身体麻痺や嚥下障害等の回復を図る必要があります。</w:t>
      </w:r>
    </w:p>
    <w:p>
      <w:pPr>
        <w:pStyle w:val="0"/>
        <w:tabs>
          <w:tab w:val="left" w:leader="none" w:pos="7704"/>
        </w:tabs>
        <w:snapToGrid w:val="0"/>
        <w:spacing w:line="320" w:lineRule="exact"/>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また、多職種連携によって脳卒中急性期の重症化や合併症を予防するとともに、適切なタイミングで患者の状態に合った場へ転院・退院できるよう努めています。</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急性期病院からの退院後の行き先については、令和４年高知県脳卒中患者調査によると、在宅施設を含めた自宅復帰の割合が</w:t>
      </w:r>
      <w:r>
        <w:rPr>
          <w:rFonts w:hint="eastAsia" w:ascii="ＭＳ 明朝" w:hAnsi="ＭＳ 明朝" w:eastAsia="ＭＳ 明朝"/>
          <w:color w:val="auto"/>
          <w:sz w:val="22"/>
          <w:highlight w:val="none"/>
          <w:u w:val="none" w:color="auto"/>
        </w:rPr>
        <w:t>42.3</w:t>
      </w:r>
      <w:r>
        <w:rPr>
          <w:rFonts w:hint="eastAsia" w:ascii="ＭＳ 明朝" w:hAnsi="ＭＳ 明朝" w:eastAsia="ＭＳ 明朝"/>
          <w:color w:val="auto"/>
          <w:sz w:val="22"/>
          <w:highlight w:val="none"/>
          <w:u w:val="none" w:color="auto"/>
        </w:rPr>
        <w:t>％、回復期リハビリテーション病棟が</w:t>
      </w:r>
      <w:r>
        <w:rPr>
          <w:rFonts w:hint="eastAsia" w:ascii="ＭＳ 明朝" w:hAnsi="ＭＳ 明朝" w:eastAsia="ＭＳ 明朝"/>
          <w:color w:val="auto"/>
          <w:sz w:val="22"/>
          <w:highlight w:val="none"/>
          <w:u w:val="none" w:color="auto"/>
        </w:rPr>
        <w:t>34.6</w:t>
      </w:r>
      <w:r>
        <w:rPr>
          <w:rFonts w:hint="eastAsia" w:ascii="ＭＳ 明朝" w:hAnsi="ＭＳ 明朝" w:eastAsia="ＭＳ 明朝"/>
          <w:color w:val="auto"/>
          <w:sz w:val="22"/>
          <w:highlight w:val="none"/>
          <w:u w:val="none" w:color="auto"/>
        </w:rPr>
        <w:t>％、</w:t>
      </w:r>
      <w:r>
        <w:rPr>
          <w:rFonts w:hint="eastAsia" w:ascii="ＭＳ 明朝" w:hAnsi="ＭＳ 明朝" w:eastAsia="ＭＳ 明朝"/>
          <w:color w:val="auto"/>
          <w:sz w:val="22"/>
          <w:highlight w:val="none"/>
          <w:u w:val="none" w:color="auto"/>
        </w:rPr>
        <w:t>5.8</w:t>
      </w:r>
      <w:r>
        <w:rPr>
          <w:rFonts w:hint="eastAsia" w:ascii="ＭＳ 明朝" w:hAnsi="ＭＳ 明朝" w:eastAsia="ＭＳ 明朝"/>
          <w:color w:val="auto"/>
          <w:sz w:val="22"/>
          <w:highlight w:val="none"/>
          <w:u w:val="none" w:color="auto"/>
        </w:rPr>
        <w:t>％が死亡となっています（図表</w:t>
      </w:r>
      <w:r>
        <w:rPr>
          <w:rFonts w:hint="eastAsia" w:ascii="ＭＳ 明朝" w:hAnsi="ＭＳ 明朝" w:eastAsia="ＭＳ 明朝"/>
          <w:color w:val="auto"/>
          <w:sz w:val="22"/>
          <w:highlight w:val="none"/>
          <w:u w:val="none" w:color="auto"/>
        </w:rPr>
        <w:t>6-2-29</w:t>
      </w:r>
      <w:r>
        <w:rPr>
          <w:rFonts w:hint="eastAsia" w:ascii="ＭＳ 明朝" w:hAnsi="ＭＳ 明朝" w:eastAsia="ＭＳ 明朝"/>
          <w:color w:val="auto"/>
          <w:sz w:val="22"/>
          <w:highlight w:val="none"/>
          <w:u w:val="none" w:color="auto"/>
        </w:rPr>
        <w:t>）。</w:t>
      </w:r>
    </w:p>
    <w:p>
      <w:pPr>
        <w:pStyle w:val="0"/>
        <w:tabs>
          <w:tab w:val="left" w:leader="none" w:pos="7704"/>
        </w:tabs>
        <w:spacing w:line="240" w:lineRule="auto"/>
        <w:rPr>
          <w:rFonts w:hint="eastAsia" w:ascii="ＭＳ 明朝" w:hAnsi="ＭＳ 明朝" w:eastAsia="ＭＳ 明朝"/>
          <w:b w:val="1"/>
          <w:color w:val="auto"/>
          <w:highlight w:val="none"/>
        </w:rPr>
      </w:pPr>
      <w:r>
        <w:rPr>
          <w:rFonts w:hint="eastAsia"/>
        </w:rPr>
        <mc:AlternateContent>
          <mc:Choice Requires="wpg">
            <w:drawing>
              <wp:anchor simplePos="0" relativeHeight="101" behindDoc="0" locked="0" layoutInCell="1" hidden="0" allowOverlap="1">
                <wp:simplePos x="0" y="0"/>
                <wp:positionH relativeFrom="column">
                  <wp:posOffset>40005</wp:posOffset>
                </wp:positionH>
                <wp:positionV relativeFrom="paragraph">
                  <wp:posOffset>38735</wp:posOffset>
                </wp:positionV>
                <wp:extent cx="5730240" cy="2047875"/>
                <wp:effectExtent l="0" t="0" r="635" b="0"/>
                <wp:wrapNone/>
                <wp:docPr id="1136" name="オブジェクト 0"/>
                <a:graphic xmlns:a="http://schemas.openxmlformats.org/drawingml/2006/main">
                  <a:graphicData uri="http://schemas.microsoft.com/office/word/2010/wordprocessingGroup">
                    <wpg:wgp>
                      <wpg:cNvGrpSpPr/>
                      <wpg:grpSpPr>
                        <a:xfrm>
                          <a:off x="0" y="0"/>
                          <a:ext cx="5730240" cy="2047875"/>
                          <a:chOff x="1481" y="7002"/>
                          <a:chExt cx="9024" cy="3225"/>
                        </a:xfrm>
                      </wpg:grpSpPr>
                      <wps:wsp>
                        <wps:cNvPr id="1137" name="テキスト ボックス 2"/>
                        <wps:cNvSpPr txBox="1">
                          <a:spLocks noChangeArrowheads="1"/>
                        </wps:cNvSpPr>
                        <wps:spPr>
                          <a:xfrm>
                            <a:off x="1481" y="7002"/>
                            <a:ext cx="9024" cy="525"/>
                          </a:xfrm>
                          <a:prstGeom prst="rect">
                            <a:avLst/>
                          </a:prstGeom>
                          <a:noFill/>
                          <a:ln w="9525">
                            <a:noFill/>
                            <a:miter lim="800000"/>
                            <a:headEnd/>
                            <a:tailEnd/>
                          </a:ln>
                        </wps:spPr>
                        <wps:txbx>
                          <w:txbxContent>
                            <w:p>
                              <w:pPr>
                                <w:pStyle w:val="0"/>
                                <w:spacing w:line="160" w:lineRule="atLeast"/>
                                <w:jc w:val="center"/>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（図表</w:t>
                              </w:r>
                              <w:r>
                                <w:rPr>
                                  <w:rFonts w:hint="eastAsia" w:ascii="ＭＳ ゴシック" w:hAnsi="ＭＳ ゴシック" w:eastAsia="ＭＳ ゴシック"/>
                                  <w:color w:val="auto"/>
                                  <w:sz w:val="22"/>
                                </w:rPr>
                                <w:t>6-2-29</w:t>
                              </w:r>
                              <w:r>
                                <w:rPr>
                                  <w:rFonts w:hint="eastAsia" w:ascii="ＭＳ ゴシック" w:hAnsi="ＭＳ ゴシック" w:eastAsia="ＭＳ ゴシック"/>
                                  <w:color w:val="auto"/>
                                  <w:sz w:val="22"/>
                                </w:rPr>
                                <w:t>）急性期脳卒中患者の退院後の行き先</w:t>
                              </w:r>
                            </w:p>
                          </w:txbxContent>
                        </wps:txbx>
                        <wps:bodyPr vertOverflow="overflow" horzOverflow="overflow" wrap="square"/>
                      </wps:wsp>
                      <wpg:graphicFrame>
                        <wpg:cNvPr id="1138" name="オブジェクト 0"/>
                        <wpg:cNvFrPr/>
                        <wpg:xfrm>
                          <a:off x="2490" y="7439"/>
                          <a:ext cx="7215" cy="2788"/>
                        </wpg:xfrm>
                        <a:graphic>
                          <a:graphicData uri="http://schemas.openxmlformats.org/drawingml/2006/chart">
                            <c:chart xmlns:c="http://schemas.openxmlformats.org/drawingml/2006/chart" r:id="rId53"/>
                          </a:graphicData>
                        </a:graphic>
                      </wpg:graphicFrame>
                    </wpg:wgp>
                  </a:graphicData>
                </a:graphic>
              </wp:anchor>
            </w:drawing>
          </mc:Choice>
          <mc:Fallback>
            <w:pict>
              <v:group id="オブジェクト 0" style="margin-top:3.05pt;mso-position-vertical-relative:text;mso-position-horizontal-relative:text;position:absolute;height:161.25pt;width:451.2pt;margin-left:3.15pt;z-index:101;" coordsize="9024,3225" coordorigin="1481,7002" o:spid="_x0000_s1136" o:allowincell="t" o:allowoverlap="t">
                <v:shapetype id="_x0000_t202" coordsize="21600,21600" o:spt="202" path="m,l,21600r21600,l21600,xe">
                  <v:stroke joinstyle="miter"/>
                  <v:path gradientshapeok="t" o:connecttype="rect"/>
                </v:shapetype>
                <v:shape id="テキスト ボックス 2" style="height:525;width:9024;top:7002;left:1481;position:absolute;" o:spid="_x0000_s1137" filled="f" stroked="f" strokeweight="0.75pt" o:spt="202" type="#_x0000_t202">
                  <v:fill/>
                  <v:stroke miterlimit="8"/>
                  <v:textbox style="layout-flow:horizontal;">
                    <w:txbxContent>
                      <w:p>
                        <w:pPr>
                          <w:pStyle w:val="0"/>
                          <w:spacing w:line="160" w:lineRule="atLeast"/>
                          <w:jc w:val="center"/>
                          <w:rPr>
                            <w:rFonts w:hint="eastAsia" w:ascii="ＭＳ ゴシック" w:hAnsi="ＭＳ ゴシック" w:eastAsia="ＭＳ ゴシック"/>
                            <w:color w:val="auto"/>
                            <w:sz w:val="22"/>
                          </w:rPr>
                        </w:pPr>
                        <w:r>
                          <w:rPr>
                            <w:rFonts w:hint="eastAsia" w:ascii="ＭＳ ゴシック" w:hAnsi="ＭＳ ゴシック" w:eastAsia="ＭＳ ゴシック"/>
                            <w:color w:val="auto"/>
                            <w:sz w:val="22"/>
                          </w:rPr>
                          <w:t>（図表</w:t>
                        </w:r>
                        <w:r>
                          <w:rPr>
                            <w:rFonts w:hint="eastAsia" w:ascii="ＭＳ ゴシック" w:hAnsi="ＭＳ ゴシック" w:eastAsia="ＭＳ ゴシック"/>
                            <w:color w:val="auto"/>
                            <w:sz w:val="22"/>
                          </w:rPr>
                          <w:t>6-2-29</w:t>
                        </w:r>
                        <w:r>
                          <w:rPr>
                            <w:rFonts w:hint="eastAsia" w:ascii="ＭＳ ゴシック" w:hAnsi="ＭＳ ゴシック" w:eastAsia="ＭＳ ゴシック"/>
                            <w:color w:val="auto"/>
                            <w:sz w:val="22"/>
                          </w:rPr>
                          <w:t>）急性期脳卒中患者の退院後の行き先</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2788;width:7215;top:7439;left:2490;position:absolute;" o:spid="_x0000_s1138" filled="f" stroked="f" o:spt="75" type="#_x0000_t75">
                  <v:fill/>
                  <v:imagedata o:title="" r:id="rId54"/>
                  <w10:wrap type="none" anchorx="text" anchory="text"/>
                </v:shape>
                <w10:wrap type="none" anchorx="text" anchory="text"/>
              </v:group>
            </w:pict>
          </mc:Fallback>
        </mc:AlternateContent>
      </w: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rPr>
          <w:rFonts w:hint="eastAsia" w:ascii="ＭＳ 明朝" w:hAnsi="ＭＳ 明朝" w:eastAsia="ＭＳ 明朝"/>
          <w:b w:val="1"/>
          <w:color w:val="auto"/>
          <w:highlight w:val="none"/>
        </w:rPr>
      </w:pPr>
    </w:p>
    <w:p>
      <w:pPr>
        <w:pStyle w:val="0"/>
        <w:tabs>
          <w:tab w:val="left" w:leader="none" w:pos="7704"/>
        </w:tabs>
        <w:spacing w:line="240" w:lineRule="auto"/>
        <w:ind w:firstLine="5169" w:firstLineChars="3100"/>
        <w:rPr>
          <w:rFonts w:hint="eastAsia" w:ascii="ＭＳ 明朝" w:hAnsi="ＭＳ 明朝" w:eastAsia="ＭＳ 明朝"/>
          <w:color w:val="auto"/>
          <w:sz w:val="16"/>
          <w:highlight w:val="none"/>
        </w:rPr>
      </w:pPr>
    </w:p>
    <w:p>
      <w:pPr>
        <w:pStyle w:val="0"/>
        <w:tabs>
          <w:tab w:val="left" w:leader="none" w:pos="7704"/>
        </w:tabs>
        <w:spacing w:line="240" w:lineRule="auto"/>
        <w:ind w:firstLine="5169" w:firstLineChars="3100"/>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出典：令和４年高知県脳卒中患者調査</w:t>
      </w:r>
    </w:p>
    <w:p>
      <w:pPr>
        <w:pStyle w:val="0"/>
        <w:tabs>
          <w:tab w:val="left" w:leader="none" w:pos="7704"/>
        </w:tabs>
        <w:spacing w:line="240" w:lineRule="auto"/>
        <w:ind w:left="227" w:leftChars="100" w:firstLine="197" w:firstLineChars="87"/>
        <w:rPr>
          <w:rFonts w:hint="eastAsia" w:ascii="ＭＳ 明朝" w:hAnsi="ＭＳ 明朝" w:eastAsia="ＭＳ 明朝"/>
          <w:color w:val="auto"/>
          <w:sz w:val="24"/>
          <w:highlight w:val="none"/>
          <w:u w:val="none" w:color="auto"/>
        </w:rPr>
      </w:pPr>
      <w:r>
        <w:rPr>
          <w:rFonts w:hint="eastAsia" w:ascii="ＭＳ 明朝" w:hAnsi="ＭＳ 明朝" w:eastAsia="ＭＳ 明朝"/>
          <w:b w:val="0"/>
          <w:color w:val="auto"/>
          <w:sz w:val="22"/>
          <w:highlight w:val="none"/>
          <w:u w:val="none" w:color="auto"/>
        </w:rPr>
        <w:t>急性期から回復期及び維持期の医療への移行においては、県内２つの脳卒中地域連携パスの会（「高知中央・高幡・安芸医療圏脳卒中地域連携の会」及び「幡多地域連携パス検討委員会」）を中心に、脳卒中地域連携パスを運用しています。令和３年１月からは県下統一パスの運用や高知あんしんネットを活用したＩＣＴによる運用を開始する等、医療連携のための基盤整備が進んできています。</w:t>
      </w:r>
    </w:p>
    <w:p>
      <w:pPr>
        <w:pStyle w:val="0"/>
        <w:tabs>
          <w:tab w:val="left" w:leader="none" w:pos="7704"/>
        </w:tabs>
        <w:spacing w:line="240" w:lineRule="auto"/>
        <w:ind w:left="227" w:leftChars="100" w:firstLine="197" w:firstLineChars="87"/>
        <w:rPr>
          <w:rFonts w:hint="eastAsia" w:ascii="ＭＳ 明朝" w:hAnsi="ＭＳ 明朝" w:eastAsia="ＭＳ 明朝"/>
          <w:color w:val="auto"/>
          <w:sz w:val="24"/>
          <w:highlight w:val="none"/>
        </w:rPr>
      </w:pPr>
      <w:r>
        <w:rPr>
          <w:rFonts w:hint="eastAsia" w:ascii="ＭＳ 明朝" w:hAnsi="ＭＳ 明朝" w:eastAsia="ＭＳ 明朝"/>
          <w:b w:val="0"/>
          <w:color w:val="auto"/>
          <w:sz w:val="22"/>
          <w:highlight w:val="none"/>
          <w:u w:val="none" w:color="auto"/>
        </w:rPr>
        <w:t>また、高知県脳卒中患者実態調査によると、脳卒中患者の地域連携パスの利用割合は年々増加傾向にあります</w:t>
      </w:r>
      <w:r>
        <w:rPr>
          <w:rFonts w:hint="eastAsia" w:ascii="ＭＳ 明朝" w:hAnsi="ＭＳ 明朝" w:eastAsia="ＭＳ 明朝"/>
          <w:b w:val="0"/>
          <w:color w:val="auto"/>
          <w:sz w:val="22"/>
          <w:highlight w:val="none"/>
        </w:rPr>
        <w:t>（図表</w:t>
      </w:r>
      <w:r>
        <w:rPr>
          <w:rFonts w:hint="eastAsia" w:ascii="ＭＳ 明朝" w:hAnsi="ＭＳ 明朝" w:eastAsia="ＭＳ 明朝"/>
          <w:b w:val="0"/>
          <w:color w:val="auto"/>
          <w:sz w:val="22"/>
          <w:highlight w:val="none"/>
        </w:rPr>
        <w:t>6-2-30</w:t>
      </w:r>
      <w:r>
        <w:rPr>
          <w:rFonts w:hint="eastAsia" w:ascii="ＭＳ 明朝" w:hAnsi="ＭＳ 明朝" w:eastAsia="ＭＳ 明朝"/>
          <w:b w:val="0"/>
          <w:color w:val="auto"/>
          <w:sz w:val="22"/>
          <w:highlight w:val="none"/>
        </w:rPr>
        <w:t>）。</w:t>
      </w:r>
    </w:p>
    <w:p>
      <w:pPr>
        <w:pStyle w:val="0"/>
        <w:tabs>
          <w:tab w:val="left" w:leader="none" w:pos="7704"/>
        </w:tabs>
        <w:spacing w:line="240" w:lineRule="auto"/>
        <w:ind w:firstLine="4669" w:firstLineChars="2500"/>
        <w:rPr>
          <w:rFonts w:hint="eastAsia" w:ascii="ＭＳ 明朝" w:hAnsi="ＭＳ 明朝" w:eastAsia="ＭＳ 明朝"/>
          <w:color w:val="auto"/>
          <w:sz w:val="18"/>
          <w:highlight w:val="none"/>
        </w:rPr>
      </w:pPr>
    </w:p>
    <w:p>
      <w:pPr>
        <w:pStyle w:val="0"/>
        <w:tabs>
          <w:tab w:val="left" w:leader="none" w:pos="7704"/>
        </w:tabs>
        <w:snapToGrid w:val="0"/>
        <w:spacing w:line="240" w:lineRule="auto"/>
        <w:ind w:firstLine="433" w:firstLineChars="200"/>
        <w:jc w:val="center"/>
        <w:rPr>
          <w:rFonts w:hint="eastAsia" w:ascii="ＭＳ 明朝" w:hAnsi="ＭＳ 明朝" w:eastAsia="ＭＳ 明朝"/>
          <w:color w:val="FF0000"/>
          <w:sz w:val="20"/>
          <w:highlight w:val="none"/>
        </w:rPr>
      </w:pP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6-2-30</w:t>
      </w:r>
      <w:r>
        <w:rPr>
          <w:rFonts w:hint="eastAsia" w:ascii="ＭＳ ゴシック" w:hAnsi="ＭＳ ゴシック" w:eastAsia="ＭＳ ゴシック"/>
          <w:color w:val="auto"/>
          <w:sz w:val="22"/>
          <w:highlight w:val="none"/>
          <w:u w:val="none" w:color="auto"/>
        </w:rPr>
        <w:t>）脳卒中患者における地域連携パスの利用割合</w:t>
      </w:r>
    </w:p>
    <w:tbl>
      <w:tblPr>
        <w:tblStyle w:val="44"/>
        <w:tblpPr w:leftFromText="0" w:rightFromText="0" w:topFromText="0" w:bottomFromText="0" w:vertAnchor="text" w:horzAnchor="margin" w:tblpX="1827" w:tblpY="4"/>
        <w:tblOverlap w:val="never"/>
        <w:tblW w:w="5617" w:type="dxa"/>
        <w:tblLayout w:type="fixed"/>
        <w:tblLook w:firstRow="1" w:lastRow="0" w:firstColumn="1" w:lastColumn="0" w:noHBand="0" w:noVBand="1" w:val="04A0"/>
      </w:tblPr>
      <w:tblGrid>
        <w:gridCol w:w="1579"/>
        <w:gridCol w:w="2034"/>
        <w:gridCol w:w="2004"/>
      </w:tblGrid>
      <w:tr>
        <w:trPr>
          <w:trHeight w:val="337" w:hRule="atLeast"/>
        </w:trPr>
        <w:tc>
          <w:tcPr>
            <w:tcW w:w="1579" w:type="dxa"/>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p>
        </w:tc>
        <w:tc>
          <w:tcPr>
            <w:tcW w:w="2034"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利用数</w:t>
            </w:r>
          </w:p>
        </w:tc>
        <w:tc>
          <w:tcPr>
            <w:tcW w:w="200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DAEEF3"/>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利用割合</w:t>
            </w:r>
          </w:p>
        </w:tc>
      </w:tr>
      <w:tr>
        <w:trPr>
          <w:trHeight w:val="397" w:hRule="atLeast"/>
        </w:trPr>
        <w:tc>
          <w:tcPr>
            <w:tcW w:w="1579" w:type="dxa"/>
            <w:shd w:val="clear" w:color="auto" w:fill="DAEEF3"/>
            <w:vAlign w:val="center"/>
          </w:tcPr>
          <w:p>
            <w:pPr>
              <w:pStyle w:val="0"/>
              <w:tabs>
                <w:tab w:val="left" w:leader="none" w:pos="567"/>
              </w:tabs>
              <w:snapToGrid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R2</w:t>
            </w:r>
          </w:p>
        </w:tc>
        <w:tc>
          <w:tcPr>
            <w:tcW w:w="2034" w:type="dxa"/>
            <w:vAlign w:val="center"/>
          </w:tcPr>
          <w:p>
            <w:pPr>
              <w:pStyle w:val="0"/>
              <w:tabs>
                <w:tab w:val="left" w:leader="none" w:pos="567"/>
              </w:tabs>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1,570</w:t>
            </w:r>
            <w:r>
              <w:rPr>
                <w:rFonts w:hint="eastAsia" w:ascii="ＭＳ 明朝" w:hAnsi="ＭＳ 明朝" w:eastAsia="ＭＳ 明朝"/>
                <w:color w:val="auto"/>
                <w:sz w:val="20"/>
                <w:highlight w:val="none"/>
              </w:rPr>
              <w:t>人</w:t>
            </w:r>
          </w:p>
        </w:tc>
        <w:tc>
          <w:tcPr>
            <w:tcW w:w="20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48.5</w:t>
            </w:r>
            <w:r>
              <w:rPr>
                <w:rFonts w:hint="eastAsia" w:ascii="ＭＳ 明朝" w:hAnsi="ＭＳ 明朝" w:eastAsia="ＭＳ 明朝"/>
                <w:color w:val="auto"/>
                <w:sz w:val="20"/>
                <w:highlight w:val="none"/>
              </w:rPr>
              <w:t>％</w:t>
            </w:r>
          </w:p>
        </w:tc>
      </w:tr>
      <w:tr>
        <w:trPr>
          <w:trHeight w:val="397" w:hRule="atLeast"/>
        </w:trPr>
        <w:tc>
          <w:tcPr>
            <w:tcW w:w="1579"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R3</w:t>
            </w:r>
          </w:p>
        </w:tc>
        <w:tc>
          <w:tcPr>
            <w:tcW w:w="2034" w:type="dxa"/>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1,662</w:t>
            </w:r>
            <w:r>
              <w:rPr>
                <w:rFonts w:hint="eastAsia" w:ascii="ＭＳ 明朝" w:hAnsi="ＭＳ 明朝" w:eastAsia="ＭＳ 明朝"/>
                <w:color w:val="auto"/>
                <w:sz w:val="20"/>
                <w:highlight w:val="none"/>
              </w:rPr>
              <w:t>人</w:t>
            </w:r>
          </w:p>
        </w:tc>
        <w:tc>
          <w:tcPr>
            <w:tcW w:w="20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51.5</w:t>
            </w:r>
            <w:r>
              <w:rPr>
                <w:rFonts w:hint="eastAsia" w:ascii="ＭＳ 明朝" w:hAnsi="ＭＳ 明朝" w:eastAsia="ＭＳ 明朝"/>
                <w:color w:val="auto"/>
                <w:sz w:val="20"/>
                <w:highlight w:val="none"/>
              </w:rPr>
              <w:t>％</w:t>
            </w:r>
          </w:p>
        </w:tc>
      </w:tr>
      <w:tr>
        <w:trPr>
          <w:trHeight w:val="397" w:hRule="atLeast"/>
        </w:trPr>
        <w:tc>
          <w:tcPr>
            <w:tcW w:w="1579"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R4</w:t>
            </w:r>
          </w:p>
        </w:tc>
        <w:tc>
          <w:tcPr>
            <w:tcW w:w="2034" w:type="dxa"/>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1,596</w:t>
            </w:r>
            <w:r>
              <w:rPr>
                <w:rFonts w:hint="eastAsia" w:ascii="ＭＳ 明朝" w:hAnsi="ＭＳ 明朝" w:eastAsia="ＭＳ 明朝"/>
                <w:color w:val="auto"/>
                <w:sz w:val="20"/>
                <w:highlight w:val="none"/>
              </w:rPr>
              <w:t>人</w:t>
            </w:r>
          </w:p>
        </w:tc>
        <w:tc>
          <w:tcPr>
            <w:tcW w:w="2004"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52.4</w:t>
            </w:r>
            <w:r>
              <w:rPr>
                <w:rFonts w:hint="eastAsia" w:ascii="ＭＳ 明朝" w:hAnsi="ＭＳ 明朝" w:eastAsia="ＭＳ 明朝"/>
                <w:color w:val="auto"/>
                <w:sz w:val="20"/>
                <w:highlight w:val="none"/>
              </w:rPr>
              <w:t>％</w:t>
            </w:r>
          </w:p>
        </w:tc>
      </w:tr>
    </w:tbl>
    <w:p>
      <w:pPr>
        <w:pStyle w:val="0"/>
        <w:tabs>
          <w:tab w:val="left" w:leader="none" w:pos="7704"/>
        </w:tabs>
        <w:spacing w:line="240" w:lineRule="auto"/>
        <w:jc w:val="right"/>
        <w:rPr>
          <w:rFonts w:hint="eastAsia" w:ascii="ＭＳ 明朝" w:hAnsi="ＭＳ 明朝" w:eastAsia="ＭＳ 明朝"/>
          <w:b w:val="1"/>
          <w:color w:val="auto"/>
          <w:highlight w:val="none"/>
          <w:u w:val="none" w:color="auto"/>
        </w:rPr>
      </w:pPr>
    </w:p>
    <w:p>
      <w:pPr>
        <w:pStyle w:val="0"/>
        <w:tabs>
          <w:tab w:val="left" w:leader="none" w:pos="7704"/>
        </w:tabs>
        <w:spacing w:line="240" w:lineRule="auto"/>
        <w:rPr>
          <w:rFonts w:hint="eastAsia" w:ascii="ＭＳ 明朝" w:hAnsi="ＭＳ 明朝" w:eastAsia="ＭＳ 明朝"/>
          <w:b w:val="1"/>
          <w:color w:val="auto"/>
          <w:highlight w:val="none"/>
          <w:u w:val="none" w:color="auto"/>
        </w:rPr>
      </w:pPr>
    </w:p>
    <w:p>
      <w:pPr>
        <w:pStyle w:val="0"/>
        <w:tabs>
          <w:tab w:val="left" w:leader="none" w:pos="7704"/>
        </w:tabs>
        <w:spacing w:line="240" w:lineRule="auto"/>
        <w:rPr>
          <w:rFonts w:hint="eastAsia" w:ascii="ＭＳ 明朝" w:hAnsi="ＭＳ 明朝" w:eastAsia="ＭＳ 明朝"/>
          <w:b w:val="1"/>
          <w:color w:val="auto"/>
          <w:highlight w:val="none"/>
          <w:u w:val="none" w:color="auto"/>
        </w:rPr>
      </w:pPr>
    </w:p>
    <w:p>
      <w:pPr>
        <w:pStyle w:val="0"/>
        <w:tabs>
          <w:tab w:val="left" w:leader="none" w:pos="7704"/>
        </w:tabs>
        <w:spacing w:line="240" w:lineRule="auto"/>
        <w:rPr>
          <w:rFonts w:hint="eastAsia" w:ascii="ＭＳ 明朝" w:hAnsi="ＭＳ 明朝" w:eastAsia="ＭＳ 明朝"/>
          <w:b w:val="1"/>
          <w:color w:val="auto"/>
          <w:highlight w:val="none"/>
          <w:u w:val="none" w:color="auto"/>
        </w:rPr>
      </w:pPr>
    </w:p>
    <w:p>
      <w:pPr>
        <w:pStyle w:val="0"/>
        <w:tabs>
          <w:tab w:val="left" w:leader="none" w:pos="7704"/>
        </w:tabs>
        <w:spacing w:line="240" w:lineRule="auto"/>
        <w:rPr>
          <w:rFonts w:hint="eastAsia" w:ascii="ＭＳ 明朝" w:hAnsi="ＭＳ 明朝" w:eastAsia="ＭＳ 明朝"/>
          <w:b w:val="1"/>
          <w:color w:val="auto"/>
          <w:highlight w:val="none"/>
          <w:u w:val="none" w:color="auto"/>
        </w:rPr>
      </w:pPr>
      <w:r>
        <w:rPr>
          <w:rFonts w:hint="eastAsia"/>
          <w:highlight w:val="none"/>
        </w:rPr>
        <mc:AlternateContent>
          <mc:Choice Requires="wps">
            <w:drawing>
              <wp:anchor simplePos="0" relativeHeight="6" behindDoc="0" locked="0" layoutInCell="1" hidden="0" allowOverlap="1">
                <wp:simplePos x="0" y="0"/>
                <wp:positionH relativeFrom="column">
                  <wp:posOffset>3882390</wp:posOffset>
                </wp:positionH>
                <wp:positionV relativeFrom="paragraph">
                  <wp:posOffset>144145</wp:posOffset>
                </wp:positionV>
                <wp:extent cx="1828800" cy="266065"/>
                <wp:effectExtent l="0" t="0" r="635" b="635"/>
                <wp:wrapNone/>
                <wp:docPr id="1139" name="オブジェクト 0"/>
                <a:graphic xmlns:a="http://schemas.openxmlformats.org/drawingml/2006/main">
                  <a:graphicData uri="http://schemas.microsoft.com/office/word/2010/wordprocessingShape">
                    <wps:wsp>
                      <wps:cNvPr id="1139" name="オブジェクト 0"/>
                      <wps:cNvSpPr txBox="1">
                        <a:spLocks noChangeArrowheads="1"/>
                      </wps:cNvSpPr>
                      <wps:spPr>
                        <a:xfrm>
                          <a:off x="0" y="0"/>
                          <a:ext cx="1828800" cy="266065"/>
                        </a:xfrm>
                        <a:prstGeom prst="rect">
                          <a:avLst/>
                        </a:prstGeom>
                        <a:noFill/>
                        <a:ln>
                          <a:miter/>
                        </a:ln>
                      </wps:spPr>
                      <wps:txbx>
                        <w:txbxContent>
                          <w:p>
                            <w:pPr>
                              <w:pStyle w:val="0"/>
                              <w:rPr>
                                <w:rFonts w:hint="default"/>
                                <w:color w:val="auto"/>
                                <w:sz w:val="16"/>
                              </w:rPr>
                            </w:pPr>
                            <w:r>
                              <w:rPr>
                                <w:rFonts w:hint="eastAsia"/>
                                <w:color w:val="auto"/>
                                <w:sz w:val="16"/>
                              </w:rPr>
                              <w:t>出典：高知県脳卒中患者実態調査</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1.35pt;mso-position-vertical-relative:text;mso-position-horizontal-relative:text;position:absolute;height:20.95pt;width:144pt;margin-left:305.7pt;z-index:6;" o:spid="_x0000_s1139" o:allowincell="t" o:allowoverlap="t"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出典：高知県脳卒中患者実態調査</w:t>
                      </w:r>
                    </w:p>
                  </w:txbxContent>
                </v:textbox>
                <v:imagedata o:title=""/>
                <w10:wrap type="none" anchorx="text" anchory="text"/>
              </v:shape>
            </w:pict>
          </mc:Fallback>
        </mc:AlternateContent>
      </w:r>
    </w:p>
    <w:p>
      <w:pPr>
        <w:pStyle w:val="0"/>
        <w:rPr>
          <w:rFonts w:hint="eastAsia" w:ascii="ＭＳ 明朝" w:hAnsi="ＭＳ 明朝" w:eastAsia="ＭＳ 明朝"/>
          <w:b w:val="1"/>
          <w:color w:val="002060"/>
          <w:sz w:val="22"/>
          <w:highlight w:val="none"/>
          <w:u w:val="none" w:color="auto"/>
        </w:rPr>
      </w:pPr>
      <w:r>
        <w:rPr>
          <w:rFonts w:hint="eastAsia" w:ascii="ＭＳ 明朝" w:hAnsi="ＭＳ 明朝" w:eastAsia="ＭＳ 明朝"/>
          <w:b w:val="1"/>
          <w:color w:val="0070C0"/>
          <w:sz w:val="24"/>
          <w:highlight w:val="none"/>
        </w:rPr>
        <w:t>５　回復期及び維持期の医療提供体制</w:t>
      </w:r>
    </w:p>
    <w:p>
      <w:pPr>
        <w:pStyle w:val="0"/>
        <w:ind w:left="208" w:leftChars="96" w:firstLine="236" w:firstLineChars="109"/>
        <w:rPr>
          <w:rFonts w:hint="eastAsia" w:ascii="ＭＳ 明朝" w:hAnsi="ＭＳ 明朝" w:eastAsia="ＭＳ 明朝"/>
          <w:b w:val="0"/>
          <w:color w:val="auto"/>
          <w:sz w:val="22"/>
          <w:highlight w:val="none"/>
          <w:u w:val="none" w:color="auto"/>
        </w:rPr>
      </w:pPr>
      <w:r>
        <w:rPr>
          <w:rFonts w:hint="eastAsia" w:ascii="ＭＳ 明朝" w:hAnsi="ＭＳ 明朝" w:eastAsia="ＭＳ 明朝"/>
          <w:b w:val="0"/>
          <w:color w:val="auto"/>
          <w:sz w:val="22"/>
          <w:highlight w:val="none"/>
          <w:u w:val="none" w:color="auto"/>
        </w:rPr>
        <w:t>脳卒中の回復期には、患者の希望や状態に応じた身体機能、生活機能面の向上のため、理学療法、作業療法、言語聴覚療法等を組み合わせたリハビリテーションの実施が必要です。</w:t>
      </w:r>
    </w:p>
    <w:p>
      <w:pPr>
        <w:pStyle w:val="0"/>
        <w:ind w:left="208" w:leftChars="96" w:firstLine="236" w:firstLineChars="109"/>
        <w:rPr>
          <w:rFonts w:hint="eastAsia" w:ascii="ＭＳ 明朝" w:hAnsi="ＭＳ 明朝" w:eastAsia="ＭＳ 明朝"/>
          <w:b w:val="0"/>
          <w:color w:val="auto"/>
          <w:sz w:val="22"/>
          <w:highlight w:val="none"/>
          <w:u w:val="none" w:color="auto"/>
        </w:rPr>
      </w:pPr>
      <w:r>
        <w:rPr>
          <w:rFonts w:hint="eastAsia" w:ascii="ＭＳ 明朝" w:hAnsi="ＭＳ 明朝" w:eastAsia="ＭＳ 明朝"/>
          <w:b w:val="0"/>
          <w:color w:val="auto"/>
          <w:sz w:val="22"/>
          <w:highlight w:val="none"/>
          <w:u w:val="none" w:color="auto"/>
        </w:rPr>
        <w:t>また、歯科医師や歯科衛生士、管理栄養士等による口腔機能や栄養摂取面からのアプローチも必要です。</w:t>
      </w:r>
    </w:p>
    <w:p>
      <w:pPr>
        <w:pStyle w:val="0"/>
        <w:ind w:left="210" w:leftChars="100" w:firstLine="210" w:firstLineChars="100"/>
        <w:rPr>
          <w:rFonts w:hint="eastAsia" w:ascii="ＭＳ 明朝" w:hAnsi="ＭＳ 明朝" w:eastAsia="ＭＳ 明朝"/>
          <w:b w:val="0"/>
          <w:color w:val="auto"/>
          <w:sz w:val="24"/>
          <w:highlight w:val="none"/>
        </w:rPr>
      </w:pPr>
      <w:r>
        <w:rPr>
          <w:rFonts w:hint="eastAsia" w:ascii="ＭＳ 明朝" w:hAnsi="ＭＳ 明朝" w:eastAsia="ＭＳ 明朝"/>
          <w:b w:val="0"/>
          <w:color w:val="auto"/>
          <w:sz w:val="22"/>
          <w:highlight w:val="none"/>
          <w:u w:val="none" w:color="auto"/>
        </w:rPr>
        <w:t>脳血管疾患等リハビリテーション料及び回復期リハビリテーション病棟入院料の届出医療機関は中央医療圏に多くが集中していますが、人口</w:t>
      </w:r>
      <w:r>
        <w:rPr>
          <w:rFonts w:hint="eastAsia" w:ascii="ＭＳ 明朝" w:hAnsi="ＭＳ 明朝" w:eastAsia="ＭＳ 明朝"/>
          <w:b w:val="0"/>
          <w:color w:val="auto"/>
          <w:sz w:val="22"/>
          <w:highlight w:val="none"/>
          <w:u w:val="none" w:color="auto"/>
        </w:rPr>
        <w:t>10</w:t>
      </w:r>
      <w:r>
        <w:rPr>
          <w:rFonts w:hint="eastAsia" w:ascii="ＭＳ 明朝" w:hAnsi="ＭＳ 明朝" w:eastAsia="ＭＳ 明朝"/>
          <w:b w:val="0"/>
          <w:color w:val="auto"/>
          <w:sz w:val="22"/>
          <w:highlight w:val="none"/>
          <w:u w:val="none" w:color="auto"/>
        </w:rPr>
        <w:t>万人対のレセプト算定回数によるとその提供量の地域差は施設数に比して少なくなっています</w:t>
      </w:r>
      <w:r>
        <w:rPr>
          <w:rFonts w:hint="eastAsia" w:ascii="ＭＳ 明朝" w:hAnsi="ＭＳ 明朝" w:eastAsia="ＭＳ 明朝"/>
          <w:b w:val="0"/>
          <w:color w:val="auto"/>
          <w:sz w:val="22"/>
          <w:highlight w:val="none"/>
        </w:rPr>
        <w:t>（図表</w:t>
      </w:r>
      <w:r>
        <w:rPr>
          <w:rFonts w:hint="eastAsia" w:ascii="ＭＳ 明朝" w:hAnsi="ＭＳ 明朝" w:eastAsia="ＭＳ 明朝"/>
          <w:b w:val="0"/>
          <w:color w:val="auto"/>
          <w:sz w:val="22"/>
          <w:highlight w:val="none"/>
        </w:rPr>
        <w:t>6-2-31</w:t>
      </w:r>
      <w:r>
        <w:rPr>
          <w:rFonts w:hint="eastAsia" w:ascii="ＭＳ 明朝" w:hAnsi="ＭＳ 明朝" w:eastAsia="ＭＳ 明朝"/>
          <w:b w:val="0"/>
          <w:color w:val="auto"/>
          <w:sz w:val="22"/>
          <w:highlight w:val="none"/>
        </w:rPr>
        <w:t>、</w:t>
      </w:r>
      <w:r>
        <w:rPr>
          <w:rFonts w:hint="eastAsia" w:ascii="ＭＳ 明朝" w:hAnsi="ＭＳ 明朝" w:eastAsia="ＭＳ 明朝"/>
          <w:b w:val="0"/>
          <w:color w:val="auto"/>
          <w:sz w:val="22"/>
          <w:highlight w:val="none"/>
        </w:rPr>
        <w:t>6-2-32</w:t>
      </w:r>
      <w:r>
        <w:rPr>
          <w:rFonts w:hint="eastAsia" w:ascii="ＭＳ 明朝" w:hAnsi="ＭＳ 明朝" w:eastAsia="ＭＳ 明朝"/>
          <w:b w:val="0"/>
          <w:color w:val="auto"/>
          <w:sz w:val="22"/>
          <w:highlight w:val="none"/>
        </w:rPr>
        <w:t>）。</w:t>
      </w:r>
    </w:p>
    <w:p>
      <w:pPr>
        <w:pStyle w:val="0"/>
        <w:ind w:leftChars="0" w:firstLineChars="0"/>
        <w:rPr>
          <w:rFonts w:hint="eastAsia" w:ascii="ＭＳ 明朝" w:hAnsi="ＭＳ 明朝" w:eastAsia="ＭＳ 明朝"/>
          <w:b w:val="0"/>
          <w:color w:val="auto"/>
          <w:highlight w:val="none"/>
        </w:rPr>
      </w:pPr>
      <w:r>
        <w:rPr>
          <w:rFonts w:hint="eastAsia"/>
        </w:rPr>
        <mc:AlternateContent>
          <mc:Choice Requires="wps">
            <w:drawing>
              <wp:anchor simplePos="0" relativeHeight="7" behindDoc="0" locked="0" layoutInCell="1" hidden="0" allowOverlap="1">
                <wp:simplePos x="0" y="0"/>
                <wp:positionH relativeFrom="page">
                  <wp:posOffset>1434465</wp:posOffset>
                </wp:positionH>
                <wp:positionV relativeFrom="page">
                  <wp:posOffset>2872740</wp:posOffset>
                </wp:positionV>
                <wp:extent cx="4791075" cy="479425"/>
                <wp:effectExtent l="0" t="0" r="635" b="635"/>
                <wp:wrapNone/>
                <wp:docPr id="1140" name="テキスト ボックス 2"/>
                <a:graphic xmlns:a="http://schemas.openxmlformats.org/drawingml/2006/main">
                  <a:graphicData uri="http://schemas.microsoft.com/office/word/2010/wordprocessingShape">
                    <wps:wsp>
                      <wps:cNvPr id="1140" name="テキスト ボックス 2"/>
                      <wps:cNvSpPr txBox="1">
                        <a:spLocks noChangeArrowheads="1"/>
                      </wps:cNvSpPr>
                      <wps:spPr>
                        <a:xfrm>
                          <a:off x="0" y="0"/>
                          <a:ext cx="4791075" cy="479425"/>
                        </a:xfrm>
                        <a:prstGeom prst="rect">
                          <a:avLst/>
                        </a:prstGeom>
                        <a:noFill/>
                        <a:ln w="9525">
                          <a:noFill/>
                          <a:miter lim="800000"/>
                          <a:headEnd/>
                          <a:tailEnd/>
                        </a:ln>
                      </wps:spPr>
                      <wps:txbx>
                        <w:txbxContent>
                          <w:p>
                            <w:pPr>
                              <w:pStyle w:val="0"/>
                              <w:spacing w:line="240" w:lineRule="exact"/>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6-2-31</w:t>
                            </w:r>
                            <w:r>
                              <w:rPr>
                                <w:rFonts w:hint="eastAsia" w:ascii="ＭＳ ゴシック" w:hAnsi="ＭＳ ゴシック" w:eastAsia="ＭＳ ゴシック"/>
                                <w:color w:val="auto"/>
                                <w:sz w:val="22"/>
                                <w:u w:val="none" w:color="auto"/>
                              </w:rPr>
                              <w:t>）脳血管疾患等リハビリテーション料及び</w:t>
                            </w:r>
                          </w:p>
                          <w:p>
                            <w:pPr>
                              <w:pStyle w:val="0"/>
                              <w:spacing w:line="240" w:lineRule="exact"/>
                              <w:ind w:leftChars="0" w:firstLine="1639" w:firstLineChars="723"/>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回復期リハビリテーション病棟入院料の届出医療機関数</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テキスト ボックス 2" style="margin-top:226.2pt;mso-position-vertical-relative:page;mso-position-horizontal-relative:page;position:absolute;height:37.75pt;width:377.25pt;margin-left:112.95pt;z-index:7;" o:spid="_x0000_s1140" o:allowincell="t" o:allowoverlap="t" filled="f" stroked="f" strokeweight="0.75pt" o:spt="202" type="#_x0000_t202">
                <v:fill/>
                <v:stroke miterlimit="8"/>
                <v:textbox style="layout-flow:horizontal;">
                  <w:txbxContent>
                    <w:p>
                      <w:pPr>
                        <w:pStyle w:val="0"/>
                        <w:spacing w:line="240" w:lineRule="exact"/>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6-2-31</w:t>
                      </w:r>
                      <w:r>
                        <w:rPr>
                          <w:rFonts w:hint="eastAsia" w:ascii="ＭＳ ゴシック" w:hAnsi="ＭＳ ゴシック" w:eastAsia="ＭＳ ゴシック"/>
                          <w:color w:val="auto"/>
                          <w:sz w:val="22"/>
                          <w:u w:val="none" w:color="auto"/>
                        </w:rPr>
                        <w:t>）脳血管疾患等リハビリテーション料及び</w:t>
                      </w:r>
                    </w:p>
                    <w:p>
                      <w:pPr>
                        <w:pStyle w:val="0"/>
                        <w:spacing w:line="240" w:lineRule="exact"/>
                        <w:ind w:leftChars="0" w:firstLine="1639" w:firstLineChars="723"/>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回復期リハビリテーション病棟入院料の届出医療機関数</w:t>
                      </w:r>
                    </w:p>
                  </w:txbxContent>
                </v:textbox>
                <v:imagedata o:title=""/>
                <w10:wrap type="none" anchorx="page" anchory="page"/>
              </v:shape>
            </w:pict>
          </mc:Fallback>
        </mc:AlternateContent>
      </w:r>
    </w:p>
    <w:tbl>
      <w:tblPr>
        <w:tblStyle w:val="45"/>
        <w:tblpPr w:leftFromText="142" w:rightFromText="142" w:topFromText="0" w:bottomFromText="0" w:vertAnchor="text" w:horzAnchor="text" w:tblpX="426" w:tblpY="304"/>
        <w:tblW w:w="0" w:type="auto"/>
        <w:tblLayout w:type="fixed"/>
        <w:tblLook w:firstRow="1" w:lastRow="0" w:firstColumn="1" w:lastColumn="0" w:noHBand="0" w:noVBand="1" w:val="04A0"/>
      </w:tblPr>
      <w:tblGrid>
        <w:gridCol w:w="3360"/>
        <w:gridCol w:w="1054"/>
        <w:gridCol w:w="1054"/>
        <w:gridCol w:w="1054"/>
        <w:gridCol w:w="1054"/>
        <w:gridCol w:w="1055"/>
      </w:tblGrid>
      <w:tr>
        <w:trPr/>
        <w:tc>
          <w:tcPr>
            <w:tcW w:w="3360" w:type="dxa"/>
            <w:tcBorders>
              <w:top w:val="none" w:color="auto" w:sz="0" w:space="0"/>
              <w:left w:val="none" w:color="auto" w:sz="0" w:space="0"/>
              <w:bottom w:val="none" w:color="auto" w:sz="0" w:space="0"/>
              <w:right w:val="none" w:color="auto" w:sz="0" w:space="0"/>
              <w:tl2br w:val="single" w:color="auto" w:sz="4" w:space="0"/>
              <w:tr2bl w:val="none" w:color="auto" w:sz="0" w:space="0"/>
            </w:tcBorders>
            <w:shd w:val="clear" w:color="auto" w:fill="DAEEF3"/>
            <w:vAlign w:val="top"/>
          </w:tcPr>
          <w:p>
            <w:pPr>
              <w:pStyle w:val="0"/>
              <w:rPr>
                <w:rFonts w:hint="eastAsia" w:ascii="ＭＳ 明朝" w:hAnsi="ＭＳ 明朝" w:eastAsia="ＭＳ 明朝"/>
                <w:b w:val="0"/>
                <w:color w:val="auto"/>
                <w:sz w:val="18"/>
                <w:highlight w:val="none"/>
              </w:rPr>
            </w:pPr>
          </w:p>
        </w:tc>
        <w:tc>
          <w:tcPr>
            <w:tcW w:w="1054" w:type="dxa"/>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安芸</w:t>
            </w:r>
          </w:p>
        </w:tc>
        <w:tc>
          <w:tcPr>
            <w:tcW w:w="1054" w:type="dxa"/>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中央</w:t>
            </w:r>
          </w:p>
        </w:tc>
        <w:tc>
          <w:tcPr>
            <w:tcW w:w="1054" w:type="dxa"/>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高幡</w:t>
            </w:r>
          </w:p>
        </w:tc>
        <w:tc>
          <w:tcPr>
            <w:tcW w:w="1054" w:type="dxa"/>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幡多</w:t>
            </w:r>
          </w:p>
        </w:tc>
        <w:tc>
          <w:tcPr>
            <w:tcW w:w="1055" w:type="dxa"/>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県</w:t>
            </w:r>
          </w:p>
        </w:tc>
      </w:tr>
      <w:tr>
        <w:trPr/>
        <w:tc>
          <w:tcPr>
            <w:tcW w:w="3360" w:type="dxa"/>
            <w:shd w:val="clear" w:color="auto" w:fill="DAEEF3"/>
            <w:vAlign w:val="top"/>
          </w:tcPr>
          <w:p>
            <w:pPr>
              <w:pStyle w:val="0"/>
              <w:spacing w:line="240" w:lineRule="exact"/>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脳血管疾患等リハビリテーション料（Ⅰ～Ⅲ）</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８</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90</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７</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16</w:t>
            </w:r>
          </w:p>
        </w:tc>
        <w:tc>
          <w:tcPr>
            <w:tcW w:w="1055"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121</w:t>
            </w:r>
          </w:p>
        </w:tc>
      </w:tr>
      <w:tr>
        <w:trPr>
          <w:trHeight w:val="235" w:hRule="atLeast"/>
        </w:trPr>
        <w:tc>
          <w:tcPr>
            <w:tcW w:w="3360" w:type="dxa"/>
            <w:shd w:val="clear" w:color="auto" w:fill="DAEEF3"/>
            <w:vAlign w:val="top"/>
          </w:tcPr>
          <w:p>
            <w:pPr>
              <w:pStyle w:val="0"/>
              <w:spacing w:line="240" w:lineRule="exact"/>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回復期リハビリテーション病棟入院料（１～６）</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１</w: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14</w:t>
            </w:r>
          </w:p>
        </w:tc>
        <w:tc>
          <w:tcPr>
            <w:tcW w:w="1054" w:type="dxa"/>
            <w:vAlign w:val="bottom"/>
          </w:tcPr>
          <w:p>
            <w:pPr>
              <w:pStyle w:val="0"/>
              <w:jc w:val="center"/>
              <w:rPr>
                <w:rFonts w:hint="eastAsia" w:ascii="ＭＳ 明朝" w:hAnsi="ＭＳ 明朝" w:eastAsia="ＭＳ 明朝"/>
                <w:b w:val="0"/>
                <w:color w:val="auto"/>
                <w:sz w:val="20"/>
                <w:highlight w:val="none"/>
                <w:u w:val="none" w:color="auto"/>
              </w:rPr>
            </w:pPr>
            <w:r>
              <w:rPr>
                <w:rFonts w:hint="eastAsia"/>
                <w:color w:val="auto"/>
                <w:highlight w:val="none"/>
                <w:u w:val="none" w:color="auto"/>
              </w:rPr>
              <mc:AlternateContent>
                <mc:Choice Requires="wps">
                  <w:drawing>
                    <wp:anchor distT="0" distB="0" distL="71755" distR="71755" simplePos="0" relativeHeight="8" behindDoc="0" locked="0" layoutInCell="1" hidden="0" allowOverlap="1">
                      <wp:simplePos x="0" y="0"/>
                      <wp:positionH relativeFrom="column">
                        <wp:posOffset>120650</wp:posOffset>
                      </wp:positionH>
                      <wp:positionV relativeFrom="paragraph">
                        <wp:posOffset>38735</wp:posOffset>
                      </wp:positionV>
                      <wp:extent cx="288290" cy="250190"/>
                      <wp:effectExtent l="0" t="0" r="635" b="635"/>
                      <wp:wrapNone/>
                      <wp:docPr id="1141" name="オブジェクト 0"/>
                      <a:graphic xmlns:a="http://schemas.openxmlformats.org/drawingml/2006/main">
                        <a:graphicData uri="http://schemas.microsoft.com/office/word/2010/wordprocessingShape">
                          <wps:wsp>
                            <wps:cNvPr id="1141" name="オブジェクト 0"/>
                            <wps:cNvSpPr txBox="1"/>
                            <wps:spPr>
                              <a:xfrm>
                                <a:off x="0" y="0"/>
                                <a:ext cx="288290" cy="250190"/>
                              </a:xfrm>
                              <a:prstGeom prst="rect">
                                <a:avLst/>
                              </a:prstGeom>
                              <a:noFill/>
                              <a:ln w="6350" cmpd="sng">
                                <a:noFill/>
                              </a:ln>
                            </wps:spPr>
                            <wps:style>
                              <a:lnRef idx="0">
                                <a:srgbClr val="000000"/>
                              </a:lnRef>
                              <a:fillRef idx="0">
                                <a:srgbClr val="000000"/>
                              </a:fillRef>
                              <a:effectRef idx="0">
                                <a:srgbClr val="000000"/>
                              </a:effectRef>
                              <a:fontRef idx="minor">
                                <a:schemeClr val="dk1"/>
                              </a:fontRef>
                            </wps:style>
                            <wps:txbx>
                              <w:txbxContent>
                                <w:p>
                                  <w:pPr>
                                    <w:pStyle w:val="0"/>
                                    <w:rPr>
                                      <w:rFonts w:hint="eastAsia" w:ascii="ＭＳ 明朝" w:hAnsi="ＭＳ 明朝" w:eastAsia="ＭＳ 明朝"/>
                                      <w:sz w:val="20"/>
                                    </w:rPr>
                                  </w:pPr>
                                  <w:r>
                                    <w:rPr>
                                      <w:rFonts w:hint="eastAsia" w:ascii="ＭＳ 明朝" w:hAnsi="ＭＳ 明朝" w:eastAsia="ＭＳ 明朝"/>
                                      <w:sz w:val="20"/>
                                    </w:rPr>
                                    <w:t>２</w:t>
                                  </w:r>
                                </w:p>
                              </w:txbxContent>
                            </wps:txbx>
                            <wps:bodyPr vertOverflow="overflow" horzOverflow="overflow" wrap="non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5.65pt;mso-wrap-distance-bottom:0pt;margin-top:3.05pt;mso-position-vertical-relative:text;mso-position-horizontal-relative:text;position:absolute;height:19.7pt;mso-wrap-distance-top:0pt;width:22.7pt;mso-wrap-style:none;mso-wrap-distance-left:5.65pt;margin-left:9.5pt;z-index:8;" o:spid="_x0000_s1141" o:allowincell="t" o:allowoverlap="t" filled="f" stroked="f" strokeweight="0.5pt" o:spt="202" type="#_x0000_t202">
                      <v:fill/>
                      <v:stroke linestyle="single"/>
                      <v:textbox style="layout-flow:horizontal;" inset="2.0637499999999998mm,0.24694444444444438mm,2.0637499999999998mm,0.24694444444444438mm">
                        <w:txbxContent>
                          <w:p>
                            <w:pPr>
                              <w:pStyle w:val="0"/>
                              <w:rPr>
                                <w:rFonts w:hint="eastAsia" w:ascii="ＭＳ 明朝" w:hAnsi="ＭＳ 明朝" w:eastAsia="ＭＳ 明朝"/>
                                <w:sz w:val="20"/>
                              </w:rPr>
                            </w:pPr>
                            <w:r>
                              <w:rPr>
                                <w:rFonts w:hint="eastAsia" w:ascii="ＭＳ 明朝" w:hAnsi="ＭＳ 明朝" w:eastAsia="ＭＳ 明朝"/>
                                <w:sz w:val="20"/>
                              </w:rPr>
                              <w:t>２</w:t>
                            </w:r>
                          </w:p>
                        </w:txbxContent>
                      </v:textbox>
                      <v:imagedata o:title=""/>
                      <w10:wrap type="none" anchorx="text" anchory="text"/>
                    </v:shape>
                  </w:pict>
                </mc:Fallback>
              </mc:AlternateContent>
            </w:r>
          </w:p>
        </w:tc>
        <w:tc>
          <w:tcPr>
            <w:tcW w:w="1054"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２</w:t>
            </w:r>
          </w:p>
        </w:tc>
        <w:tc>
          <w:tcPr>
            <w:tcW w:w="1055" w:type="dxa"/>
            <w:vAlign w:val="center"/>
          </w:tcPr>
          <w:p>
            <w:pPr>
              <w:pStyle w:val="0"/>
              <w:jc w:val="center"/>
              <w:rPr>
                <w:rFonts w:hint="eastAsia" w:ascii="ＭＳ 明朝" w:hAnsi="ＭＳ 明朝" w:eastAsia="ＭＳ 明朝"/>
                <w:b w:val="0"/>
                <w:color w:val="auto"/>
                <w:sz w:val="20"/>
                <w:highlight w:val="none"/>
                <w:u w:val="none" w:color="auto"/>
              </w:rPr>
            </w:pPr>
            <w:r>
              <w:rPr>
                <w:rFonts w:hint="eastAsia" w:ascii="ＭＳ 明朝" w:hAnsi="ＭＳ 明朝" w:eastAsia="ＭＳ 明朝"/>
                <w:b w:val="0"/>
                <w:color w:val="auto"/>
                <w:sz w:val="20"/>
                <w:highlight w:val="none"/>
                <w:u w:val="none" w:color="auto"/>
              </w:rPr>
              <w:t>19</w:t>
            </w:r>
          </w:p>
        </w:tc>
      </w:tr>
    </w:tbl>
    <w:p>
      <w:pPr>
        <w:pStyle w:val="0"/>
        <w:ind w:left="210" w:leftChars="100" w:firstLine="210" w:firstLineChars="100"/>
        <w:rPr>
          <w:rFonts w:hint="eastAsia" w:ascii="ＭＳ 明朝" w:hAnsi="ＭＳ 明朝" w:eastAsia="ＭＳ 明朝"/>
          <w:b w:val="0"/>
          <w:color w:val="auto"/>
          <w:highlight w:val="none"/>
        </w:rPr>
      </w:pPr>
      <w:r>
        <w:rPr>
          <w:rFonts w:hint="eastAsia"/>
          <w:highlight w:val="none"/>
        </w:rPr>
        <mc:AlternateContent>
          <mc:Choice Requires="wps">
            <w:drawing>
              <wp:anchor simplePos="0" relativeHeight="9" behindDoc="0" locked="0" layoutInCell="1" hidden="0" allowOverlap="1">
                <wp:simplePos x="0" y="0"/>
                <wp:positionH relativeFrom="column">
                  <wp:posOffset>2302510</wp:posOffset>
                </wp:positionH>
                <wp:positionV relativeFrom="paragraph">
                  <wp:posOffset>1012825</wp:posOffset>
                </wp:positionV>
                <wp:extent cx="3429000" cy="266065"/>
                <wp:effectExtent l="0" t="0" r="635" b="635"/>
                <wp:wrapNone/>
                <wp:docPr id="1142" name="オブジェクト 0"/>
                <a:graphic xmlns:a="http://schemas.openxmlformats.org/drawingml/2006/main">
                  <a:graphicData uri="http://schemas.microsoft.com/office/word/2010/wordprocessingShape">
                    <wps:wsp>
                      <wps:cNvPr id="1142" name="オブジェクト 0"/>
                      <wps:cNvSpPr txBox="1">
                        <a:spLocks noChangeArrowheads="1"/>
                      </wps:cNvSpPr>
                      <wps:spPr>
                        <a:xfrm>
                          <a:off x="0" y="0"/>
                          <a:ext cx="3429000" cy="266065"/>
                        </a:xfrm>
                        <a:prstGeom prst="rect">
                          <a:avLst/>
                        </a:prstGeom>
                        <a:noFill/>
                        <a:ln>
                          <a:miter/>
                        </a:ln>
                      </wps:spPr>
                      <wps:txbx>
                        <w:txbxContent>
                          <w:p>
                            <w:pPr>
                              <w:pStyle w:val="0"/>
                              <w:rPr>
                                <w:rFonts w:hint="default"/>
                                <w:color w:val="auto"/>
                                <w:sz w:val="16"/>
                              </w:rPr>
                            </w:pPr>
                            <w:r>
                              <w:rPr>
                                <w:rFonts w:hint="eastAsia"/>
                                <w:color w:val="auto"/>
                                <w:sz w:val="16"/>
                              </w:rPr>
                              <w:t>出典：</w:t>
                            </w:r>
                            <w:r>
                              <w:rPr>
                                <w:rFonts w:hint="eastAsia"/>
                                <w:color w:val="auto"/>
                                <w:sz w:val="16"/>
                                <w:u w:val="none" w:color="auto"/>
                              </w:rPr>
                              <w:t>四国厚生支局　施設基準の届出受理状況（令和５年</w:t>
                            </w:r>
                            <w:r>
                              <w:rPr>
                                <w:rFonts w:hint="eastAsia" w:ascii="ＭＳ 明朝" w:hAnsi="ＭＳ 明朝" w:eastAsia="ＭＳ 明朝"/>
                                <w:color w:val="auto"/>
                                <w:sz w:val="16"/>
                                <w:u w:val="none" w:color="auto"/>
                              </w:rPr>
                              <w:t>10</w:t>
                            </w:r>
                            <w:r>
                              <w:rPr>
                                <w:rFonts w:hint="eastAsia"/>
                                <w:color w:val="auto"/>
                                <w:sz w:val="16"/>
                                <w:u w:val="none" w:color="auto"/>
                              </w:rPr>
                              <w:t>月現在）</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79.75pt;mso-position-vertical-relative:text;mso-position-horizontal-relative:text;position:absolute;height:20.95pt;width:270pt;margin-left:181.3pt;z-index:9;" o:spid="_x0000_s1142" o:allowincell="t" o:allowoverlap="t"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w:t>
                      </w:r>
                      <w:r>
                        <w:rPr>
                          <w:rFonts w:hint="eastAsia"/>
                          <w:color w:val="auto"/>
                          <w:sz w:val="16"/>
                          <w:u w:val="none" w:color="auto"/>
                        </w:rPr>
                        <w:t>四国厚生支局　施設基準の届出受理状況（令和５年</w:t>
                      </w:r>
                      <w:r>
                        <w:rPr>
                          <w:rFonts w:hint="eastAsia" w:ascii="ＭＳ 明朝" w:hAnsi="ＭＳ 明朝" w:eastAsia="ＭＳ 明朝"/>
                          <w:color w:val="auto"/>
                          <w:sz w:val="16"/>
                          <w:u w:val="none" w:color="auto"/>
                        </w:rPr>
                        <w:t>10</w:t>
                      </w:r>
                      <w:r>
                        <w:rPr>
                          <w:rFonts w:hint="eastAsia"/>
                          <w:color w:val="auto"/>
                          <w:sz w:val="16"/>
                          <w:u w:val="none" w:color="auto"/>
                        </w:rPr>
                        <w:t>月現在）</w:t>
                      </w:r>
                    </w:p>
                  </w:txbxContent>
                </v:textbox>
                <v:imagedata o:title=""/>
                <w10:wrap type="none" anchorx="text" anchory="text"/>
              </v:shape>
            </w:pict>
          </mc:Fallback>
        </mc:AlternateContent>
      </w:r>
    </w:p>
    <w:p>
      <w:pPr>
        <w:pStyle w:val="0"/>
        <w:ind w:left="210" w:leftChars="100" w:firstLine="210" w:firstLineChars="100"/>
        <w:rPr>
          <w:rFonts w:hint="eastAsia" w:ascii="ＭＳ 明朝" w:hAnsi="ＭＳ 明朝" w:eastAsia="ＭＳ 明朝"/>
          <w:b w:val="0"/>
          <w:color w:val="auto"/>
          <w:highlight w:val="none"/>
        </w:rPr>
      </w:pPr>
      <w:r>
        <w:rPr>
          <w:rFonts w:hint="eastAsia"/>
          <w:highlight w:val="none"/>
        </w:rPr>
        <mc:AlternateContent>
          <mc:Choice Requires="wps">
            <w:drawing>
              <wp:anchor simplePos="0" relativeHeight="10" behindDoc="0" locked="0" layoutInCell="1" hidden="0" allowOverlap="1">
                <wp:simplePos x="0" y="0"/>
                <wp:positionH relativeFrom="page">
                  <wp:posOffset>1496695</wp:posOffset>
                </wp:positionH>
                <wp:positionV relativeFrom="page">
                  <wp:posOffset>4403090</wp:posOffset>
                </wp:positionV>
                <wp:extent cx="5126355" cy="317500"/>
                <wp:effectExtent l="0" t="0" r="635" b="635"/>
                <wp:wrapNone/>
                <wp:docPr id="1143" name="テキスト ボックス 2"/>
                <a:graphic xmlns:a="http://schemas.openxmlformats.org/drawingml/2006/main">
                  <a:graphicData uri="http://schemas.microsoft.com/office/word/2010/wordprocessingShape">
                    <wps:wsp>
                      <wps:cNvPr id="1143" name="テキスト ボックス 2"/>
                      <wps:cNvSpPr txBox="1">
                        <a:spLocks noChangeArrowheads="1"/>
                      </wps:cNvSpPr>
                      <wps:spPr>
                        <a:xfrm>
                          <a:off x="0" y="0"/>
                          <a:ext cx="5126355" cy="317500"/>
                        </a:xfrm>
                        <a:prstGeom prst="rect">
                          <a:avLst/>
                        </a:prstGeom>
                        <a:noFill/>
                        <a:ln w="9525">
                          <a:noFill/>
                          <a:miter lim="800000"/>
                          <a:headEnd/>
                          <a:tailEnd/>
                        </a:ln>
                      </wps:spPr>
                      <wps:txbx>
                        <w:txbxContent>
                          <w:p>
                            <w:pPr>
                              <w:pStyle w:val="0"/>
                              <w:spacing w:line="160" w:lineRule="atLeast"/>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6-2-32</w:t>
                            </w:r>
                            <w:r>
                              <w:rPr>
                                <w:rFonts w:hint="eastAsia" w:ascii="ＭＳ ゴシック" w:hAnsi="ＭＳ ゴシック" w:eastAsia="ＭＳ ゴシック"/>
                                <w:color w:val="auto"/>
                                <w:sz w:val="22"/>
                                <w:u w:val="none" w:color="auto"/>
                              </w:rPr>
                              <w:t>）脳卒中患者に対するリハビリテーションの実施件数</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テキスト ボックス 2" style="margin-top:346.7pt;mso-position-vertical-relative:page;mso-position-horizontal-relative:page;position:absolute;height:25pt;width:403.65pt;margin-left:117.85pt;z-index:10;" o:spid="_x0000_s1143" o:allowincell="t" o:allowoverlap="t" filled="f" stroked="f" strokeweight="0.75pt" o:spt="202" type="#_x0000_t202">
                <v:fill/>
                <v:stroke miterlimit="8"/>
                <v:textbox style="layout-flow:horizontal;">
                  <w:txbxContent>
                    <w:p>
                      <w:pPr>
                        <w:pStyle w:val="0"/>
                        <w:spacing w:line="160" w:lineRule="atLeast"/>
                        <w:jc w:val="left"/>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6-2-32</w:t>
                      </w:r>
                      <w:r>
                        <w:rPr>
                          <w:rFonts w:hint="eastAsia" w:ascii="ＭＳ ゴシック" w:hAnsi="ＭＳ ゴシック" w:eastAsia="ＭＳ ゴシック"/>
                          <w:color w:val="auto"/>
                          <w:sz w:val="22"/>
                          <w:u w:val="none" w:color="auto"/>
                        </w:rPr>
                        <w:t>）脳卒中患者に対するリハビリテーションの実施件数</w:t>
                      </w:r>
                    </w:p>
                  </w:txbxContent>
                </v:textbox>
                <v:imagedata o:title=""/>
                <w10:wrap type="none" anchorx="page" anchory="page"/>
              </v:shape>
            </w:pict>
          </mc:Fallback>
        </mc:AlternateContent>
      </w:r>
    </w:p>
    <w:tbl>
      <w:tblPr>
        <w:tblStyle w:val="44"/>
        <w:tblpPr w:leftFromText="0" w:rightFromText="0" w:topFromText="0" w:bottomFromText="0" w:vertAnchor="text" w:horzAnchor="text" w:tblpX="317" w:tblpY="218"/>
        <w:tblOverlap w:val="never"/>
        <w:tblW w:w="8516" w:type="dxa"/>
        <w:tblLayout w:type="fixed"/>
        <w:tblLook w:firstRow="1" w:lastRow="0" w:firstColumn="1" w:lastColumn="0" w:noHBand="0" w:noVBand="1" w:val="04A0"/>
      </w:tblPr>
      <w:tblGrid>
        <w:gridCol w:w="2108"/>
        <w:gridCol w:w="1068"/>
        <w:gridCol w:w="1068"/>
        <w:gridCol w:w="1068"/>
        <w:gridCol w:w="1068"/>
        <w:gridCol w:w="1068"/>
        <w:gridCol w:w="1068"/>
      </w:tblGrid>
      <w:tr>
        <w:trPr>
          <w:trHeight w:val="337" w:hRule="atLeast"/>
        </w:trPr>
        <w:tc>
          <w:tcPr>
            <w:tcW w:w="2108" w:type="dxa"/>
            <w:tcBorders>
              <w:top w:val="none" w:color="auto" w:sz="0" w:space="0"/>
              <w:left w:val="single" w:color="auto" w:sz="4" w:space="0"/>
              <w:bottom w:val="none" w:color="auto" w:sz="0" w:space="0"/>
              <w:right w:val="none" w:color="auto" w:sz="0" w:space="0"/>
              <w:tl2br w:val="single" w:color="auto" w:sz="4" w:space="0"/>
              <w:tr2bl w:val="none" w:color="auto" w:sz="0" w:space="0"/>
            </w:tcBorders>
            <w:shd w:val="clear" w:color="auto" w:fill="DAEEF3"/>
            <w:vAlign w:val="center"/>
          </w:tcPr>
          <w:p>
            <w:pPr>
              <w:pStyle w:val="0"/>
              <w:rPr>
                <w:rFonts w:hint="eastAsia" w:ascii="ＭＳ 明朝" w:hAnsi="ＭＳ 明朝" w:eastAsia="ＭＳ 明朝"/>
                <w:b w:val="0"/>
                <w:color w:val="auto"/>
                <w:sz w:val="18"/>
                <w:highlight w:val="none"/>
              </w:rPr>
            </w:pPr>
          </w:p>
        </w:tc>
        <w:tc>
          <w:tcPr>
            <w:tcW w:w="1068" w:type="dxa"/>
            <w:shd w:val="clear" w:color="auto" w:fill="DAEEF3"/>
            <w:vAlign w:val="center"/>
          </w:tcPr>
          <w:p>
            <w:pPr>
              <w:pStyle w:val="0"/>
              <w:tabs>
                <w:tab w:val="left" w:leader="none" w:pos="567"/>
              </w:tabs>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 xml:space="preserve"> </w:t>
            </w:r>
            <w:r>
              <w:rPr>
                <w:rFonts w:hint="eastAsia" w:ascii="ＭＳ 明朝" w:hAnsi="ＭＳ 明朝" w:eastAsia="ＭＳ 明朝"/>
                <w:b w:val="0"/>
                <w:color w:val="auto"/>
                <w:sz w:val="18"/>
                <w:highlight w:val="none"/>
              </w:rPr>
              <w:t>安芸</w:t>
            </w:r>
          </w:p>
        </w:tc>
        <w:tc>
          <w:tcPr>
            <w:tcW w:w="1068" w:type="dxa"/>
            <w:shd w:val="clear" w:color="auto" w:fill="DAEEF3"/>
            <w:vAlign w:val="center"/>
          </w:tcPr>
          <w:p>
            <w:pPr>
              <w:pStyle w:val="0"/>
              <w:tabs>
                <w:tab w:val="left" w:leader="none" w:pos="567"/>
              </w:tabs>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 xml:space="preserve"> </w:t>
            </w:r>
            <w:r>
              <w:rPr>
                <w:rFonts w:hint="eastAsia" w:ascii="ＭＳ 明朝" w:hAnsi="ＭＳ 明朝" w:eastAsia="ＭＳ 明朝"/>
                <w:b w:val="0"/>
                <w:color w:val="auto"/>
                <w:sz w:val="18"/>
                <w:highlight w:val="none"/>
              </w:rPr>
              <w:t>中央</w:t>
            </w:r>
          </w:p>
        </w:tc>
        <w:tc>
          <w:tcPr>
            <w:tcW w:w="1068" w:type="dxa"/>
            <w:shd w:val="clear" w:color="auto" w:fill="DAEEF3"/>
            <w:vAlign w:val="center"/>
          </w:tcPr>
          <w:p>
            <w:pPr>
              <w:pStyle w:val="0"/>
              <w:tabs>
                <w:tab w:val="left" w:leader="none" w:pos="567"/>
              </w:tabs>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 xml:space="preserve"> </w:t>
            </w:r>
            <w:r>
              <w:rPr>
                <w:rFonts w:hint="eastAsia" w:ascii="ＭＳ 明朝" w:hAnsi="ＭＳ 明朝" w:eastAsia="ＭＳ 明朝"/>
                <w:b w:val="0"/>
                <w:color w:val="auto"/>
                <w:sz w:val="18"/>
                <w:highlight w:val="none"/>
              </w:rPr>
              <w:t>高幡</w:t>
            </w:r>
          </w:p>
        </w:tc>
        <w:tc>
          <w:tcPr>
            <w:tcW w:w="1068" w:type="dxa"/>
            <w:shd w:val="clear" w:color="auto" w:fill="DAEEF3"/>
            <w:vAlign w:val="center"/>
          </w:tcPr>
          <w:p>
            <w:pPr>
              <w:pStyle w:val="0"/>
              <w:tabs>
                <w:tab w:val="left" w:leader="none" w:pos="567"/>
              </w:tabs>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 xml:space="preserve"> </w:t>
            </w:r>
            <w:r>
              <w:rPr>
                <w:rFonts w:hint="eastAsia" w:ascii="ＭＳ 明朝" w:hAnsi="ＭＳ 明朝" w:eastAsia="ＭＳ 明朝"/>
                <w:b w:val="0"/>
                <w:color w:val="auto"/>
                <w:sz w:val="18"/>
                <w:highlight w:val="none"/>
              </w:rPr>
              <w:t>幡多</w:t>
            </w:r>
          </w:p>
        </w:tc>
        <w:tc>
          <w:tcPr>
            <w:tcW w:w="1068" w:type="dxa"/>
            <w:shd w:val="clear" w:color="auto" w:fill="DAEEF3"/>
            <w:vAlign w:val="center"/>
          </w:tcPr>
          <w:p>
            <w:pPr>
              <w:pStyle w:val="0"/>
              <w:tabs>
                <w:tab w:val="left" w:leader="none" w:pos="567"/>
              </w:tabs>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県</w:t>
            </w:r>
          </w:p>
        </w:tc>
        <w:tc>
          <w:tcPr>
            <w:tcW w:w="1068" w:type="dxa"/>
            <w:shd w:val="clear" w:color="auto" w:fill="DAEEF3"/>
            <w:vAlign w:val="center"/>
          </w:tcPr>
          <w:p>
            <w:pPr>
              <w:pStyle w:val="0"/>
              <w:jc w:val="center"/>
              <w:rPr>
                <w:rFonts w:hint="eastAsia" w:ascii="ＭＳ 明朝" w:hAnsi="ＭＳ 明朝" w:eastAsia="ＭＳ 明朝"/>
                <w:highlight w:val="none"/>
              </w:rPr>
            </w:pPr>
            <w:r>
              <w:rPr>
                <w:rFonts w:hint="eastAsia" w:ascii="ＭＳ 明朝" w:hAnsi="ＭＳ 明朝" w:eastAsia="ＭＳ 明朝"/>
                <w:highlight w:val="none"/>
              </w:rPr>
              <w:t>全国</w:t>
            </w:r>
          </w:p>
        </w:tc>
      </w:tr>
      <w:tr>
        <w:trPr>
          <w:trHeight w:val="376" w:hRule="atLeast"/>
        </w:trPr>
        <w:tc>
          <w:tcPr>
            <w:tcW w:w="2108"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6"/>
                <w:highlight w:val="none"/>
              </w:rPr>
              <w:t>レセプト算定回数</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31,921</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545,583</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18,642</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98,869</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695,015</w:t>
            </w:r>
          </w:p>
        </w:tc>
        <w:tc>
          <w:tcPr>
            <w:tcW w:w="1068" w:type="dxa"/>
            <w:vAlign w:val="center"/>
          </w:tcPr>
          <w:p>
            <w:pPr>
              <w:pStyle w:val="0"/>
              <w:jc w:val="center"/>
              <w:rPr>
                <w:rFonts w:hint="eastAsia" w:ascii="ＭＳ 明朝" w:hAnsi="ＭＳ 明朝" w:eastAsia="ＭＳ 明朝"/>
                <w:color w:val="auto"/>
                <w:sz w:val="18"/>
                <w:highlight w:val="none"/>
                <w:u w:val="none" w:color="auto"/>
              </w:rPr>
            </w:pPr>
          </w:p>
        </w:tc>
      </w:tr>
      <w:tr>
        <w:trPr>
          <w:trHeight w:val="340" w:hRule="atLeast"/>
        </w:trPr>
        <w:tc>
          <w:tcPr>
            <w:tcW w:w="2108"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b w:val="0"/>
                <w:color w:val="auto"/>
                <w:sz w:val="18"/>
                <w:highlight w:val="none"/>
              </w:rPr>
            </w:pPr>
            <w:r>
              <w:rPr>
                <w:rFonts w:hint="eastAsia" w:ascii="ＭＳ 明朝" w:hAnsi="ＭＳ 明朝" w:eastAsia="ＭＳ 明朝"/>
                <w:b w:val="0"/>
                <w:color w:val="auto"/>
                <w:sz w:val="18"/>
                <w:highlight w:val="none"/>
              </w:rPr>
              <w:t>10</w:t>
            </w:r>
            <w:r>
              <w:rPr>
                <w:rFonts w:hint="eastAsia" w:ascii="ＭＳ 明朝" w:hAnsi="ＭＳ 明朝" w:eastAsia="ＭＳ 明朝"/>
                <w:b w:val="0"/>
                <w:color w:val="auto"/>
                <w:sz w:val="18"/>
                <w:highlight w:val="none"/>
              </w:rPr>
              <w:t>万人対</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76,083.9</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107,371.4</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38,227.5</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127,688.2</w:t>
            </w:r>
          </w:p>
        </w:tc>
        <w:tc>
          <w:tcPr>
            <w:tcW w:w="1068" w:type="dxa"/>
            <w:vAlign w:val="center"/>
          </w:tcPr>
          <w:p>
            <w:pPr>
              <w:pStyle w:val="0"/>
              <w:jc w:val="center"/>
              <w:rPr>
                <w:rFonts w:hint="eastAsia" w:ascii="ＭＳ 明朝" w:hAnsi="ＭＳ 明朝" w:eastAsia="ＭＳ 明朝"/>
                <w:b w:val="0"/>
                <w:color w:val="auto"/>
                <w:sz w:val="18"/>
                <w:highlight w:val="none"/>
                <w:u w:val="none" w:color="auto"/>
              </w:rPr>
            </w:pPr>
            <w:r>
              <w:rPr>
                <w:rFonts w:hint="eastAsia" w:ascii="ＭＳ 明朝" w:hAnsi="ＭＳ 明朝" w:eastAsia="ＭＳ 明朝"/>
                <w:b w:val="0"/>
                <w:color w:val="auto"/>
                <w:sz w:val="18"/>
                <w:highlight w:val="none"/>
                <w:u w:val="none" w:color="auto"/>
              </w:rPr>
              <w:t>102,770.6</w:t>
            </w:r>
          </w:p>
        </w:tc>
        <w:tc>
          <w:tcPr>
            <w:tcW w:w="1068" w:type="dxa"/>
            <w:vAlign w:val="center"/>
          </w:tcPr>
          <w:p>
            <w:pPr>
              <w:pStyle w:val="0"/>
              <w:jc w:val="center"/>
              <w:rPr>
                <w:rFonts w:hint="eastAsia" w:ascii="ＭＳ 明朝" w:hAnsi="ＭＳ 明朝" w:eastAsia="ＭＳ 明朝"/>
                <w:color w:val="auto"/>
                <w:sz w:val="18"/>
                <w:highlight w:val="none"/>
                <w:u w:val="none" w:color="auto"/>
              </w:rPr>
            </w:pPr>
            <w:r>
              <w:rPr>
                <w:rFonts w:hint="eastAsia" w:ascii="ＭＳ 明朝" w:hAnsi="ＭＳ 明朝" w:eastAsia="ＭＳ 明朝"/>
                <w:color w:val="auto"/>
                <w:sz w:val="18"/>
                <w:highlight w:val="none"/>
                <w:u w:val="none" w:color="auto"/>
              </w:rPr>
              <w:t>61,392.1</w:t>
            </w:r>
          </w:p>
        </w:tc>
      </w:tr>
    </w:tbl>
    <w:p>
      <w:pPr>
        <w:pStyle w:val="0"/>
        <w:ind w:left="210" w:leftChars="100" w:firstLine="210" w:firstLineChars="100"/>
        <w:rPr>
          <w:rFonts w:hint="eastAsia" w:ascii="ＭＳ 明朝" w:hAnsi="ＭＳ 明朝" w:eastAsia="ＭＳ 明朝"/>
          <w:b w:val="0"/>
          <w:color w:val="auto"/>
          <w:highlight w:val="none"/>
        </w:rPr>
      </w:pPr>
      <w:r>
        <w:rPr>
          <w:rFonts w:hint="eastAsia"/>
          <w:highlight w:val="none"/>
        </w:rPr>
        <mc:AlternateContent>
          <mc:Choice Requires="wps">
            <w:drawing>
              <wp:anchor simplePos="0" relativeHeight="11" behindDoc="0" locked="0" layoutInCell="1" hidden="0" allowOverlap="1">
                <wp:simplePos x="0" y="0"/>
                <wp:positionH relativeFrom="column">
                  <wp:posOffset>4408805</wp:posOffset>
                </wp:positionH>
                <wp:positionV relativeFrom="paragraph">
                  <wp:posOffset>837565</wp:posOffset>
                </wp:positionV>
                <wp:extent cx="1270000" cy="266065"/>
                <wp:effectExtent l="0" t="0" r="635" b="635"/>
                <wp:wrapNone/>
                <wp:docPr id="1144" name="オブジェクト 0"/>
                <a:graphic xmlns:a="http://schemas.openxmlformats.org/drawingml/2006/main">
                  <a:graphicData uri="http://schemas.microsoft.com/office/word/2010/wordprocessingShape">
                    <wps:wsp>
                      <wps:cNvPr id="1144" name="オブジェクト 0"/>
                      <wps:cNvSpPr txBox="1">
                        <a:spLocks noChangeArrowheads="1"/>
                      </wps:cNvSpPr>
                      <wps:spPr>
                        <a:xfrm>
                          <a:off x="0" y="0"/>
                          <a:ext cx="1270000" cy="266065"/>
                        </a:xfrm>
                        <a:prstGeom prst="rect">
                          <a:avLst/>
                        </a:prstGeom>
                        <a:noFill/>
                        <a:ln>
                          <a:miter/>
                        </a:ln>
                      </wps:spPr>
                      <wps:txbx>
                        <w:txbxContent>
                          <w:p>
                            <w:pPr>
                              <w:pStyle w:val="0"/>
                              <w:rPr>
                                <w:rFonts w:hint="default"/>
                                <w:color w:val="auto"/>
                                <w:sz w:val="16"/>
                                <w:u w:val="wave" w:color="auto"/>
                              </w:rPr>
                            </w:pPr>
                            <w:r>
                              <w:rPr>
                                <w:rFonts w:hint="eastAsia"/>
                                <w:color w:val="auto"/>
                                <w:sz w:val="16"/>
                                <w:u w:val="none" w:color="auto"/>
                              </w:rPr>
                              <w:t>出典：</w:t>
                            </w:r>
                            <w:r>
                              <w:rPr>
                                <w:rFonts w:hint="eastAsia" w:asciiTheme="minorEastAsia" w:hAnsiTheme="minorEastAsia"/>
                                <w:color w:val="auto"/>
                                <w:sz w:val="16"/>
                                <w:u w:val="none" w:color="auto"/>
                              </w:rPr>
                              <w:t>令和３年度</w:t>
                            </w:r>
                            <w:r>
                              <w:rPr>
                                <w:rFonts w:hint="eastAsia" w:ascii="ＭＳ 明朝" w:hAnsi="ＭＳ 明朝" w:eastAsia="ＭＳ 明朝"/>
                                <w:color w:val="auto"/>
                                <w:sz w:val="16"/>
                                <w:u w:val="none" w:color="auto"/>
                              </w:rPr>
                              <w:t>NDB</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65.95pt;mso-position-vertical-relative:text;mso-position-horizontal-relative:text;position:absolute;height:20.95pt;width:100pt;margin-left:347.15pt;z-index:11;" o:spid="_x0000_s1144" o:allowincell="t" o:allowoverlap="t" filled="f" stroked="f" o:spt="202" type="#_x0000_t202">
                <v:fill/>
                <v:textbox style="layout-flow:horizontal;" inset="2.0637499999999998mm,0.24694444444444438mm,2.0637499999999998mm,0.24694444444444438mm">
                  <w:txbxContent>
                    <w:p>
                      <w:pPr>
                        <w:pStyle w:val="0"/>
                        <w:rPr>
                          <w:rFonts w:hint="default"/>
                          <w:color w:val="auto"/>
                          <w:sz w:val="16"/>
                          <w:u w:val="wave" w:color="auto"/>
                        </w:rPr>
                      </w:pPr>
                      <w:r>
                        <w:rPr>
                          <w:rFonts w:hint="eastAsia"/>
                          <w:color w:val="auto"/>
                          <w:sz w:val="16"/>
                          <w:u w:val="none" w:color="auto"/>
                        </w:rPr>
                        <w:t>出典：</w:t>
                      </w:r>
                      <w:r>
                        <w:rPr>
                          <w:rFonts w:hint="eastAsia" w:asciiTheme="minorEastAsia" w:hAnsiTheme="minorEastAsia"/>
                          <w:color w:val="auto"/>
                          <w:sz w:val="16"/>
                          <w:u w:val="none" w:color="auto"/>
                        </w:rPr>
                        <w:t>令和３年度</w:t>
                      </w:r>
                      <w:r>
                        <w:rPr>
                          <w:rFonts w:hint="eastAsia" w:ascii="ＭＳ 明朝" w:hAnsi="ＭＳ 明朝" w:eastAsia="ＭＳ 明朝"/>
                          <w:color w:val="auto"/>
                          <w:sz w:val="16"/>
                          <w:u w:val="none" w:color="auto"/>
                        </w:rPr>
                        <w:t>NDB</w:t>
                      </w:r>
                    </w:p>
                  </w:txbxContent>
                </v:textbox>
                <v:imagedata o:title=""/>
                <w10:wrap type="none" anchorx="text" anchory="text"/>
              </v:shape>
            </w:pict>
          </mc:Fallback>
        </mc:AlternateContent>
      </w:r>
    </w:p>
    <w:p>
      <w:pPr>
        <w:pStyle w:val="0"/>
        <w:ind w:left="210" w:leftChars="100" w:firstLine="210" w:firstLineChars="10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u w:val="none" w:color="auto"/>
        </w:rPr>
        <w:t>高知大学及び高知県回復期リハビリテーション病棟連絡会の協力を得て、令和元年度から回復期の脳卒中患者のデータ集約を行っています。それによると、発症から回復期リハビリテーション病棟への入棟平均日数については、全国よりも約８日早くなっており、早期から脳卒中患者に対するリハビリテーションが実施できています（図表</w:t>
      </w:r>
      <w:r>
        <w:rPr>
          <w:rFonts w:hint="eastAsia" w:ascii="ＭＳ 明朝" w:hAnsi="ＭＳ 明朝" w:eastAsia="ＭＳ 明朝"/>
          <w:b w:val="0"/>
          <w:color w:val="auto"/>
          <w:sz w:val="22"/>
          <w:highlight w:val="none"/>
          <w:u w:val="none" w:color="auto"/>
        </w:rPr>
        <w:t>6-2-33</w:t>
      </w:r>
      <w:r>
        <w:rPr>
          <w:rFonts w:hint="eastAsia" w:ascii="ＭＳ 明朝" w:hAnsi="ＭＳ 明朝" w:eastAsia="ＭＳ 明朝"/>
          <w:b w:val="0"/>
          <w:color w:val="auto"/>
          <w:sz w:val="22"/>
          <w:highlight w:val="none"/>
          <w:u w:val="none" w:color="auto"/>
        </w:rPr>
        <w:t>）。</w:t>
      </w:r>
    </w:p>
    <w:p>
      <w:pPr>
        <w:pStyle w:val="0"/>
        <w:ind w:left="210" w:leftChars="100" w:firstLine="210" w:firstLineChars="100"/>
        <w:rPr>
          <w:rFonts w:hint="eastAsia" w:ascii="ＭＳ 明朝" w:hAnsi="ＭＳ 明朝" w:eastAsia="ＭＳ 明朝"/>
          <w:b w:val="0"/>
          <w:color w:val="auto"/>
          <w:highlight w:val="none"/>
        </w:rPr>
      </w:pPr>
      <w:r>
        <w:rPr>
          <w:rFonts w:hint="eastAsia"/>
        </w:rPr>
        <mc:AlternateContent>
          <mc:Choice Requires="wpg">
            <w:drawing>
              <wp:anchor simplePos="0" relativeHeight="108" behindDoc="0" locked="0" layoutInCell="1" hidden="0" allowOverlap="1">
                <wp:simplePos x="0" y="0"/>
                <wp:positionH relativeFrom="column">
                  <wp:posOffset>77470</wp:posOffset>
                </wp:positionH>
                <wp:positionV relativeFrom="paragraph">
                  <wp:posOffset>20320</wp:posOffset>
                </wp:positionV>
                <wp:extent cx="5706745" cy="1536700"/>
                <wp:effectExtent l="0" t="0" r="635" b="635"/>
                <wp:wrapNone/>
                <wp:docPr id="1145" name="オブジェクト 0"/>
                <a:graphic xmlns:a="http://schemas.openxmlformats.org/drawingml/2006/main">
                  <a:graphicData uri="http://schemas.microsoft.com/office/word/2010/wordprocessingGroup">
                    <wpg:wgp>
                      <wpg:cNvGrpSpPr/>
                      <wpg:grpSpPr>
                        <a:xfrm>
                          <a:off x="0" y="0"/>
                          <a:ext cx="5706745" cy="1536700"/>
                          <a:chOff x="1540" y="10206"/>
                          <a:chExt cx="8987" cy="2420"/>
                        </a:xfrm>
                      </wpg:grpSpPr>
                      <wpg:grpSp>
                        <wpg:cNvGrpSpPr/>
                        <wpg:grpSpPr>
                          <a:xfrm>
                            <a:off x="1540" y="10206"/>
                            <a:ext cx="8987" cy="2420"/>
                            <a:chOff x="1540" y="10206"/>
                            <a:chExt cx="8987" cy="2420"/>
                          </a:xfrm>
                        </wpg:grpSpPr>
                        <wps:wsp>
                          <wps:cNvPr id="1147" name="テキスト ボックス 2"/>
                          <wps:cNvSpPr txBox="1">
                            <a:spLocks noChangeArrowheads="1"/>
                          </wps:cNvSpPr>
                          <wps:spPr>
                            <a:xfrm>
                              <a:off x="1540" y="10206"/>
                              <a:ext cx="8934" cy="624"/>
                            </a:xfrm>
                            <a:prstGeom prst="rect">
                              <a:avLst/>
                            </a:prstGeom>
                            <a:noFill/>
                            <a:ln w="9525">
                              <a:noFill/>
                              <a:miter lim="800000"/>
                              <a:headEnd/>
                              <a:tailEnd/>
                            </a:ln>
                          </wps:spPr>
                          <wps:txbx>
                            <w:txbxContent>
                              <w:p>
                                <w:pPr>
                                  <w:pStyle w:val="0"/>
                                  <w:spacing w:line="220" w:lineRule="exact"/>
                                  <w:ind w:leftChars="0" w:hanging="1031" w:hangingChars="491"/>
                                  <w:jc w:val="center"/>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6-2-33</w:t>
                                </w:r>
                                <w:r>
                                  <w:rPr>
                                    <w:rFonts w:hint="eastAsia" w:ascii="ＭＳ ゴシック" w:hAnsi="ＭＳ ゴシック" w:eastAsia="ＭＳ ゴシック"/>
                                    <w:color w:val="auto"/>
                                    <w:sz w:val="22"/>
                                    <w:u w:val="none" w:color="auto"/>
                                  </w:rPr>
                                  <w:t>）脳卒中発症から回復期リハビリテーション病棟への入棟</w:t>
                                </w:r>
                              </w:p>
                              <w:p>
                                <w:pPr>
                                  <w:pStyle w:val="0"/>
                                  <w:spacing w:line="220" w:lineRule="exact"/>
                                  <w:ind w:left="1073" w:leftChars="495" w:firstLine="1236" w:firstLineChars="545"/>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または退棟までの日数</w:t>
                                </w:r>
                              </w:p>
                            </w:txbxContent>
                          </wps:txbx>
                          <wps:bodyPr vertOverflow="overflow" horzOverflow="overflow" wrap="square"/>
                        </wps:wsp>
                        <pic:pic xmlns:pic="http://schemas.openxmlformats.org/drawingml/2006/picture">
                          <pic:nvPicPr>
                            <pic:cNvPr id="1148" name="オブジェクト 0"/>
                            <pic:cNvPicPr>
                              <a:picLocks noChangeAspect="1"/>
                            </pic:cNvPicPr>
                          </pic:nvPicPr>
                          <pic:blipFill>
                            <a:blip r:embed="rId55"/>
                            <a:stretch>
                              <a:fillRect/>
                            </a:stretch>
                          </pic:blipFill>
                          <pic:spPr>
                            <a:xfrm>
                              <a:off x="1887" y="10788"/>
                              <a:ext cx="8504" cy="1423"/>
                            </a:xfrm>
                            <a:prstGeom prst="rect">
                              <a:avLst/>
                            </a:prstGeom>
                          </pic:spPr>
                        </pic:pic>
                        <wps:wsp>
                          <wps:cNvPr id="1149" name="オブジェクト 0"/>
                          <wps:cNvSpPr txBox="1">
                            <a:spLocks noChangeArrowheads="1"/>
                          </wps:cNvSpPr>
                          <wps:spPr>
                            <a:xfrm>
                              <a:off x="5432" y="12207"/>
                              <a:ext cx="5095" cy="419"/>
                            </a:xfrm>
                            <a:prstGeom prst="rect">
                              <a:avLst/>
                            </a:prstGeom>
                            <a:noFill/>
                            <a:ln>
                              <a:miter/>
                            </a:ln>
                          </wps:spPr>
                          <wps:txbx>
                            <w:txbxContent>
                              <w:p>
                                <w:pPr>
                                  <w:pStyle w:val="0"/>
                                  <w:rPr>
                                    <w:rFonts w:hint="default"/>
                                    <w:color w:val="auto"/>
                                    <w:sz w:val="16"/>
                                  </w:rPr>
                                </w:pPr>
                                <w:r>
                                  <w:rPr>
                                    <w:rFonts w:hint="eastAsia"/>
                                    <w:color w:val="auto"/>
                                    <w:sz w:val="16"/>
                                  </w:rPr>
                                  <w:t>出典：回復期データベース実行委員会「回復期アウトカム調査」</w:t>
                                </w:r>
                              </w:p>
                            </w:txbxContent>
                          </wps:txbx>
                          <wps:bodyPr vertOverflow="overflow" horzOverflow="overflow" wrap="square" lIns="74295" tIns="8890" rIns="74295" bIns="8890" upright="1"/>
                        </wps:wsp>
                      </wpg:grpSp>
                      <wps:wsp>
                        <wps:cNvPr id="1150" name="オブジェクト 0"/>
                        <wps:cNvSpPr/>
                        <wps:spPr>
                          <a:xfrm>
                            <a:off x="1918" y="11616"/>
                            <a:ext cx="8447" cy="0"/>
                          </a:xfrm>
                          <a:prstGeom prst="line">
                            <a:avLst/>
                          </a:prstGeom>
                          <a:ln w="6350" cap="flat" cmpd="sng" algn="ctr">
                            <a:solidFill>
                              <a:schemeClr val="tx1">
                                <a:lumMod val="50000"/>
                                <a:lumOff val="50000"/>
                              </a:schemeClr>
                            </a:solidFill>
                            <a:prstDash val="solid"/>
                            <a:miter lim="800000"/>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オブジェクト 0" style="margin-top:1.6pt;mso-position-vertical-relative:text;mso-position-horizontal-relative:text;position:absolute;height:121pt;width:449.35pt;margin-left:6.1pt;z-index:108;" coordsize="8987,2420" coordorigin="1540,10206" o:spid="_x0000_s1145" o:allowincell="t" o:allowoverlap="t">
                <v:group id="_x0000_s1146" style="height:2420;width:8987;top:10206;left:1540;position:absolute;" coordsize="8987,2420" coordorigin="1540,10206">
                  <v:shapetype id="_x0000_t202" coordsize="21600,21600" o:spt="202" path="m,l,21600r21600,l21600,xe">
                    <v:stroke joinstyle="miter"/>
                    <v:path gradientshapeok="t" o:connecttype="rect"/>
                  </v:shapetype>
                  <v:shape id="テキスト ボックス 2" style="height:624;width:8934;top:10206;left:1540;position:absolute;" o:spid="_x0000_s1147" filled="f" stroked="f" strokeweight="0.75pt" o:spt="202" type="#_x0000_t202">
                    <v:fill/>
                    <v:stroke miterlimit="8"/>
                    <v:textbox style="layout-flow:horizontal;">
                      <w:txbxContent>
                        <w:p>
                          <w:pPr>
                            <w:pStyle w:val="0"/>
                            <w:spacing w:line="220" w:lineRule="exact"/>
                            <w:ind w:leftChars="0" w:hanging="1031" w:hangingChars="491"/>
                            <w:jc w:val="center"/>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6-2-33</w:t>
                          </w:r>
                          <w:r>
                            <w:rPr>
                              <w:rFonts w:hint="eastAsia" w:ascii="ＭＳ ゴシック" w:hAnsi="ＭＳ ゴシック" w:eastAsia="ＭＳ ゴシック"/>
                              <w:color w:val="auto"/>
                              <w:sz w:val="22"/>
                              <w:u w:val="none" w:color="auto"/>
                            </w:rPr>
                            <w:t>）脳卒中発症から回復期リハビリテーション病棟への入棟</w:t>
                          </w:r>
                        </w:p>
                        <w:p>
                          <w:pPr>
                            <w:pStyle w:val="0"/>
                            <w:spacing w:line="220" w:lineRule="exact"/>
                            <w:ind w:left="1073" w:leftChars="495" w:firstLine="1236" w:firstLineChars="545"/>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または退棟までの日数</w:t>
                          </w:r>
                        </w:p>
                      </w:txbxContent>
                    </v:textbox>
                    <v:imagedata o:title=""/>
                    <w10:wrap type="none" anchorx="text" anchory="tex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オブジェクト 0" style="height:1423;width:8504;top:10788;left:1887;position:absolute;" o:spid="_x0000_s1148" filled="f" stroked="f" o:spt="75" type="#_x0000_t75">
                    <v:fill/>
                    <v:imagedata o:title="" r:id="rId55"/>
                    <w10:wrap type="none" anchorx="text" anchory="text"/>
                  </v:shape>
                  <v:shape id="オブジェクト 0" style="height:419;width:5095;top:12207;left:5432;position:absolute;" o:spid="_x0000_s1149" filled="f" stroked="f" o:spt="202" type="#_x0000_t202">
                    <v:fill/>
                    <v:textbox style="layout-flow:horizontal;" inset="2.0637499999999998mm,0.24694444444444438mm,2.0637499999999998mm,0.24694444444444438mm">
                      <w:txbxContent>
                        <w:p>
                          <w:pPr>
                            <w:pStyle w:val="0"/>
                            <w:rPr>
                              <w:rFonts w:hint="default"/>
                              <w:color w:val="auto"/>
                              <w:sz w:val="16"/>
                            </w:rPr>
                          </w:pPr>
                          <w:r>
                            <w:rPr>
                              <w:rFonts w:hint="eastAsia"/>
                              <w:color w:val="auto"/>
                              <w:sz w:val="16"/>
                            </w:rPr>
                            <w:t>出典：回復期データベース実行委員会「回復期アウトカム調査」</w:t>
                          </w:r>
                        </w:p>
                      </w:txbxContent>
                    </v:textbox>
                    <v:imagedata o:title=""/>
                    <w10:wrap type="none" anchorx="text" anchory="text"/>
                  </v:shape>
                  <w10:wrap type="none" anchorx="text" anchory="text"/>
                </v:group>
                <v:line id="オブジェクト 0" style="height:0;width:8447;top:11616;left:1918;position:absolute;" o:spid="_x0000_s1150" filled="f" stroked="t" strokecolor="#808080 [1629]" strokeweight="0.5pt" o:spt="20" from="1918,11616" to="10365,11616">
                  <v:fill/>
                  <v:stroke linestyle="single" miterlimit="8" endcap="flat" dashstyle="solid" filltype="solid"/>
                  <v:textbox style="layout-flow:horizontal;"/>
                  <v:imagedata o:title=""/>
                  <w10:wrap type="none" anchorx="text" anchory="text"/>
                </v:line>
                <w10:wrap type="none" anchorx="text" anchory="text"/>
              </v:group>
            </w:pict>
          </mc:Fallback>
        </mc:AlternateContent>
      </w: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sz w:val="22"/>
          <w:highlight w:val="none"/>
        </w:rPr>
      </w:pPr>
    </w:p>
    <w:p>
      <w:pPr>
        <w:pStyle w:val="0"/>
        <w:ind w:left="210" w:leftChars="100" w:firstLine="210" w:firstLineChars="100"/>
        <w:rPr>
          <w:rFonts w:hint="eastAsia" w:ascii="ＭＳ 明朝" w:hAnsi="ＭＳ 明朝" w:eastAsia="ＭＳ 明朝"/>
          <w:b w:val="0"/>
          <w:color w:val="auto"/>
          <w:sz w:val="22"/>
          <w:highlight w:val="none"/>
        </w:rPr>
      </w:pPr>
      <w:r>
        <w:rPr>
          <w:rFonts w:hint="eastAsia" w:ascii="ＭＳ 明朝" w:hAnsi="ＭＳ 明朝" w:eastAsia="ＭＳ 明朝"/>
          <w:b w:val="0"/>
          <w:color w:val="auto"/>
          <w:sz w:val="22"/>
          <w:highlight w:val="none"/>
          <w:u w:val="none" w:color="auto"/>
        </w:rPr>
        <w:t>また、回復期リハビリテーション病棟からの在宅復帰率は、新型コロナウイルス感染症感染拡大の影響を受けた令和３年度を除くと、高齢化率や地理的な条件のある本県においても、</w:t>
      </w:r>
      <w:r>
        <w:rPr>
          <w:rFonts w:hint="eastAsia" w:ascii="ＭＳ 明朝" w:hAnsi="ＭＳ 明朝" w:eastAsia="ＭＳ 明朝"/>
          <w:b w:val="0"/>
          <w:color w:val="auto"/>
          <w:sz w:val="22"/>
          <w:highlight w:val="none"/>
          <w:u w:val="none" w:color="auto"/>
        </w:rPr>
        <w:t>70</w:t>
      </w:r>
      <w:r>
        <w:rPr>
          <w:rFonts w:hint="eastAsia" w:ascii="ＭＳ 明朝" w:hAnsi="ＭＳ 明朝" w:eastAsia="ＭＳ 明朝"/>
          <w:b w:val="0"/>
          <w:color w:val="auto"/>
          <w:sz w:val="22"/>
          <w:highlight w:val="none"/>
          <w:u w:val="none" w:color="auto"/>
        </w:rPr>
        <w:t>％台を維持できています（図表</w:t>
      </w:r>
      <w:r>
        <w:rPr>
          <w:rFonts w:hint="eastAsia" w:ascii="ＭＳ 明朝" w:hAnsi="ＭＳ 明朝" w:eastAsia="ＭＳ 明朝"/>
          <w:b w:val="0"/>
          <w:color w:val="auto"/>
          <w:sz w:val="22"/>
          <w:highlight w:val="none"/>
          <w:u w:val="none" w:color="auto"/>
        </w:rPr>
        <w:t>6-2-34</w:t>
      </w:r>
      <w:r>
        <w:rPr>
          <w:rFonts w:hint="eastAsia" w:ascii="ＭＳ 明朝" w:hAnsi="ＭＳ 明朝" w:eastAsia="ＭＳ 明朝"/>
          <w:b w:val="0"/>
          <w:color w:val="auto"/>
          <w:sz w:val="22"/>
          <w:highlight w:val="none"/>
          <w:u w:val="none" w:color="auto"/>
        </w:rPr>
        <w:t>）。県内では、早期から適切なリハビリテーション資源を投入できる体制が維持できているとともに、地域連携パスの普及等による急性期から回復期への切れ目のない支援ができる体制が構築されています。今後も、こうした医療連携体制や脳卒中患者の在宅復帰率を維持していくことが望まれます。</w:t>
      </w:r>
    </w:p>
    <w:tbl>
      <w:tblPr>
        <w:tblStyle w:val="45"/>
        <w:tblpPr w:leftFromText="142" w:rightFromText="142" w:topFromText="0" w:bottomFromText="0" w:vertAnchor="text" w:horzAnchor="text" w:tblpX="416" w:tblpY="490"/>
        <w:tblW w:w="0" w:type="auto"/>
        <w:tblLayout w:type="fixed"/>
        <w:tblLook w:firstRow="1" w:lastRow="0" w:firstColumn="1" w:lastColumn="0" w:noHBand="0" w:noVBand="1" w:val="04A0"/>
      </w:tblPr>
      <w:tblGrid>
        <w:gridCol w:w="1470"/>
        <w:gridCol w:w="1260"/>
        <w:gridCol w:w="1260"/>
        <w:gridCol w:w="1260"/>
        <w:gridCol w:w="1260"/>
        <w:gridCol w:w="1628"/>
      </w:tblGrid>
      <w:tr>
        <w:trPr/>
        <w:tc>
          <w:tcPr>
            <w:tcW w:w="1470" w:type="dxa"/>
            <w:shd w:val="clear" w:color="auto" w:fill="DAEEF3"/>
            <w:vAlign w:val="top"/>
          </w:tcPr>
          <w:p>
            <w:pPr>
              <w:pStyle w:val="0"/>
              <w:rPr>
                <w:rFonts w:hint="eastAsia" w:ascii="ＭＳ 明朝" w:hAnsi="ＭＳ 明朝" w:eastAsia="ＭＳ 明朝"/>
                <w:b w:val="0"/>
                <w:color w:val="auto"/>
                <w:sz w:val="20"/>
                <w:highlight w:val="none"/>
              </w:rPr>
            </w:pPr>
          </w:p>
        </w:tc>
        <w:tc>
          <w:tcPr>
            <w:tcW w:w="126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R</w:t>
            </w:r>
            <w:r>
              <w:rPr>
                <w:rFonts w:hint="eastAsia" w:ascii="ＭＳ 明朝" w:hAnsi="ＭＳ 明朝" w:eastAsia="ＭＳ 明朝"/>
                <w:b w:val="0"/>
                <w:color w:val="auto"/>
                <w:sz w:val="20"/>
                <w:highlight w:val="none"/>
              </w:rPr>
              <w:t>元年度</w:t>
            </w:r>
          </w:p>
        </w:tc>
        <w:tc>
          <w:tcPr>
            <w:tcW w:w="126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R2</w:t>
            </w:r>
            <w:r>
              <w:rPr>
                <w:rFonts w:hint="eastAsia" w:ascii="ＭＳ 明朝" w:hAnsi="ＭＳ 明朝" w:eastAsia="ＭＳ 明朝"/>
                <w:b w:val="0"/>
                <w:color w:val="auto"/>
                <w:sz w:val="20"/>
                <w:highlight w:val="none"/>
              </w:rPr>
              <w:t>年度</w:t>
            </w:r>
          </w:p>
        </w:tc>
        <w:tc>
          <w:tcPr>
            <w:tcW w:w="126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R3</w:t>
            </w:r>
            <w:r>
              <w:rPr>
                <w:rFonts w:hint="eastAsia" w:ascii="ＭＳ 明朝" w:hAnsi="ＭＳ 明朝" w:eastAsia="ＭＳ 明朝"/>
                <w:b w:val="0"/>
                <w:color w:val="auto"/>
                <w:sz w:val="20"/>
                <w:highlight w:val="none"/>
              </w:rPr>
              <w:t>年度</w:t>
            </w:r>
          </w:p>
        </w:tc>
        <w:tc>
          <w:tcPr>
            <w:tcW w:w="126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R4</w:t>
            </w:r>
            <w:r>
              <w:rPr>
                <w:rFonts w:hint="eastAsia" w:ascii="ＭＳ 明朝" w:hAnsi="ＭＳ 明朝" w:eastAsia="ＭＳ 明朝"/>
                <w:b w:val="0"/>
                <w:color w:val="auto"/>
                <w:sz w:val="20"/>
                <w:highlight w:val="none"/>
              </w:rPr>
              <w:t>年度</w:t>
            </w:r>
          </w:p>
        </w:tc>
        <w:tc>
          <w:tcPr>
            <w:tcW w:w="1628"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R1</w:t>
            </w:r>
            <w:r>
              <w:rPr>
                <w:rFonts w:hint="eastAsia" w:ascii="ＭＳ 明朝" w:hAnsi="ＭＳ 明朝" w:eastAsia="ＭＳ 明朝"/>
                <w:b w:val="0"/>
                <w:color w:val="auto"/>
                <w:sz w:val="20"/>
                <w:highlight w:val="none"/>
              </w:rPr>
              <w:t>～</w:t>
            </w:r>
            <w:r>
              <w:rPr>
                <w:rFonts w:hint="eastAsia" w:ascii="ＭＳ 明朝" w:hAnsi="ＭＳ 明朝" w:eastAsia="ＭＳ 明朝"/>
                <w:b w:val="0"/>
                <w:color w:val="auto"/>
                <w:sz w:val="20"/>
                <w:highlight w:val="none"/>
              </w:rPr>
              <w:t>4</w:t>
            </w:r>
            <w:r>
              <w:rPr>
                <w:rFonts w:hint="eastAsia" w:ascii="ＭＳ 明朝" w:hAnsi="ＭＳ 明朝" w:eastAsia="ＭＳ 明朝"/>
                <w:b w:val="0"/>
                <w:color w:val="auto"/>
                <w:sz w:val="20"/>
                <w:highlight w:val="none"/>
              </w:rPr>
              <w:t>中央値</w:t>
            </w:r>
          </w:p>
        </w:tc>
      </w:tr>
      <w:tr>
        <w:trPr/>
        <w:tc>
          <w:tcPr>
            <w:tcW w:w="147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65</w:t>
            </w:r>
            <w:r>
              <w:rPr>
                <w:rFonts w:hint="eastAsia" w:ascii="ＭＳ 明朝" w:hAnsi="ＭＳ 明朝" w:eastAsia="ＭＳ 明朝"/>
                <w:b w:val="0"/>
                <w:color w:val="auto"/>
                <w:sz w:val="20"/>
                <w:highlight w:val="none"/>
              </w:rPr>
              <w:t>歳未満</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90.3</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93.9</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75</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93.8</w:t>
            </w:r>
          </w:p>
        </w:tc>
        <w:tc>
          <w:tcPr>
            <w:tcW w:w="1628"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92.05</w:t>
            </w:r>
          </w:p>
        </w:tc>
      </w:tr>
      <w:tr>
        <w:trPr/>
        <w:tc>
          <w:tcPr>
            <w:tcW w:w="147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65</w:t>
            </w:r>
            <w:r>
              <w:rPr>
                <w:rFonts w:hint="eastAsia" w:ascii="ＭＳ 明朝" w:hAnsi="ＭＳ 明朝" w:eastAsia="ＭＳ 明朝"/>
                <w:b w:val="0"/>
                <w:color w:val="auto"/>
                <w:sz w:val="20"/>
                <w:highlight w:val="none"/>
              </w:rPr>
              <w:t>～</w:t>
            </w:r>
            <w:r>
              <w:rPr>
                <w:rFonts w:hint="eastAsia" w:ascii="ＭＳ 明朝" w:hAnsi="ＭＳ 明朝" w:eastAsia="ＭＳ 明朝"/>
                <w:b w:val="0"/>
                <w:color w:val="auto"/>
                <w:sz w:val="20"/>
                <w:highlight w:val="none"/>
              </w:rPr>
              <w:t>74</w:t>
            </w:r>
            <w:r>
              <w:rPr>
                <w:rFonts w:hint="eastAsia" w:ascii="ＭＳ 明朝" w:hAnsi="ＭＳ 明朝" w:eastAsia="ＭＳ 明朝"/>
                <w:b w:val="0"/>
                <w:color w:val="auto"/>
                <w:sz w:val="20"/>
                <w:highlight w:val="none"/>
              </w:rPr>
              <w:t>歳</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85.8</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85.1</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79.1</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84</w:t>
            </w:r>
          </w:p>
        </w:tc>
        <w:tc>
          <w:tcPr>
            <w:tcW w:w="1628"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84.55</w:t>
            </w:r>
          </w:p>
        </w:tc>
      </w:tr>
      <w:tr>
        <w:trPr/>
        <w:tc>
          <w:tcPr>
            <w:tcW w:w="147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75</w:t>
            </w:r>
            <w:r>
              <w:rPr>
                <w:rFonts w:hint="eastAsia" w:ascii="ＭＳ 明朝" w:hAnsi="ＭＳ 明朝" w:eastAsia="ＭＳ 明朝"/>
                <w:b w:val="0"/>
                <w:color w:val="auto"/>
                <w:sz w:val="20"/>
                <w:highlight w:val="none"/>
              </w:rPr>
              <w:t>歳以上</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72.6</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72.8</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68.4</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72.4</w:t>
            </w:r>
          </w:p>
        </w:tc>
        <w:tc>
          <w:tcPr>
            <w:tcW w:w="1628"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72.5</w:t>
            </w:r>
          </w:p>
        </w:tc>
      </w:tr>
      <w:tr>
        <w:trPr/>
        <w:tc>
          <w:tcPr>
            <w:tcW w:w="1470" w:type="dxa"/>
            <w:shd w:val="clear" w:color="auto" w:fill="DAEEF3"/>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全年齢</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78.2</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79.2</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71</w:t>
            </w:r>
          </w:p>
        </w:tc>
        <w:tc>
          <w:tcPr>
            <w:tcW w:w="1260"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77.2</w:t>
            </w:r>
          </w:p>
        </w:tc>
        <w:tc>
          <w:tcPr>
            <w:tcW w:w="1628" w:type="dxa"/>
            <w:vAlign w:val="center"/>
          </w:tcPr>
          <w:p>
            <w:pPr>
              <w:pStyle w:val="0"/>
              <w:jc w:val="center"/>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77.7</w:t>
            </w:r>
          </w:p>
        </w:tc>
      </w:tr>
    </w:tbl>
    <w:p>
      <w:pPr>
        <w:pStyle w:val="0"/>
        <w:ind w:left="210" w:leftChars="100" w:firstLine="210" w:firstLineChars="100"/>
        <w:rPr>
          <w:rFonts w:hint="eastAsia" w:ascii="ＭＳ 明朝" w:hAnsi="ＭＳ 明朝" w:eastAsia="ＭＳ 明朝"/>
          <w:b w:val="0"/>
          <w:color w:val="auto"/>
          <w:highlight w:val="none"/>
        </w:rPr>
      </w:pPr>
      <w:r>
        <w:rPr>
          <w:rFonts w:hint="eastAsia"/>
          <w:highlight w:val="none"/>
        </w:rPr>
        <mc:AlternateContent>
          <mc:Choice Requires="wps">
            <w:drawing>
              <wp:anchor simplePos="0" relativeHeight="12" behindDoc="0" locked="0" layoutInCell="1" hidden="0" allowOverlap="1">
                <wp:simplePos x="0" y="0"/>
                <wp:positionH relativeFrom="page">
                  <wp:posOffset>863600</wp:posOffset>
                </wp:positionH>
                <wp:positionV relativeFrom="page">
                  <wp:posOffset>913765</wp:posOffset>
                </wp:positionV>
                <wp:extent cx="5835015" cy="271145"/>
                <wp:effectExtent l="0" t="0" r="635" b="635"/>
                <wp:wrapNone/>
                <wp:docPr id="1151" name="テキスト ボックス 2"/>
                <a:graphic xmlns:a="http://schemas.openxmlformats.org/drawingml/2006/main">
                  <a:graphicData uri="http://schemas.microsoft.com/office/word/2010/wordprocessingShape">
                    <wps:wsp>
                      <wps:cNvPr id="1151" name="テキスト ボックス 2"/>
                      <wps:cNvSpPr txBox="1">
                        <a:spLocks noChangeArrowheads="1"/>
                      </wps:cNvSpPr>
                      <wps:spPr>
                        <a:xfrm>
                          <a:off x="0" y="0"/>
                          <a:ext cx="5835015" cy="271145"/>
                        </a:xfrm>
                        <a:prstGeom prst="rect">
                          <a:avLst/>
                        </a:prstGeom>
                        <a:noFill/>
                        <a:ln w="9525">
                          <a:noFill/>
                          <a:miter lim="800000"/>
                          <a:headEnd/>
                          <a:tailEnd/>
                        </a:ln>
                      </wps:spPr>
                      <wps:txbx>
                        <w:txbxContent>
                          <w:p>
                            <w:pPr>
                              <w:pStyle w:val="0"/>
                              <w:spacing w:line="220" w:lineRule="exact"/>
                              <w:ind w:leftChars="0" w:hanging="1031" w:hangingChars="491"/>
                              <w:jc w:val="center"/>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6-2-34</w:t>
                            </w:r>
                            <w:r>
                              <w:rPr>
                                <w:rFonts w:hint="eastAsia" w:ascii="ＭＳ ゴシック" w:hAnsi="ＭＳ ゴシック" w:eastAsia="ＭＳ ゴシック"/>
                                <w:color w:val="auto"/>
                                <w:sz w:val="22"/>
                                <w:u w:val="none" w:color="auto"/>
                              </w:rPr>
                              <w:t>）脳卒中患者における回復期リハビリテーション病棟からの在宅復帰率</w:t>
                            </w:r>
                          </w:p>
                        </w:txbxContent>
                      </wps:txbx>
                      <wps:bodyPr vertOverflow="overflow" horzOverflow="overflow" wrap="square"/>
                    </wps:wsp>
                  </a:graphicData>
                </a:graphic>
              </wp:anchor>
            </w:drawing>
          </mc:Choice>
          <mc:Fallback>
            <w:pict>
              <v:shapetype id="_x0000_t202" coordsize="21600,21600" o:spt="202" path="m,l,21600r21600,l21600,xe">
                <v:stroke joinstyle="miter"/>
                <v:path gradientshapeok="t" o:connecttype="rect"/>
              </v:shapetype>
              <v:shape id="テキスト ボックス 2" style="margin-top:71.95pt;mso-position-vertical-relative:page;mso-position-horizontal-relative:page;position:absolute;height:21.35pt;width:459.45pt;margin-left:68pt;z-index:12;" o:spid="_x0000_s1151" o:allowincell="t" o:allowoverlap="t" filled="f" stroked="f" strokeweight="0.75pt" o:spt="202" type="#_x0000_t202">
                <v:fill/>
                <v:stroke miterlimit="8"/>
                <v:textbox style="layout-flow:horizontal;">
                  <w:txbxContent>
                    <w:p>
                      <w:pPr>
                        <w:pStyle w:val="0"/>
                        <w:spacing w:line="220" w:lineRule="exact"/>
                        <w:ind w:leftChars="0" w:hanging="1031" w:hangingChars="491"/>
                        <w:jc w:val="center"/>
                        <w:rPr>
                          <w:rFonts w:hint="eastAsia" w:ascii="ＭＳ ゴシック" w:hAnsi="ＭＳ ゴシック" w:eastAsia="ＭＳ ゴシック"/>
                          <w:color w:val="auto"/>
                          <w:sz w:val="22"/>
                          <w:u w:val="none" w:color="auto"/>
                        </w:rPr>
                      </w:pPr>
                      <w:r>
                        <w:rPr>
                          <w:rFonts w:hint="eastAsia" w:ascii="ＭＳ ゴシック" w:hAnsi="ＭＳ ゴシック" w:eastAsia="ＭＳ ゴシック"/>
                          <w:color w:val="auto"/>
                          <w:sz w:val="22"/>
                          <w:u w:val="none" w:color="auto"/>
                        </w:rPr>
                        <w:t>（図表</w:t>
                      </w:r>
                      <w:r>
                        <w:rPr>
                          <w:rFonts w:hint="eastAsia" w:ascii="ＭＳ ゴシック" w:hAnsi="ＭＳ ゴシック" w:eastAsia="ＭＳ ゴシック"/>
                          <w:color w:val="auto"/>
                          <w:sz w:val="22"/>
                          <w:u w:val="none" w:color="auto"/>
                        </w:rPr>
                        <w:t>6-2-34</w:t>
                      </w:r>
                      <w:r>
                        <w:rPr>
                          <w:rFonts w:hint="eastAsia" w:ascii="ＭＳ ゴシック" w:hAnsi="ＭＳ ゴシック" w:eastAsia="ＭＳ ゴシック"/>
                          <w:color w:val="auto"/>
                          <w:sz w:val="22"/>
                          <w:u w:val="none" w:color="auto"/>
                        </w:rPr>
                        <w:t>）脳卒中患者における回復期リハビリテーション病棟からの在宅復帰率</w:t>
                      </w:r>
                    </w:p>
                  </w:txbxContent>
                </v:textbox>
                <v:imagedata o:title=""/>
                <w10:wrap type="none" anchorx="page" anchory="page"/>
              </v:shape>
            </w:pict>
          </mc:Fallback>
        </mc:AlternateContent>
      </w: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p>
    <w:p>
      <w:pPr>
        <w:pStyle w:val="0"/>
        <w:ind w:left="210" w:leftChars="100" w:firstLine="210" w:firstLineChars="100"/>
        <w:rPr>
          <w:rFonts w:hint="eastAsia" w:ascii="ＭＳ 明朝" w:hAnsi="ＭＳ 明朝" w:eastAsia="ＭＳ 明朝"/>
          <w:b w:val="0"/>
          <w:color w:val="auto"/>
          <w:highlight w:val="none"/>
        </w:rPr>
      </w:pPr>
      <w:r>
        <w:rPr>
          <w:rFonts w:hint="eastAsia"/>
          <w:highlight w:val="none"/>
        </w:rPr>
        <mc:AlternateContent>
          <mc:Choice Requires="wps">
            <w:drawing>
              <wp:anchor simplePos="0" relativeHeight="13" behindDoc="0" locked="0" layoutInCell="1" hidden="0" allowOverlap="1">
                <wp:simplePos x="0" y="0"/>
                <wp:positionH relativeFrom="column">
                  <wp:posOffset>1734185</wp:posOffset>
                </wp:positionH>
                <wp:positionV relativeFrom="paragraph">
                  <wp:posOffset>151765</wp:posOffset>
                </wp:positionV>
                <wp:extent cx="4016375" cy="335280"/>
                <wp:effectExtent l="0" t="0" r="635" b="635"/>
                <wp:wrapNone/>
                <wp:docPr id="1152" name="オブジェクト 0"/>
                <a:graphic xmlns:a="http://schemas.openxmlformats.org/drawingml/2006/main">
                  <a:graphicData uri="http://schemas.microsoft.com/office/word/2010/wordprocessingShape">
                    <wps:wsp>
                      <wps:cNvPr id="1152" name="オブジェクト 0"/>
                      <wps:cNvSpPr txBox="1">
                        <a:spLocks noChangeArrowheads="1"/>
                      </wps:cNvSpPr>
                      <wps:spPr>
                        <a:xfrm>
                          <a:off x="0" y="0"/>
                          <a:ext cx="4016375" cy="335280"/>
                        </a:xfrm>
                        <a:prstGeom prst="rect">
                          <a:avLst/>
                        </a:prstGeom>
                        <a:noFill/>
                        <a:ln>
                          <a:miter/>
                        </a:ln>
                      </wps:spPr>
                      <wps:txbx>
                        <w:txbxContent>
                          <w:p>
                            <w:pPr>
                              <w:pStyle w:val="0"/>
                              <w:spacing w:line="240" w:lineRule="exact"/>
                              <w:jc w:val="right"/>
                              <w:rPr>
                                <w:rFonts w:hint="default"/>
                                <w:color w:val="auto"/>
                                <w:sz w:val="16"/>
                              </w:rPr>
                            </w:pPr>
                            <w:r>
                              <w:rPr>
                                <w:rFonts w:hint="eastAsia"/>
                                <w:color w:val="auto"/>
                                <w:sz w:val="16"/>
                              </w:rPr>
                              <w:t>※</w:t>
                            </w:r>
                            <w:r>
                              <w:rPr>
                                <w:rFonts w:hint="eastAsia"/>
                                <w:color w:val="auto"/>
                                <w:sz w:val="16"/>
                              </w:rPr>
                              <w:t xml:space="preserve"> </w:t>
                            </w:r>
                            <w:r>
                              <w:rPr>
                                <w:rFonts w:hint="eastAsia"/>
                                <w:color w:val="auto"/>
                                <w:sz w:val="16"/>
                              </w:rPr>
                              <w:t>急性期転院を除いた数値、「在宅」には介護医療院、居住系の施設を含む</w:t>
                            </w:r>
                          </w:p>
                          <w:p>
                            <w:pPr>
                              <w:pStyle w:val="0"/>
                              <w:spacing w:line="240" w:lineRule="exact"/>
                              <w:jc w:val="right"/>
                              <w:rPr>
                                <w:rFonts w:hint="default"/>
                                <w:color w:val="auto"/>
                                <w:sz w:val="16"/>
                              </w:rPr>
                            </w:pPr>
                            <w:r>
                              <w:rPr>
                                <w:rFonts w:hint="eastAsia"/>
                                <w:color w:val="auto"/>
                                <w:sz w:val="16"/>
                              </w:rPr>
                              <w:t>出典：回復期データベース実行委員会「回復期アウトカム調査」</w:t>
                            </w:r>
                          </w:p>
                        </w:txbxContent>
                      </wps:txbx>
                      <wps:bodyPr vertOverflow="overflow" horzOverflow="overflow" wrap="square" lIns="74295" tIns="8890" rIns="74295" bIns="8890" upright="1"/>
                    </wps:wsp>
                  </a:graphicData>
                </a:graphic>
              </wp:anchor>
            </w:drawing>
          </mc:Choice>
          <mc:Fallback>
            <w:pict>
              <v:shapetype id="_x0000_t202" coordsize="21600,21600" o:spt="202" path="m,l,21600r21600,l21600,xe">
                <v:stroke joinstyle="miter"/>
                <v:path gradientshapeok="t" o:connecttype="rect"/>
              </v:shapetype>
              <v:shape id="オブジェクト 0" style="margin-top:11.95pt;mso-position-vertical-relative:text;mso-position-horizontal-relative:text;position:absolute;height:26.4pt;width:316.25pt;margin-left:136.55000000000001pt;z-index:13;" o:spid="_x0000_s1152" o:allowincell="t" o:allowoverlap="t" filled="f" stroked="f" o:spt="202" type="#_x0000_t202">
                <v:fill/>
                <v:textbox style="layout-flow:horizontal;" inset="2.0637499999999998mm,0.24694444444444438mm,2.0637499999999998mm,0.24694444444444438mm">
                  <w:txbxContent>
                    <w:p>
                      <w:pPr>
                        <w:pStyle w:val="0"/>
                        <w:spacing w:line="240" w:lineRule="exact"/>
                        <w:jc w:val="right"/>
                        <w:rPr>
                          <w:rFonts w:hint="default"/>
                          <w:color w:val="auto"/>
                          <w:sz w:val="16"/>
                        </w:rPr>
                      </w:pPr>
                      <w:r>
                        <w:rPr>
                          <w:rFonts w:hint="eastAsia"/>
                          <w:color w:val="auto"/>
                          <w:sz w:val="16"/>
                        </w:rPr>
                        <w:t>※</w:t>
                      </w:r>
                      <w:r>
                        <w:rPr>
                          <w:rFonts w:hint="eastAsia"/>
                          <w:color w:val="auto"/>
                          <w:sz w:val="16"/>
                        </w:rPr>
                        <w:t xml:space="preserve"> </w:t>
                      </w:r>
                      <w:r>
                        <w:rPr>
                          <w:rFonts w:hint="eastAsia"/>
                          <w:color w:val="auto"/>
                          <w:sz w:val="16"/>
                        </w:rPr>
                        <w:t>急性期転院を除いた数値、「在宅」には介護医療院、居住系の施設を含む</w:t>
                      </w:r>
                    </w:p>
                    <w:p>
                      <w:pPr>
                        <w:pStyle w:val="0"/>
                        <w:spacing w:line="240" w:lineRule="exact"/>
                        <w:jc w:val="right"/>
                        <w:rPr>
                          <w:rFonts w:hint="default"/>
                          <w:color w:val="auto"/>
                          <w:sz w:val="16"/>
                        </w:rPr>
                      </w:pPr>
                      <w:r>
                        <w:rPr>
                          <w:rFonts w:hint="eastAsia"/>
                          <w:color w:val="auto"/>
                          <w:sz w:val="16"/>
                        </w:rPr>
                        <w:t>出典：回復期データベース実行委員会「回復期アウトカム調査」</w:t>
                      </w:r>
                    </w:p>
                  </w:txbxContent>
                </v:textbox>
                <v:imagedata o:title=""/>
                <w10:wrap type="none" anchorx="text" anchory="text"/>
              </v:shape>
            </w:pict>
          </mc:Fallback>
        </mc:AlternateContent>
      </w:r>
    </w:p>
    <w:p>
      <w:pPr>
        <w:pStyle w:val="0"/>
        <w:ind w:left="210" w:leftChars="100" w:firstLine="210" w:firstLineChars="100"/>
        <w:rPr>
          <w:rFonts w:hint="eastAsia" w:ascii="ＭＳ 明朝" w:hAnsi="ＭＳ 明朝" w:eastAsia="ＭＳ 明朝"/>
          <w:color w:val="auto"/>
          <w:sz w:val="21"/>
          <w:highlight w:val="none"/>
          <w:u w:val="none" w:color="auto"/>
        </w:rPr>
      </w:pPr>
    </w:p>
    <w:p>
      <w:pPr>
        <w:pStyle w:val="0"/>
        <w:ind w:left="210" w:leftChars="100" w:firstLine="210" w:firstLineChars="100"/>
        <w:rPr>
          <w:rFonts w:hint="eastAsia" w:ascii="ＭＳ 明朝" w:hAnsi="ＭＳ 明朝" w:eastAsia="ＭＳ 明朝"/>
          <w:color w:val="auto"/>
          <w:sz w:val="21"/>
          <w:highlight w:val="none"/>
          <w:u w:val="none" w:color="auto"/>
        </w:rPr>
      </w:pPr>
    </w:p>
    <w:p>
      <w:pPr>
        <w:pStyle w:val="0"/>
        <w:ind w:left="210" w:leftChars="100" w:firstLine="210"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color w:val="auto"/>
          <w:sz w:val="22"/>
          <w:highlight w:val="none"/>
        </w:rPr>
        <w:t>維持期には、脳卒中の再発予防や合併症予防が重要となります。高知県脳卒中患者実態調査によると、約</w:t>
      </w:r>
      <w:r>
        <w:rPr>
          <w:rFonts w:hint="eastAsia" w:ascii="ＭＳ 明朝" w:hAnsi="ＭＳ 明朝" w:eastAsia="ＭＳ 明朝"/>
          <w:b w:val="0"/>
          <w:color w:val="auto"/>
          <w:sz w:val="22"/>
          <w:highlight w:val="none"/>
        </w:rPr>
        <w:t>30</w:t>
      </w:r>
      <w:r>
        <w:rPr>
          <w:rFonts w:hint="eastAsia" w:ascii="ＭＳ 明朝" w:hAnsi="ＭＳ 明朝" w:eastAsia="ＭＳ 明朝"/>
          <w:b w:val="0"/>
          <w:color w:val="auto"/>
          <w:sz w:val="22"/>
          <w:highlight w:val="none"/>
        </w:rPr>
        <w:t>％は再発患者であり（図表</w:t>
      </w:r>
      <w:r>
        <w:rPr>
          <w:rFonts w:hint="eastAsia" w:ascii="ＭＳ 明朝" w:hAnsi="ＭＳ 明朝" w:eastAsia="ＭＳ 明朝"/>
          <w:color w:val="auto"/>
          <w:sz w:val="22"/>
          <w:highlight w:val="none"/>
          <w:u w:val="none" w:color="auto"/>
        </w:rPr>
        <w:t>6-2-12</w:t>
      </w:r>
      <w:r>
        <w:rPr>
          <w:rFonts w:hint="eastAsia" w:ascii="ＭＳ 明朝" w:hAnsi="ＭＳ 明朝" w:eastAsia="ＭＳ 明朝"/>
          <w:b w:val="0"/>
          <w:color w:val="auto"/>
          <w:sz w:val="22"/>
          <w:highlight w:val="none"/>
        </w:rPr>
        <w:t>）、在宅等に復帰してからも適切に服薬を継続すること等により再発予防に取り組む必要があります。</w:t>
      </w:r>
    </w:p>
    <w:p>
      <w:pPr>
        <w:pStyle w:val="0"/>
        <w:ind w:left="210" w:leftChars="100" w:firstLine="210"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shd w:val="clear" w:color="auto" w:fill="auto"/>
        </w:rPr>
        <w:t>また、訪問リハビリテーションや介護老人保健施設等の施設によるリハビリテーションを組み合わせたり、</w:t>
      </w:r>
      <w:r>
        <w:rPr>
          <w:rFonts w:hint="eastAsia" w:ascii="ＭＳ 明朝" w:hAnsi="ＭＳ 明朝" w:eastAsia="ＭＳ 明朝"/>
          <w:b w:val="0"/>
          <w:color w:val="auto"/>
          <w:sz w:val="22"/>
          <w:highlight w:val="none"/>
          <w:u w:val="none" w:color="auto"/>
          <w:shd w:val="clear" w:color="auto" w:fill="auto"/>
        </w:rPr>
        <w:t>歯科医師と連携した誤嚥性肺炎予防を行う等、</w:t>
      </w:r>
      <w:r>
        <w:rPr>
          <w:rFonts w:hint="eastAsia" w:ascii="ＭＳ 明朝" w:hAnsi="ＭＳ 明朝" w:eastAsia="ＭＳ 明朝"/>
          <w:color w:val="auto"/>
          <w:sz w:val="22"/>
          <w:highlight w:val="none"/>
          <w:u w:val="none" w:color="auto"/>
          <w:shd w:val="clear" w:color="auto" w:fill="auto"/>
        </w:rPr>
        <w:t>療養を支える医療及び介護従事者の多職種連携による重症化予防及び合併症予防対策が必要です。</w:t>
      </w:r>
    </w:p>
    <w:p>
      <w:pPr>
        <w:pStyle w:val="0"/>
        <w:ind w:left="217" w:leftChars="100" w:firstLine="0" w:firstLineChars="0"/>
        <w:rPr>
          <w:rFonts w:hint="eastAsia" w:ascii="ＭＳ 明朝" w:hAnsi="ＭＳ 明朝" w:eastAsia="ＭＳ 明朝"/>
          <w:color w:val="auto"/>
          <w:sz w:val="22"/>
          <w:highlight w:val="none"/>
          <w:u w:val="none" w:color="auto"/>
        </w:rPr>
      </w:pPr>
    </w:p>
    <w:p>
      <w:pPr>
        <w:pStyle w:val="0"/>
        <w:ind w:leftChars="0" w:firstLineChars="0"/>
        <w:rPr>
          <w:rFonts w:hint="eastAsia"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６　包括的な支援体制の整備</w:t>
      </w:r>
    </w:p>
    <w:p>
      <w:pPr>
        <w:pStyle w:val="0"/>
        <w:ind w:left="210" w:leftChars="100" w:firstLine="210" w:firstLineChars="100"/>
        <w:rPr>
          <w:rFonts w:hint="eastAsia" w:ascii="ＭＳ 明朝" w:hAnsi="ＭＳ 明朝" w:eastAsia="ＭＳ 明朝"/>
          <w:strike w:val="0"/>
          <w:dstrike w:val="0"/>
          <w:color w:val="auto"/>
          <w:sz w:val="24"/>
          <w:highlight w:val="none"/>
          <w:u w:val="none" w:color="auto"/>
        </w:rPr>
      </w:pPr>
      <w:r>
        <w:rPr>
          <w:rFonts w:hint="eastAsia" w:ascii="ＭＳ 明朝" w:hAnsi="ＭＳ 明朝" w:eastAsia="ＭＳ 明朝"/>
          <w:strike w:val="0"/>
          <w:dstrike w:val="0"/>
          <w:color w:val="auto"/>
          <w:sz w:val="22"/>
          <w:highlight w:val="none"/>
          <w:u w:val="none" w:color="auto"/>
        </w:rPr>
        <w:t>脳卒中患者は、再発・合併症への不安や後遺症による日常生活の活動度の低下など、診療や生活における疑問、心理社会的・経済的な悩み等、多様なニーズを抱えています。</w:t>
      </w:r>
    </w:p>
    <w:p>
      <w:pPr>
        <w:pStyle w:val="0"/>
        <w:ind w:left="210" w:leftChars="100" w:firstLine="210" w:firstLineChars="100"/>
        <w:rPr>
          <w:rFonts w:hint="eastAsia" w:ascii="ＭＳ 明朝" w:hAnsi="ＭＳ 明朝" w:eastAsia="ＭＳ 明朝"/>
          <w:strike w:val="0"/>
          <w:dstrike w:val="0"/>
          <w:color w:val="auto"/>
          <w:sz w:val="24"/>
          <w:highlight w:val="none"/>
          <w:u w:val="none" w:color="auto"/>
        </w:rPr>
      </w:pPr>
      <w:r>
        <w:rPr>
          <w:rFonts w:hint="eastAsia" w:ascii="ＭＳ 明朝" w:hAnsi="ＭＳ 明朝" w:eastAsia="ＭＳ 明朝"/>
          <w:strike w:val="0"/>
          <w:dstrike w:val="0"/>
          <w:color w:val="auto"/>
          <w:sz w:val="22"/>
          <w:highlight w:val="none"/>
          <w:u w:val="none" w:color="auto"/>
        </w:rPr>
        <w:t>こうした脳卒中患者のニーズに対応する専門窓口の設置が進んでいます。</w:t>
      </w:r>
      <w:r>
        <w:rPr>
          <w:rFonts w:hint="eastAsia" w:ascii="ＭＳ 明朝" w:hAnsi="ＭＳ 明朝" w:eastAsia="ＭＳ 明朝"/>
          <w:b w:val="0"/>
          <w:color w:val="auto"/>
          <w:sz w:val="22"/>
          <w:highlight w:val="none"/>
          <w:u w:val="none" w:color="auto"/>
        </w:rPr>
        <w:t>（一社）日本脳卒中学会は、県内２医療機関（令和５年</w:t>
      </w:r>
      <w:r>
        <w:rPr>
          <w:rFonts w:hint="eastAsia" w:ascii="ＭＳ 明朝" w:hAnsi="ＭＳ 明朝" w:eastAsia="ＭＳ 明朝"/>
          <w:b w:val="0"/>
          <w:color w:val="auto"/>
          <w:sz w:val="22"/>
          <w:highlight w:val="none"/>
          <w:u w:val="none" w:color="auto"/>
        </w:rPr>
        <w:t>10</w:t>
      </w:r>
      <w:r>
        <w:rPr>
          <w:rFonts w:hint="eastAsia" w:ascii="ＭＳ 明朝" w:hAnsi="ＭＳ 明朝" w:eastAsia="ＭＳ 明朝"/>
          <w:b w:val="0"/>
          <w:color w:val="auto"/>
          <w:sz w:val="22"/>
          <w:highlight w:val="none"/>
          <w:u w:val="none" w:color="auto"/>
        </w:rPr>
        <w:t>月現在）を「一次脳卒中センター（ＰＳＣ）コア」施設に認定しており、当該施設では、脳卒中相談窓口が設置されています。</w:t>
      </w:r>
    </w:p>
    <w:p>
      <w:pPr>
        <w:pStyle w:val="0"/>
        <w:ind w:left="210" w:leftChars="100" w:firstLine="210" w:firstLineChars="100"/>
        <w:rPr>
          <w:rFonts w:hint="eastAsia" w:ascii="ＭＳ 明朝" w:hAnsi="ＭＳ 明朝" w:eastAsia="ＭＳ 明朝"/>
          <w:strike w:val="0"/>
          <w:dstrike w:val="0"/>
          <w:color w:val="FF0000"/>
          <w:sz w:val="24"/>
          <w:highlight w:val="none"/>
          <w:u w:val="single" w:color="auto"/>
        </w:rPr>
      </w:pPr>
      <w:r>
        <w:rPr>
          <w:rFonts w:hint="eastAsia" w:ascii="ＭＳ 明朝" w:hAnsi="ＭＳ 明朝" w:eastAsia="ＭＳ 明朝"/>
          <w:b w:val="0"/>
          <w:color w:val="auto"/>
          <w:sz w:val="22"/>
          <w:highlight w:val="none"/>
          <w:u w:val="none" w:color="auto"/>
        </w:rPr>
        <w:t>また、平成</w:t>
      </w:r>
      <w:r>
        <w:rPr>
          <w:rFonts w:hint="eastAsia" w:ascii="ＭＳ 明朝" w:hAnsi="ＭＳ 明朝" w:eastAsia="ＭＳ 明朝"/>
          <w:b w:val="0"/>
          <w:color w:val="auto"/>
          <w:sz w:val="22"/>
          <w:highlight w:val="none"/>
          <w:u w:val="none" w:color="auto"/>
        </w:rPr>
        <w:t>30</w:t>
      </w:r>
      <w:r>
        <w:rPr>
          <w:rFonts w:hint="eastAsia" w:ascii="ＭＳ 明朝" w:hAnsi="ＭＳ 明朝" w:eastAsia="ＭＳ 明朝"/>
          <w:b w:val="0"/>
          <w:color w:val="auto"/>
          <w:sz w:val="22"/>
          <w:highlight w:val="none"/>
          <w:u w:val="none" w:color="auto"/>
        </w:rPr>
        <w:t>年</w:t>
      </w:r>
      <w:r>
        <w:rPr>
          <w:rFonts w:hint="eastAsia" w:ascii="ＭＳ 明朝" w:hAnsi="ＭＳ 明朝" w:eastAsia="ＭＳ 明朝"/>
          <w:b w:val="0"/>
          <w:color w:val="auto"/>
          <w:sz w:val="22"/>
          <w:highlight w:val="none"/>
          <w:u w:val="none" w:color="auto"/>
        </w:rPr>
        <w:t>12</w:t>
      </w:r>
      <w:r>
        <w:rPr>
          <w:rFonts w:hint="eastAsia" w:ascii="ＭＳ 明朝" w:hAnsi="ＭＳ 明朝" w:eastAsia="ＭＳ 明朝"/>
          <w:b w:val="0"/>
          <w:color w:val="auto"/>
          <w:sz w:val="22"/>
          <w:highlight w:val="none"/>
          <w:u w:val="none" w:color="auto"/>
        </w:rPr>
        <w:t>月に成立した循環器病対策基本法</w:t>
      </w:r>
      <w:r>
        <w:rPr>
          <w:rFonts w:hint="eastAsia" w:ascii="ＭＳ 明朝" w:hAnsi="ＭＳ 明朝" w:eastAsia="ＭＳ 明朝"/>
          <w:b w:val="0"/>
          <w:color w:val="auto"/>
          <w:sz w:val="22"/>
          <w:highlight w:val="none"/>
          <w:u w:val="none" w:color="auto"/>
          <w:vertAlign w:val="superscript"/>
        </w:rPr>
        <w:t>（注８）</w:t>
      </w:r>
      <w:r>
        <w:rPr>
          <w:rFonts w:hint="eastAsia" w:ascii="ＭＳ 明朝" w:hAnsi="ＭＳ 明朝" w:eastAsia="ＭＳ 明朝"/>
          <w:b w:val="0"/>
          <w:color w:val="auto"/>
          <w:sz w:val="22"/>
          <w:highlight w:val="none"/>
          <w:u w:val="none" w:color="auto"/>
        </w:rPr>
        <w:t>第９条第１項に基づく「循環器病対策推進基本計画」の理念を踏まえ、本県においても令和４年３月に「高知県循環器病対策推進計画」を策定して、健康寿命の延伸と循環器病の年齢調整死亡率の減少を目指し、循環器病対策を総合的かつ計画的に推進しています。その中では、治療と仕事の両立支援に関することも含め、循環器病における適切な相談支援や必要な情報提供体制を整えるとともに、地域の病院、かかりつけ医、地域包括支援センター、介護事業者、訪問看護ステーション等との情報ネットワークを強化し、地域全体で患者支援体制の充実を図ることとしています。</w:t>
      </w:r>
    </w:p>
    <w:p>
      <w:pPr>
        <w:pStyle w:val="0"/>
        <w:tabs>
          <w:tab w:val="left" w:leader="none" w:pos="7704"/>
        </w:tabs>
        <w:spacing w:before="0" w:beforeLines="0" w:beforeAutospacing="0" w:line="240" w:lineRule="exact"/>
        <w:ind w:left="679" w:leftChars="77" w:hanging="512" w:hangingChars="307"/>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（注８）</w:t>
      </w:r>
      <w:r>
        <w:rPr>
          <w:rFonts w:hint="eastAsia" w:ascii="ＭＳ 明朝" w:hAnsi="ＭＳ 明朝" w:eastAsia="ＭＳ 明朝"/>
          <w:color w:val="auto"/>
          <w:sz w:val="16"/>
        </w:rPr>
        <w:t>循環器病対策基本法：</w:t>
      </w:r>
      <w:r>
        <w:rPr>
          <w:rFonts w:hint="eastAsia" w:ascii="ＭＳ 明朝" w:hAnsi="ＭＳ 明朝" w:eastAsia="ＭＳ 明朝"/>
          <w:color w:val="auto"/>
          <w:sz w:val="16"/>
          <w:highlight w:val="none"/>
        </w:rPr>
        <w:t>「健康寿命の延伸等を図るための脳卒中、心臓病その他の循環器病に係る対策に関する基本法（平成</w:t>
      </w:r>
      <w:r>
        <w:rPr>
          <w:rFonts w:hint="eastAsia" w:ascii="ＭＳ 明朝" w:hAnsi="ＭＳ 明朝" w:eastAsia="ＭＳ 明朝"/>
          <w:color w:val="auto"/>
          <w:sz w:val="16"/>
          <w:highlight w:val="none"/>
        </w:rPr>
        <w:t>30</w:t>
      </w:r>
      <w:r>
        <w:rPr>
          <w:rFonts w:hint="eastAsia" w:ascii="ＭＳ 明朝" w:hAnsi="ＭＳ 明朝" w:eastAsia="ＭＳ 明朝"/>
          <w:color w:val="auto"/>
          <w:sz w:val="16"/>
          <w:highlight w:val="none"/>
        </w:rPr>
        <w:t>年法律第</w:t>
      </w:r>
      <w:r>
        <w:rPr>
          <w:rFonts w:hint="eastAsia" w:ascii="ＭＳ 明朝" w:hAnsi="ＭＳ 明朝" w:eastAsia="ＭＳ 明朝"/>
          <w:color w:val="auto"/>
          <w:sz w:val="16"/>
          <w:highlight w:val="none"/>
        </w:rPr>
        <w:t>105</w:t>
      </w:r>
      <w:r>
        <w:rPr>
          <w:rFonts w:hint="eastAsia" w:ascii="ＭＳ 明朝" w:hAnsi="ＭＳ 明朝" w:eastAsia="ＭＳ 明朝"/>
          <w:color w:val="auto"/>
          <w:sz w:val="16"/>
          <w:highlight w:val="none"/>
        </w:rPr>
        <w:t>号）」。なお、「循環器病」とは、同法に基づき、脳卒中、心臓病その他の循環器病のことを言う。</w:t>
      </w:r>
    </w:p>
    <w:p>
      <w:pPr>
        <w:pStyle w:val="0"/>
        <w:tabs>
          <w:tab w:val="left" w:leader="none" w:pos="7704"/>
        </w:tabs>
        <w:spacing w:before="0" w:beforeLines="0" w:beforeAutospacing="0" w:line="240" w:lineRule="exact"/>
        <w:ind w:firstLine="187" w:firstLineChars="100"/>
        <w:rPr>
          <w:rFonts w:hint="eastAsia" w:ascii="ＭＳ 明朝" w:hAnsi="ＭＳ 明朝" w:eastAsia="ＭＳ 明朝"/>
          <w:color w:val="auto"/>
          <w:sz w:val="21"/>
          <w:highlight w:val="none"/>
        </w:rPr>
      </w:pPr>
    </w:p>
    <w:p>
      <w:pPr>
        <w:pStyle w:val="0"/>
        <w:rPr>
          <w:rFonts w:hint="eastAsia" w:ascii="ＭＳ 明朝" w:hAnsi="ＭＳ 明朝" w:eastAsia="ＭＳ 明朝"/>
          <w:b w:val="1"/>
          <w:color w:val="auto"/>
          <w:sz w:val="20"/>
          <w:highlight w:val="none"/>
        </w:rPr>
      </w:pPr>
      <w:r>
        <w:rPr>
          <w:rFonts w:hint="eastAsia" w:ascii="ＭＳ 明朝" w:hAnsi="ＭＳ 明朝" w:eastAsia="ＭＳ 明朝"/>
          <w:b w:val="1"/>
          <w:color w:val="auto"/>
          <w:kern w:val="2"/>
          <w:sz w:val="22"/>
          <w:highlight w:val="none"/>
          <w:bdr w:val="single" w:color="auto" w:sz="4" w:space="0"/>
          <w:shd w:val="clear" w:color="auto" w:fill="E5DFEC"/>
        </w:rPr>
        <w:t>課題</w:t>
      </w:r>
    </w:p>
    <w:p>
      <w:pPr>
        <w:pStyle w:val="0"/>
        <w:rPr>
          <w:rFonts w:hint="eastAsia" w:ascii="ＭＳ 明朝" w:hAnsi="ＭＳ 明朝" w:eastAsia="ＭＳ 明朝"/>
          <w:b w:val="1"/>
          <w:color w:val="002060"/>
          <w:highlight w:val="none"/>
          <w:u w:val="none" w:color="auto"/>
        </w:rPr>
      </w:pPr>
      <w:r>
        <w:rPr>
          <w:rFonts w:hint="eastAsia" w:ascii="ＭＳ 明朝" w:hAnsi="ＭＳ 明朝" w:eastAsia="ＭＳ 明朝"/>
          <w:b w:val="1"/>
          <w:color w:val="0070C0"/>
          <w:sz w:val="22"/>
          <w:highlight w:val="none"/>
        </w:rPr>
        <w:t>１　予防</w:t>
      </w:r>
    </w:p>
    <w:p>
      <w:pPr>
        <w:pStyle w:val="0"/>
        <w:tabs>
          <w:tab w:val="left" w:leader="none" w:pos="0"/>
        </w:tabs>
        <w:spacing w:line="240" w:lineRule="auto"/>
        <w:ind w:left="227" w:leftChars="100" w:right="132" w:rightChars="58" w:firstLine="227" w:firstLineChars="100"/>
        <w:rPr>
          <w:rFonts w:hint="eastAsia" w:ascii="ＭＳ 明朝" w:hAnsi="ＭＳ 明朝" w:eastAsia="ＭＳ 明朝"/>
          <w:color w:val="FF0000"/>
          <w:highlight w:val="none"/>
          <w:u w:val="none" w:color="auto"/>
        </w:rPr>
      </w:pPr>
      <w:r>
        <w:rPr>
          <w:rFonts w:hint="eastAsia" w:ascii="ＭＳ 明朝" w:hAnsi="ＭＳ 明朝" w:eastAsia="ＭＳ 明朝"/>
          <w:color w:val="auto"/>
          <w:sz w:val="22"/>
          <w:highlight w:val="none"/>
          <w:u w:val="none" w:color="auto"/>
        </w:rPr>
        <w:t>本県は、男女の１日平均歩数及び男性のＢＭＩ（平均値）が全国最下位であるとともに、内臓脂肪症候群（メタボリックシンドローム）該当者及び予備群者の割合も全国と比べ高くなっていることなどから、生活習慣の改善に向けた</w:t>
      </w:r>
      <w:r>
        <w:rPr>
          <w:rFonts w:hint="eastAsia" w:ascii="ＭＳ 明朝" w:hAnsi="ＭＳ 明朝" w:eastAsia="ＭＳ 明朝"/>
          <w:strike w:val="0"/>
          <w:dstrike w:val="0"/>
          <w:color w:val="auto"/>
          <w:sz w:val="22"/>
          <w:highlight w:val="none"/>
          <w:u w:val="none" w:color="auto"/>
        </w:rPr>
        <w:t>ポピュレーションアプローチの強化が必要です。併せて、高血圧等、</w:t>
      </w:r>
      <w:r>
        <w:rPr>
          <w:rFonts w:hint="eastAsia" w:ascii="ＭＳ 明朝" w:hAnsi="ＭＳ 明朝" w:eastAsia="ＭＳ 明朝"/>
          <w:color w:val="auto"/>
          <w:sz w:val="22"/>
          <w:highlight w:val="none"/>
          <w:u w:val="none" w:color="auto"/>
        </w:rPr>
        <w:t>脳卒中の危険因子についての啓発や、特定健診及び特定保健指導等による健康状態の把握と生活習慣の改善を通じた発症リスクの低減を図ることも重要です。</w:t>
      </w:r>
    </w:p>
    <w:p>
      <w:pPr>
        <w:pStyle w:val="0"/>
        <w:rPr>
          <w:rFonts w:hint="eastAsia" w:ascii="ＭＳ 明朝" w:hAnsi="ＭＳ 明朝" w:eastAsia="ＭＳ 明朝"/>
          <w:b w:val="1"/>
          <w:color w:val="002060"/>
          <w:highlight w:val="none"/>
          <w:u w:val="none" w:color="auto"/>
        </w:rPr>
      </w:pPr>
      <w:r>
        <w:rPr>
          <w:rFonts w:hint="eastAsia" w:ascii="ＭＳ 明朝" w:hAnsi="ＭＳ 明朝" w:eastAsia="ＭＳ 明朝"/>
          <w:b w:val="1"/>
          <w:color w:val="0070C0"/>
          <w:sz w:val="22"/>
          <w:highlight w:val="none"/>
        </w:rPr>
        <w:t>２　病院前救護活動・急性期の医療提供体制</w:t>
      </w:r>
    </w:p>
    <w:p>
      <w:pPr>
        <w:pStyle w:val="0"/>
        <w:tabs>
          <w:tab w:val="left" w:leader="none" w:pos="7704"/>
        </w:tabs>
        <w:spacing w:line="240" w:lineRule="auto"/>
        <w:ind w:left="227" w:leftChars="100" w:firstLine="227" w:firstLineChars="100"/>
        <w:rPr>
          <w:rFonts w:hint="eastAsia" w:ascii="ＭＳ 明朝" w:hAnsi="ＭＳ 明朝" w:eastAsia="ＭＳ 明朝"/>
          <w:b w:val="1"/>
          <w:color w:val="auto"/>
          <w:sz w:val="22"/>
          <w:highlight w:val="none"/>
          <w:u w:val="none" w:color="auto"/>
        </w:rPr>
      </w:pPr>
      <w:r>
        <w:rPr>
          <w:rFonts w:hint="eastAsia" w:ascii="ＭＳ 明朝" w:hAnsi="ＭＳ 明朝" w:eastAsia="ＭＳ 明朝"/>
          <w:color w:val="auto"/>
          <w:sz w:val="22"/>
          <w:highlight w:val="none"/>
          <w:u w:val="none" w:color="auto"/>
        </w:rPr>
        <w:t>本県は地理的な問題や、脳卒中センター等の医療資源が中央に集中していることにより、医療へのアクセス性に地域差があります。</w:t>
      </w:r>
    </w:p>
    <w:p>
      <w:pPr>
        <w:pStyle w:val="0"/>
        <w:tabs>
          <w:tab w:val="left" w:leader="none" w:pos="7704"/>
        </w:tabs>
        <w:spacing w:line="240" w:lineRule="auto"/>
        <w:ind w:left="227" w:leftChars="100" w:firstLine="227" w:firstLineChars="100"/>
        <w:rPr>
          <w:rFonts w:hint="eastAsia" w:ascii="ＭＳ 明朝" w:hAnsi="ＭＳ 明朝" w:eastAsia="ＭＳ 明朝"/>
          <w:b w:val="1"/>
          <w:color w:val="auto"/>
          <w:sz w:val="22"/>
          <w:highlight w:val="none"/>
          <w:u w:val="none" w:color="auto"/>
        </w:rPr>
      </w:pPr>
      <w:r>
        <w:rPr>
          <w:rFonts w:hint="eastAsia" w:ascii="ＭＳ 明朝" w:hAnsi="ＭＳ 明朝" w:eastAsia="ＭＳ 明朝"/>
          <w:color w:val="auto"/>
          <w:sz w:val="22"/>
          <w:highlight w:val="none"/>
          <w:u w:val="none" w:color="auto"/>
        </w:rPr>
        <w:t>また、搬送別にみると、救急車・ドクターヘリを利用した場合とそれ以外で来院する場合、</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の実施率に大きな差があります。生命予後および後遺症等の予後改善のため、脳卒中発症から治療を受けるまでの時間短縮に向け、初期症状と早期の救急要請・受診についての啓発を強化する必要があります。</w:t>
      </w:r>
      <w:r>
        <w:rPr>
          <w:rFonts w:hint="eastAsia" w:ascii="ＭＳ 明朝" w:hAnsi="ＭＳ 明朝" w:eastAsia="ＭＳ 明朝"/>
          <w:b w:val="0"/>
          <w:color w:val="auto"/>
          <w:sz w:val="22"/>
          <w:highlight w:val="none"/>
          <w:u w:val="none" w:color="auto"/>
        </w:rPr>
        <w:t>新興感染症発生・まん延時においても、急性期の患者を速やかに搬送し、適切な医療を提供できる体制を構築する必要があります。</w:t>
      </w:r>
    </w:p>
    <w:p>
      <w:pPr>
        <w:pStyle w:val="0"/>
        <w:tabs>
          <w:tab w:val="left" w:leader="none" w:pos="7704"/>
        </w:tabs>
        <w:spacing w:line="240" w:lineRule="auto"/>
        <w:ind w:left="227" w:leftChars="100" w:firstLine="227" w:firstLineChars="100"/>
        <w:rPr>
          <w:rFonts w:hint="eastAsia" w:ascii="ＭＳ 明朝" w:hAnsi="ＭＳ 明朝" w:eastAsia="ＭＳ 明朝"/>
          <w:color w:val="auto"/>
          <w:highlight w:val="none"/>
          <w:u w:val="none" w:color="auto"/>
        </w:rPr>
      </w:pPr>
    </w:p>
    <w:p>
      <w:pPr>
        <w:pStyle w:val="0"/>
        <w:tabs>
          <w:tab w:val="left" w:leader="none" w:pos="7704"/>
        </w:tabs>
        <w:spacing w:line="240" w:lineRule="auto"/>
        <w:rPr>
          <w:rFonts w:hint="eastAsia" w:ascii="ＭＳ 明朝" w:hAnsi="ＭＳ 明朝" w:eastAsia="ＭＳ 明朝"/>
          <w:b w:val="1"/>
          <w:color w:val="002060"/>
          <w:highlight w:val="none"/>
          <w:u w:val="none" w:color="auto"/>
        </w:rPr>
      </w:pPr>
      <w:r>
        <w:rPr>
          <w:rFonts w:hint="eastAsia" w:ascii="ＭＳ 明朝" w:hAnsi="ＭＳ 明朝" w:eastAsia="ＭＳ 明朝"/>
          <w:b w:val="1"/>
          <w:color w:val="0070C0"/>
          <w:sz w:val="22"/>
          <w:highlight w:val="none"/>
        </w:rPr>
        <w:t>３　回復期</w:t>
      </w:r>
      <w:r>
        <w:rPr>
          <w:rFonts w:hint="eastAsia" w:ascii="ＭＳ 明朝" w:hAnsi="ＭＳ 明朝" w:eastAsia="ＭＳ 明朝"/>
          <w:b w:val="1"/>
          <w:color w:val="0070C0"/>
          <w:sz w:val="22"/>
          <w:highlight w:val="none"/>
          <w:u w:val="none" w:color="auto"/>
        </w:rPr>
        <w:t>及び維持期の</w:t>
      </w:r>
      <w:r>
        <w:rPr>
          <w:rFonts w:hint="eastAsia" w:ascii="ＭＳ 明朝" w:hAnsi="ＭＳ 明朝" w:eastAsia="ＭＳ 明朝"/>
          <w:b w:val="1"/>
          <w:color w:val="0070C0"/>
          <w:sz w:val="22"/>
          <w:highlight w:val="none"/>
        </w:rPr>
        <w:t>医療提供体制</w:t>
      </w:r>
    </w:p>
    <w:p>
      <w:pPr>
        <w:pStyle w:val="0"/>
        <w:tabs>
          <w:tab w:val="left" w:leader="none" w:pos="7704"/>
        </w:tabs>
        <w:spacing w:line="240" w:lineRule="auto"/>
        <w:ind w:left="228" w:hanging="228" w:hangingChars="100"/>
        <w:rPr>
          <w:rFonts w:hint="eastAsia" w:ascii="ＭＳ 明朝" w:hAnsi="ＭＳ 明朝" w:eastAsia="ＭＳ 明朝"/>
          <w:color w:val="auto"/>
          <w:sz w:val="22"/>
          <w:highlight w:val="none"/>
          <w:u w:val="none" w:color="auto"/>
        </w:rPr>
      </w:pPr>
      <w:r>
        <w:rPr>
          <w:rFonts w:hint="eastAsia" w:ascii="ＭＳ 明朝" w:hAnsi="ＭＳ 明朝" w:eastAsia="ＭＳ 明朝"/>
          <w:b w:val="1"/>
          <w:color w:val="auto"/>
          <w:sz w:val="22"/>
          <w:highlight w:val="none"/>
          <w:u w:val="none" w:color="auto"/>
        </w:rPr>
        <w:t>　　</w:t>
      </w:r>
      <w:r>
        <w:rPr>
          <w:rFonts w:hint="eastAsia" w:ascii="ＭＳ 明朝" w:hAnsi="ＭＳ 明朝" w:eastAsia="ＭＳ 明朝"/>
          <w:b w:val="0"/>
          <w:color w:val="auto"/>
          <w:sz w:val="22"/>
          <w:highlight w:val="none"/>
          <w:u w:val="none" w:color="auto"/>
        </w:rPr>
        <w:t>回復期にある脳卒中患者の実態把握については、高知大学や回復期リハビリテーション病棟連絡会の協力により可能となったため、データ集積の継続やパス運用の促進に向けた支援の継続が必要です。</w:t>
      </w:r>
    </w:p>
    <w:p>
      <w:pPr>
        <w:pStyle w:val="0"/>
        <w:tabs>
          <w:tab w:val="left" w:leader="none" w:pos="7704"/>
        </w:tabs>
        <w:spacing w:line="240" w:lineRule="auto"/>
        <w:ind w:left="221" w:leftChars="100" w:firstLine="221"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color w:val="auto"/>
          <w:sz w:val="22"/>
          <w:highlight w:val="none"/>
          <w:u w:val="none" w:color="auto"/>
        </w:rPr>
        <w:t>また、脳卒中の再発予防に向けた施策を検討するとともに、脳卒中患者の身体機能等の維持・向上及び合併症予防に向けた多職種連携体制の構築を継続する必要があります。</w:t>
      </w:r>
    </w:p>
    <w:p>
      <w:pPr>
        <w:pStyle w:val="0"/>
        <w:spacing w:line="240" w:lineRule="auto"/>
        <w:ind w:leftChars="0" w:firstLineChars="0"/>
        <w:rPr>
          <w:rFonts w:hint="eastAsia" w:ascii="ＭＳ 明朝" w:hAnsi="ＭＳ 明朝" w:eastAsia="ＭＳ 明朝"/>
          <w:b w:val="1"/>
          <w:color w:val="auto"/>
          <w:highlight w:val="none"/>
          <w:u w:val="none" w:color="auto"/>
        </w:rPr>
      </w:pPr>
    </w:p>
    <w:p>
      <w:pPr>
        <w:pStyle w:val="0"/>
        <w:spacing w:line="240" w:lineRule="auto"/>
        <w:ind w:leftChars="0" w:firstLineChars="0"/>
        <w:rPr>
          <w:rFonts w:hint="eastAsia"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４　包括的な支援体制の整備</w:t>
      </w:r>
    </w:p>
    <w:p>
      <w:pPr>
        <w:pStyle w:val="0"/>
        <w:spacing w:line="240" w:lineRule="auto"/>
        <w:ind w:left="230" w:leftChars="106" w:firstLine="223" w:firstLineChars="103"/>
        <w:rPr>
          <w:rFonts w:hint="eastAsia" w:ascii="ＭＳ 明朝" w:hAnsi="ＭＳ 明朝" w:eastAsia="ＭＳ 明朝"/>
          <w:b w:val="0"/>
          <w:color w:val="FF0000"/>
          <w:sz w:val="22"/>
          <w:highlight w:val="none"/>
          <w:u w:val="single" w:color="auto"/>
        </w:rPr>
      </w:pPr>
      <w:r>
        <w:rPr>
          <w:rFonts w:hint="eastAsia" w:ascii="ＭＳ 明朝" w:hAnsi="ＭＳ 明朝" w:eastAsia="ＭＳ 明朝"/>
          <w:b w:val="0"/>
          <w:color w:val="auto"/>
          <w:sz w:val="22"/>
          <w:highlight w:val="none"/>
          <w:u w:val="none" w:color="auto"/>
        </w:rPr>
        <w:t>医療機関等で相談支援が実施され、患者とその家族が必要な情報にアクセスできる支援体制が整備されてきましたが、地域包括支援センター等の既存の取組との連携・協力など、各ステージに応じた課題の解決につながるよう、急性期から回復期、維持期までの切れ目のない相談支援体制の構築が必要です。</w:t>
      </w:r>
    </w:p>
    <w:p>
      <w:pPr>
        <w:pStyle w:val="0"/>
        <w:spacing w:line="240" w:lineRule="auto"/>
        <w:ind w:leftChars="0" w:firstLineChars="0"/>
        <w:rPr>
          <w:rFonts w:hint="eastAsia" w:ascii="ＭＳ 明朝" w:hAnsi="ＭＳ 明朝" w:eastAsia="ＭＳ 明朝"/>
          <w:b w:val="1"/>
          <w:color w:val="auto"/>
          <w:highlight w:val="none"/>
          <w:u w:val="none" w:color="auto"/>
        </w:rPr>
      </w:pPr>
    </w:p>
    <w:p>
      <w:pPr>
        <w:pStyle w:val="0"/>
        <w:rPr>
          <w:rFonts w:hint="eastAsia" w:ascii="ＭＳ 明朝" w:hAnsi="ＭＳ 明朝" w:eastAsia="ＭＳ 明朝"/>
          <w:b w:val="1"/>
          <w:color w:val="auto"/>
          <w:sz w:val="22"/>
          <w:highlight w:val="none"/>
          <w:u w:val="none" w:color="auto"/>
          <w:bdr w:val="single" w:color="auto" w:sz="4" w:space="0"/>
          <w:shd w:val="clear" w:color="auto" w:themeFill="accent4" w:themeFillTint="33" w:themeFillShade="FF"/>
        </w:rPr>
      </w:pPr>
      <w:r>
        <w:rPr>
          <w:rFonts w:hint="eastAsia" w:ascii="ＭＳ 明朝" w:hAnsi="ＭＳ 明朝" w:eastAsia="ＭＳ 明朝"/>
          <w:b w:val="1"/>
          <w:color w:val="auto"/>
          <w:kern w:val="2"/>
          <w:sz w:val="22"/>
          <w:highlight w:val="none"/>
          <w:bdr w:val="single" w:color="auto" w:sz="4" w:space="0"/>
          <w:shd w:val="clear" w:color="auto" w:fill="E5DFEC"/>
        </w:rPr>
        <w:t>対策</w:t>
      </w:r>
    </w:p>
    <w:p>
      <w:pPr>
        <w:pStyle w:val="0"/>
        <w:rPr>
          <w:rFonts w:hint="eastAsia" w:ascii="ＭＳ 明朝" w:hAnsi="ＭＳ 明朝" w:eastAsia="ＭＳ 明朝"/>
          <w:b w:val="1"/>
          <w:color w:val="002060"/>
          <w:highlight w:val="none"/>
          <w:u w:val="none" w:color="auto"/>
        </w:rPr>
      </w:pPr>
      <w:r>
        <w:rPr>
          <w:rFonts w:hint="eastAsia" w:ascii="ＭＳ 明朝" w:hAnsi="ＭＳ 明朝" w:eastAsia="ＭＳ 明朝"/>
          <w:b w:val="1"/>
          <w:color w:val="0070C0"/>
          <w:sz w:val="22"/>
          <w:highlight w:val="none"/>
        </w:rPr>
        <w:t>１　予防</w:t>
      </w:r>
    </w:p>
    <w:p>
      <w:pPr>
        <w:pStyle w:val="0"/>
        <w:tabs>
          <w:tab w:val="left" w:leader="none" w:pos="0"/>
        </w:tabs>
        <w:spacing w:line="240" w:lineRule="auto"/>
        <w:ind w:left="227" w:leftChars="100" w:firstLine="227" w:firstLineChars="100"/>
        <w:rPr>
          <w:rFonts w:hint="eastAsia" w:ascii="ＭＳ 明朝" w:hAnsi="ＭＳ 明朝" w:eastAsia="ＭＳ 明朝"/>
          <w:b w:val="0"/>
          <w:color w:val="auto"/>
          <w:sz w:val="22"/>
          <w:highlight w:val="none"/>
          <w:u w:val="none" w:color="auto"/>
        </w:rPr>
      </w:pPr>
      <w:r>
        <w:rPr>
          <w:rFonts w:hint="eastAsia" w:ascii="ＭＳ 明朝" w:hAnsi="ＭＳ 明朝" w:eastAsia="ＭＳ 明朝"/>
          <w:color w:val="auto"/>
          <w:sz w:val="22"/>
          <w:highlight w:val="none"/>
          <w:u w:val="none" w:color="auto"/>
        </w:rPr>
        <w:t>働きざかり世代の健康づくりを推進するため、企業や地域の関連団体の参画を得ながら、適正体重維持に関する重要性の啓発や、職域への支援提供を行い、健康意識の醸成及び行動変容の促進を図ります。</w:t>
      </w:r>
    </w:p>
    <w:p>
      <w:pPr>
        <w:pStyle w:val="0"/>
        <w:tabs>
          <w:tab w:val="left" w:leader="none" w:pos="0"/>
        </w:tabs>
        <w:spacing w:line="240" w:lineRule="auto"/>
        <w:ind w:left="227" w:leftChars="100" w:firstLine="227" w:firstLineChars="100"/>
        <w:rPr>
          <w:rFonts w:hint="eastAsia" w:ascii="ＭＳ 明朝" w:hAnsi="ＭＳ 明朝" w:eastAsia="ＭＳ 明朝"/>
          <w:b w:val="0"/>
          <w:color w:val="auto"/>
          <w:sz w:val="22"/>
          <w:highlight w:val="none"/>
          <w:u w:val="none" w:color="auto"/>
        </w:rPr>
      </w:pPr>
      <w:r>
        <w:rPr>
          <w:rFonts w:hint="eastAsia" w:ascii="ＭＳ 明朝" w:hAnsi="ＭＳ 明朝" w:eastAsia="ＭＳ 明朝"/>
          <w:color w:val="auto"/>
          <w:sz w:val="22"/>
          <w:highlight w:val="none"/>
          <w:u w:val="none" w:color="auto"/>
        </w:rPr>
        <w:t>また、関係機関や地域活動等と連携し、高血圧、心房細動、喫煙などの発症の危険因子に関する知識の普及や発症予防等に関する具体的な啓発活動を行います。</w:t>
      </w:r>
    </w:p>
    <w:p>
      <w:pPr>
        <w:pStyle w:val="0"/>
        <w:tabs>
          <w:tab w:val="left" w:leader="none" w:pos="0"/>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strike w:val="0"/>
          <w:dstrike w:val="0"/>
          <w:color w:val="auto"/>
          <w:sz w:val="22"/>
          <w:highlight w:val="none"/>
          <w:u w:val="none" w:color="auto"/>
        </w:rPr>
        <w:t>特定健診の実施率の向上に向け、</w:t>
      </w:r>
      <w:r>
        <w:rPr>
          <w:rFonts w:hint="eastAsia" w:ascii="ＭＳ 明朝" w:hAnsi="ＭＳ 明朝" w:eastAsia="ＭＳ 明朝"/>
          <w:b w:val="0"/>
          <w:color w:val="auto"/>
          <w:sz w:val="22"/>
          <w:highlight w:val="none"/>
          <w:u w:val="none" w:color="auto"/>
        </w:rPr>
        <w:t>受診率の低い年代をターゲット</w:t>
      </w:r>
      <w:r>
        <w:rPr>
          <w:rFonts w:hint="eastAsia" w:ascii="ＭＳ 明朝" w:hAnsi="ＭＳ 明朝" w:eastAsia="ＭＳ 明朝"/>
          <w:b w:val="0"/>
          <w:strike w:val="0"/>
          <w:dstrike w:val="0"/>
          <w:color w:val="auto"/>
          <w:sz w:val="22"/>
          <w:highlight w:val="none"/>
          <w:u w:val="none" w:color="auto"/>
        </w:rPr>
        <w:t>に</w:t>
      </w:r>
      <w:r>
        <w:rPr>
          <w:rFonts w:hint="eastAsia" w:ascii="ＭＳ 明朝" w:hAnsi="ＭＳ 明朝" w:eastAsia="ＭＳ 明朝"/>
          <w:b w:val="0"/>
          <w:color w:val="auto"/>
          <w:sz w:val="22"/>
          <w:highlight w:val="none"/>
          <w:u w:val="none" w:color="auto"/>
        </w:rPr>
        <w:t>した</w:t>
      </w:r>
      <w:r>
        <w:rPr>
          <w:rFonts w:hint="eastAsia" w:ascii="ＭＳ 明朝" w:hAnsi="ＭＳ 明朝" w:eastAsia="ＭＳ 明朝"/>
          <w:b w:val="0"/>
          <w:strike w:val="0"/>
          <w:dstrike w:val="0"/>
          <w:color w:val="auto"/>
          <w:sz w:val="22"/>
          <w:highlight w:val="none"/>
          <w:u w:val="none" w:color="auto"/>
        </w:rPr>
        <w:t>啓発等、効果的な受診勧奨に継続して取り組みます。</w:t>
      </w:r>
      <w:r>
        <w:rPr>
          <w:rFonts w:hint="eastAsia" w:ascii="ＭＳ 明朝" w:hAnsi="ＭＳ 明朝" w:eastAsia="ＭＳ 明朝"/>
          <w:b w:val="0"/>
          <w:color w:val="auto"/>
          <w:sz w:val="22"/>
          <w:highlight w:val="none"/>
          <w:u w:val="none" w:color="auto"/>
        </w:rPr>
        <w:t>特定保健指導については、将来の循環器病等の発症リスクも踏まえた効果的な指導を実施できるよう、保健指導従事者の資質向上に努めます。</w:t>
      </w:r>
    </w:p>
    <w:p>
      <w:pPr>
        <w:pStyle w:val="0"/>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脳卒中の最大の危険因子である高血圧対策としては、家庭血圧の測定や減塩に関する啓発を継続するとともに、高知家健康づくり支援薬局等による積極的な健康相談対応や受診勧奨の取組を継続します。</w:t>
      </w:r>
    </w:p>
    <w:p>
      <w:pPr>
        <w:pStyle w:val="0"/>
        <w:tabs>
          <w:tab w:val="left" w:leader="none" w:pos="7704"/>
        </w:tabs>
        <w:spacing w:line="240" w:lineRule="auto"/>
        <w:ind w:left="453" w:hanging="453" w:hangingChars="200"/>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　</w:t>
      </w:r>
    </w:p>
    <w:p>
      <w:pPr>
        <w:pStyle w:val="0"/>
        <w:rPr>
          <w:rFonts w:hint="eastAsia" w:ascii="ＭＳ 明朝" w:hAnsi="ＭＳ 明朝" w:eastAsia="ＭＳ 明朝"/>
          <w:b w:val="1"/>
          <w:color w:val="002060"/>
          <w:sz w:val="22"/>
          <w:highlight w:val="none"/>
          <w:u w:val="none" w:color="auto"/>
        </w:rPr>
      </w:pPr>
      <w:r>
        <w:rPr>
          <w:rFonts w:hint="eastAsia" w:ascii="ＭＳ 明朝" w:hAnsi="ＭＳ 明朝" w:eastAsia="ＭＳ 明朝"/>
          <w:b w:val="1"/>
          <w:color w:val="0070C0"/>
          <w:sz w:val="22"/>
          <w:highlight w:val="none"/>
        </w:rPr>
        <w:t>２　病院前救護活動・急性期の医療提供体制</w:t>
      </w:r>
    </w:p>
    <w:p>
      <w:pPr>
        <w:pStyle w:val="0"/>
        <w:tabs>
          <w:tab w:val="left" w:leader="none" w:pos="7704"/>
        </w:tabs>
        <w:spacing w:line="240" w:lineRule="auto"/>
        <w:ind w:left="228" w:leftChars="105" w:firstLine="223" w:firstLineChars="103"/>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脳卒中治療は時間的な制約があるため、県民が脳卒中の発症を認識し迅速な救急要請をすることにより</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療法等の治療へのアクセス性の向上を図ることができるよう、地域住民の集まる場等での周知も含めて様々な機会を活用した県民啓発を行います。</w:t>
      </w:r>
    </w:p>
    <w:p>
      <w:pPr>
        <w:pStyle w:val="0"/>
        <w:tabs>
          <w:tab w:val="left" w:leader="none" w:pos="7704"/>
        </w:tabs>
        <w:spacing w:line="240" w:lineRule="auto"/>
        <w:ind w:left="228" w:leftChars="105" w:firstLine="223" w:firstLineChars="103"/>
        <w:rPr>
          <w:rFonts w:hint="eastAsia" w:ascii="ＭＳ 明朝" w:hAnsi="ＭＳ 明朝" w:eastAsia="ＭＳ 明朝"/>
          <w:color w:val="auto"/>
          <w:sz w:val="22"/>
          <w:highlight w:val="none"/>
          <w:u w:val="none" w:color="auto"/>
        </w:rPr>
      </w:pPr>
    </w:p>
    <w:p>
      <w:pPr>
        <w:pStyle w:val="0"/>
        <w:tabs>
          <w:tab w:val="left" w:leader="none" w:pos="7704"/>
        </w:tabs>
        <w:spacing w:line="240" w:lineRule="auto"/>
        <w:ind w:left="228" w:leftChars="105" w:firstLine="223" w:firstLineChars="103"/>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併せて、高知県脳卒中患者実態調査によって医療機関到着から</w:t>
      </w:r>
      <w:r>
        <w:rPr>
          <w:rFonts w:hint="eastAsia" w:ascii="ＭＳ 明朝" w:hAnsi="ＭＳ 明朝" w:eastAsia="ＭＳ 明朝"/>
          <w:color w:val="auto"/>
          <w:sz w:val="22"/>
          <w:highlight w:val="none"/>
          <w:u w:val="none" w:color="auto"/>
        </w:rPr>
        <w:t>t-PA</w:t>
      </w:r>
      <w:r>
        <w:rPr>
          <w:rFonts w:hint="eastAsia" w:ascii="ＭＳ 明朝" w:hAnsi="ＭＳ 明朝" w:eastAsia="ＭＳ 明朝"/>
          <w:color w:val="auto"/>
          <w:sz w:val="22"/>
          <w:highlight w:val="none"/>
          <w:u w:val="none" w:color="auto"/>
        </w:rPr>
        <w:t>療法開始までの時間に関する実態把握を行い、時間短縮に向けた対策の検討を行うとともに、病院前救護に携わる救急救命士等の資質向上に向け、再教育プログラム等の推進に引き続き取り組みます。</w:t>
      </w:r>
    </w:p>
    <w:p>
      <w:pPr>
        <w:pStyle w:val="0"/>
        <w:tabs>
          <w:tab w:val="left" w:leader="none" w:pos="7704"/>
        </w:tabs>
        <w:spacing w:line="240" w:lineRule="auto"/>
        <w:ind w:left="228" w:leftChars="105" w:firstLine="223" w:firstLineChars="103"/>
        <w:rPr>
          <w:rFonts w:hint="eastAsia" w:ascii="ＭＳ 明朝" w:hAnsi="ＭＳ 明朝" w:eastAsia="ＭＳ 明朝"/>
          <w:color w:val="auto"/>
          <w:sz w:val="22"/>
          <w:highlight w:val="none"/>
          <w:u w:val="none" w:color="auto"/>
        </w:rPr>
      </w:pPr>
      <w:r>
        <w:rPr>
          <w:rFonts w:hint="eastAsia" w:ascii="ＭＳ 明朝" w:hAnsi="ＭＳ 明朝" w:eastAsia="ＭＳ 明朝"/>
          <w:i w:val="0"/>
          <w:color w:val="auto"/>
          <w:sz w:val="22"/>
          <w:highlight w:val="none"/>
          <w:u w:val="none" w:color="auto"/>
        </w:rPr>
        <w:t>また、</w:t>
      </w:r>
      <w:r>
        <w:rPr>
          <w:rFonts w:hint="eastAsia" w:ascii="ＭＳ 明朝" w:hAnsi="ＭＳ 明朝" w:eastAsia="ＭＳ 明朝"/>
          <w:color w:val="auto"/>
          <w:sz w:val="22"/>
          <w:highlight w:val="none"/>
          <w:u w:val="none" w:color="auto"/>
        </w:rPr>
        <w:t>脳卒中プロトコールの活用と、必要時には内容の見直しを行い、救急搬送時間の短縮に向けた取組を行います。</w:t>
      </w:r>
    </w:p>
    <w:p>
      <w:pPr>
        <w:pStyle w:val="0"/>
        <w:tabs>
          <w:tab w:val="left" w:leader="none" w:pos="7704"/>
        </w:tabs>
        <w:spacing w:line="240" w:lineRule="auto"/>
        <w:ind w:left="228" w:leftChars="105" w:firstLine="223" w:firstLineChars="103"/>
        <w:rPr>
          <w:rFonts w:hint="eastAsia" w:ascii="ＭＳ 明朝" w:hAnsi="ＭＳ 明朝" w:eastAsia="ＭＳ 明朝"/>
          <w:color w:val="auto"/>
          <w:sz w:val="22"/>
          <w:highlight w:val="none"/>
          <w:u w:val="none" w:color="auto"/>
        </w:rPr>
      </w:pPr>
      <w:r>
        <w:rPr>
          <w:rFonts w:hint="eastAsia" w:ascii="ＭＳ 明朝" w:hAnsi="ＭＳ 明朝" w:eastAsia="ＭＳ 明朝"/>
          <w:color w:val="auto"/>
          <w:sz w:val="22"/>
          <w:highlight w:val="none"/>
          <w:u w:val="none" w:color="auto"/>
        </w:rPr>
        <w:t>新興感染症発生・まん延時においても感染症対応と通常の救急医療を両立できるよう、「第８章第３節</w:t>
      </w:r>
      <w:r>
        <w:rPr>
          <w:rFonts w:hint="eastAsia" w:ascii="ＭＳ 明朝" w:hAnsi="ＭＳ 明朝" w:eastAsia="ＭＳ 明朝"/>
          <w:color w:val="auto"/>
          <w:sz w:val="22"/>
          <w:highlight w:val="none"/>
          <w:u w:val="none" w:color="auto"/>
        </w:rPr>
        <w:t xml:space="preserve"> </w:t>
      </w:r>
      <w:r>
        <w:rPr>
          <w:rFonts w:hint="eastAsia" w:ascii="ＭＳ 明朝" w:hAnsi="ＭＳ 明朝" w:eastAsia="ＭＳ 明朝"/>
          <w:color w:val="auto"/>
          <w:sz w:val="22"/>
          <w:highlight w:val="none"/>
          <w:u w:val="none" w:color="auto"/>
        </w:rPr>
        <w:t>新興感染症を含む感染症」による取組と連携しながら取り組みます。</w:t>
      </w:r>
    </w:p>
    <w:p>
      <w:pPr>
        <w:pStyle w:val="0"/>
        <w:tabs>
          <w:tab w:val="left" w:leader="none" w:pos="7704"/>
        </w:tabs>
        <w:spacing w:line="240" w:lineRule="auto"/>
        <w:ind w:left="228" w:leftChars="105" w:firstLine="223" w:firstLineChars="103"/>
        <w:rPr>
          <w:rFonts w:hint="eastAsia" w:ascii="ＭＳ 明朝" w:hAnsi="ＭＳ 明朝" w:eastAsia="ＭＳ 明朝"/>
          <w:sz w:val="22"/>
          <w:highlight w:val="none"/>
        </w:rPr>
      </w:pPr>
      <w:r>
        <w:rPr>
          <w:rFonts w:hint="eastAsia" w:ascii="ＭＳ 明朝" w:hAnsi="ＭＳ 明朝" w:eastAsia="ＭＳ 明朝"/>
          <w:color w:val="auto"/>
          <w:sz w:val="22"/>
          <w:highlight w:val="none"/>
          <w:u w:val="none" w:color="auto"/>
        </w:rPr>
        <w:t>急性期から回復期及び維持期の切れ目のない医療連携体制のため、高知中央・高幡・安芸医療圏脳卒中地域連携の会、幡多地域連携パス検討委員会、高知あんしんネット等の関係機関が連携した取組を継続するとともに、県はそれらの取組を支援します。</w:t>
      </w:r>
    </w:p>
    <w:p>
      <w:pPr>
        <w:pStyle w:val="0"/>
        <w:snapToGrid w:val="0"/>
        <w:rPr>
          <w:rFonts w:hint="eastAsia" w:ascii="ＭＳ 明朝" w:hAnsi="ＭＳ 明朝" w:eastAsia="ＭＳ 明朝"/>
          <w:sz w:val="22"/>
          <w:highlight w:val="none"/>
        </w:rPr>
      </w:pPr>
    </w:p>
    <w:p>
      <w:pPr>
        <w:pStyle w:val="0"/>
        <w:tabs>
          <w:tab w:val="left" w:leader="none" w:pos="7704"/>
        </w:tabs>
        <w:spacing w:line="240" w:lineRule="auto"/>
        <w:rPr>
          <w:rFonts w:hint="eastAsia" w:ascii="ＭＳ 明朝" w:hAnsi="ＭＳ 明朝" w:eastAsia="ＭＳ 明朝"/>
          <w:b w:val="1"/>
          <w:color w:val="002060"/>
          <w:sz w:val="22"/>
          <w:highlight w:val="none"/>
          <w:u w:val="none" w:color="auto"/>
        </w:rPr>
      </w:pPr>
      <w:r>
        <w:rPr>
          <w:rFonts w:hint="eastAsia" w:ascii="ＭＳ 明朝" w:hAnsi="ＭＳ 明朝" w:eastAsia="ＭＳ 明朝"/>
          <w:b w:val="1"/>
          <w:color w:val="0070C0"/>
          <w:sz w:val="22"/>
          <w:highlight w:val="none"/>
        </w:rPr>
        <w:t>３　回復期</w:t>
      </w:r>
      <w:r>
        <w:rPr>
          <w:rFonts w:hint="eastAsia" w:ascii="ＭＳ 明朝" w:hAnsi="ＭＳ 明朝" w:eastAsia="ＭＳ 明朝"/>
          <w:b w:val="1"/>
          <w:color w:val="0070C0"/>
          <w:sz w:val="22"/>
          <w:highlight w:val="none"/>
          <w:u w:val="none" w:color="auto"/>
        </w:rPr>
        <w:t>及び維持期</w:t>
      </w:r>
      <w:r>
        <w:rPr>
          <w:rFonts w:hint="eastAsia" w:ascii="ＭＳ 明朝" w:hAnsi="ＭＳ 明朝" w:eastAsia="ＭＳ 明朝"/>
          <w:b w:val="1"/>
          <w:color w:val="0070C0"/>
          <w:sz w:val="22"/>
          <w:highlight w:val="none"/>
        </w:rPr>
        <w:t>の医療提供体制</w:t>
      </w:r>
    </w:p>
    <w:p>
      <w:pPr>
        <w:pStyle w:val="0"/>
        <w:ind w:left="217" w:leftChars="100" w:firstLine="217" w:firstLineChars="100"/>
        <w:rPr>
          <w:rFonts w:hint="eastAsia" w:ascii="ＭＳ 明朝" w:hAnsi="ＭＳ 明朝" w:eastAsia="ＭＳ 明朝"/>
          <w:b w:val="0"/>
          <w:color w:val="auto"/>
          <w:sz w:val="22"/>
          <w:highlight w:val="none"/>
          <w:u w:val="none" w:color="auto"/>
        </w:rPr>
      </w:pPr>
      <w:r>
        <w:rPr>
          <w:rFonts w:hint="eastAsia" w:ascii="ＭＳ 明朝" w:hAnsi="ＭＳ 明朝" w:eastAsia="ＭＳ 明朝"/>
          <w:b w:val="0"/>
          <w:color w:val="auto"/>
          <w:sz w:val="22"/>
          <w:highlight w:val="none"/>
          <w:u w:val="none" w:color="auto"/>
        </w:rPr>
        <w:t>高知大学、回復期リハビリテーション病棟連絡会による回復期アウトカム調査による回復期データの集積を継続できるよう、県はパス運用の促進に向けた啓発と支援を継続します。</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r>
        <w:rPr>
          <w:rFonts w:hint="eastAsia" w:ascii="ＭＳ 明朝" w:hAnsi="ＭＳ 明朝" w:eastAsia="ＭＳ 明朝"/>
          <w:b w:val="0"/>
          <w:color w:val="auto"/>
          <w:sz w:val="22"/>
          <w:highlight w:val="none"/>
          <w:u w:val="none" w:color="auto"/>
        </w:rPr>
        <w:t>また、脳卒中の再発予防に向けた施策を検討するとともに、脳卒中患者の身体機能等の維持・向上及び合併症予防に向けた多職種連携体制の構築を継続します。</w:t>
      </w:r>
    </w:p>
    <w:p>
      <w:pPr>
        <w:pStyle w:val="0"/>
        <w:tabs>
          <w:tab w:val="left" w:leader="none" w:pos="7704"/>
        </w:tabs>
        <w:spacing w:line="240" w:lineRule="auto"/>
        <w:ind w:left="217" w:leftChars="100" w:firstLine="0" w:firstLineChars="0"/>
        <w:rPr>
          <w:rFonts w:hint="eastAsia" w:ascii="ＭＳ 明朝" w:hAnsi="ＭＳ 明朝" w:eastAsia="ＭＳ 明朝"/>
          <w:color w:val="auto"/>
          <w:sz w:val="22"/>
          <w:highlight w:val="none"/>
          <w:u w:val="none" w:color="auto"/>
        </w:rPr>
      </w:pPr>
    </w:p>
    <w:p>
      <w:pPr>
        <w:pStyle w:val="0"/>
        <w:tabs>
          <w:tab w:val="left" w:leader="none" w:pos="7704"/>
        </w:tabs>
        <w:spacing w:line="240" w:lineRule="auto"/>
        <w:ind w:leftChars="0" w:firstLineChars="0"/>
        <w:rPr>
          <w:rFonts w:hint="eastAsia" w:ascii="ＭＳ 明朝" w:hAnsi="ＭＳ 明朝" w:eastAsia="ＭＳ 明朝"/>
          <w:b w:val="1"/>
          <w:color w:val="FF0000"/>
          <w:sz w:val="22"/>
          <w:highlight w:val="none"/>
          <w:u w:val="single" w:color="auto"/>
        </w:rPr>
      </w:pPr>
      <w:r>
        <w:rPr>
          <w:rFonts w:hint="eastAsia" w:ascii="ＭＳ 明朝" w:hAnsi="ＭＳ 明朝" w:eastAsia="ＭＳ 明朝"/>
          <w:b w:val="1"/>
          <w:color w:val="0070C0"/>
          <w:sz w:val="22"/>
          <w:highlight w:val="none"/>
          <w:u w:val="none" w:color="auto"/>
        </w:rPr>
        <w:t>４　包括的な支援体制の整備</w:t>
      </w:r>
    </w:p>
    <w:p>
      <w:pPr>
        <w:pStyle w:val="0"/>
        <w:ind w:left="228" w:leftChars="105" w:firstLine="234" w:firstLineChars="108"/>
        <w:rPr>
          <w:rFonts w:hint="eastAsia" w:ascii="ＭＳ 明朝" w:hAnsi="ＭＳ 明朝" w:eastAsia="ＭＳ 明朝"/>
          <w:color w:val="FF0000"/>
          <w:sz w:val="22"/>
          <w:highlight w:val="none"/>
          <w:u w:val="single" w:color="auto"/>
        </w:rPr>
      </w:pPr>
      <w:r>
        <w:rPr>
          <w:rFonts w:hint="eastAsia" w:ascii="ＭＳ 明朝" w:hAnsi="ＭＳ 明朝" w:eastAsia="ＭＳ 明朝"/>
          <w:color w:val="auto"/>
          <w:sz w:val="22"/>
          <w:highlight w:val="none"/>
          <w:u w:val="none" w:color="auto"/>
        </w:rPr>
        <w:t>「高知県循環器病対策推進計画」及び本計画「第６章第３節</w:t>
      </w:r>
      <w:r>
        <w:rPr>
          <w:rFonts w:hint="eastAsia" w:ascii="ＭＳ 明朝" w:hAnsi="ＭＳ 明朝" w:eastAsia="ＭＳ 明朝"/>
          <w:color w:val="auto"/>
          <w:sz w:val="22"/>
          <w:highlight w:val="none"/>
          <w:u w:val="none" w:color="auto"/>
        </w:rPr>
        <w:t xml:space="preserve"> </w:t>
      </w:r>
      <w:r>
        <w:rPr>
          <w:rFonts w:hint="eastAsia" w:ascii="ＭＳ 明朝" w:hAnsi="ＭＳ 明朝" w:eastAsia="ＭＳ 明朝"/>
          <w:color w:val="auto"/>
          <w:sz w:val="22"/>
          <w:highlight w:val="none"/>
          <w:u w:val="none" w:color="auto"/>
        </w:rPr>
        <w:t>心筋梗塞等の心血管疾患」による取組と連携し、</w:t>
      </w:r>
      <w:r>
        <w:rPr>
          <w:rFonts w:hint="eastAsia" w:ascii="ＭＳ 明朝" w:hAnsi="ＭＳ 明朝" w:eastAsia="ＭＳ 明朝"/>
          <w:b w:val="0"/>
          <w:color w:val="auto"/>
          <w:sz w:val="22"/>
          <w:highlight w:val="none"/>
          <w:u w:val="none" w:color="auto"/>
        </w:rPr>
        <w:t>循環器病における適切な相談支援や必要な情報提供体制を整えるとともに、地域の病院、かかりつけ医、地域包括支援センター、介護事業者、訪問看護ステーション等を対象とした研修会や勉強会を開催して情報ネットワークを強化し、地域全体の患者支援体制の充実を図ります。</w:t>
      </w:r>
    </w:p>
    <w:p>
      <w:pPr>
        <w:pStyle w:val="0"/>
        <w:tabs>
          <w:tab w:val="left" w:leader="none" w:pos="7704"/>
        </w:tabs>
        <w:spacing w:line="240" w:lineRule="auto"/>
        <w:ind w:left="227" w:leftChars="100" w:firstLine="227" w:firstLineChars="100"/>
        <w:rPr>
          <w:rFonts w:hint="eastAsia" w:ascii="ＭＳ 明朝" w:hAnsi="ＭＳ 明朝" w:eastAsia="ＭＳ 明朝"/>
          <w:color w:val="auto"/>
          <w:sz w:val="22"/>
          <w:highlight w:val="none"/>
          <w:u w:val="none" w:color="auto"/>
        </w:rPr>
      </w:pPr>
    </w:p>
    <w:p>
      <w:pPr>
        <w:pStyle w:val="0"/>
        <w:rPr>
          <w:rFonts w:hint="eastAsia" w:ascii="ＭＳ 明朝" w:hAnsi="ＭＳ 明朝" w:eastAsia="ＭＳ 明朝"/>
          <w:b w:val="1"/>
          <w:color w:val="auto"/>
          <w:sz w:val="22"/>
          <w:highlight w:val="none"/>
          <w:u w:val="none" w:color="auto"/>
          <w:bdr w:val="single" w:color="auto" w:sz="4" w:space="0"/>
          <w:shd w:val="clear" w:color="auto" w:themeFill="accent4" w:themeFillTint="33" w:themeFillShade="FF"/>
        </w:rPr>
      </w:pPr>
      <w:r>
        <w:rPr>
          <w:rFonts w:hint="eastAsia" w:ascii="ＭＳ 明朝" w:hAnsi="ＭＳ 明朝" w:eastAsia="ＭＳ 明朝"/>
          <w:b w:val="1"/>
          <w:color w:val="auto"/>
          <w:kern w:val="2"/>
          <w:sz w:val="22"/>
          <w:highlight w:val="none"/>
          <w:bdr w:val="single" w:color="auto" w:sz="4" w:space="0"/>
          <w:shd w:val="clear" w:color="auto" w:fill="E5DFEC"/>
        </w:rPr>
        <w:t>目標</w:t>
      </w:r>
    </w:p>
    <w:p>
      <w:pPr>
        <w:pStyle w:val="0"/>
        <w:autoSpaceDE w:val="0"/>
        <w:autoSpaceDN w:val="0"/>
        <w:adjustRightInd w:val="0"/>
        <w:spacing w:line="240" w:lineRule="auto"/>
        <w:rPr>
          <w:rFonts w:hint="eastAsia" w:ascii="ＭＳ 明朝" w:hAnsi="ＭＳ 明朝" w:eastAsia="ＭＳ 明朝"/>
          <w:b w:val="0"/>
          <w:color w:val="auto"/>
          <w:sz w:val="22"/>
          <w:highlight w:val="none"/>
          <w:u w:val="none" w:color="auto"/>
        </w:rPr>
      </w:pPr>
      <w:r>
        <w:rPr>
          <w:rFonts w:hint="eastAsia" w:ascii="ＭＳ 明朝" w:hAnsi="ＭＳ 明朝" w:eastAsia="ＭＳ 明朝"/>
          <w:b w:val="1"/>
          <w:color w:val="auto"/>
          <w:sz w:val="22"/>
          <w:highlight w:val="none"/>
          <w:u w:val="none" w:color="auto"/>
        </w:rPr>
        <w:t>【最終アウトカム】　</w:t>
      </w:r>
      <w:r>
        <w:rPr>
          <w:rFonts w:hint="eastAsia" w:ascii="ＭＳ 明朝" w:hAnsi="ＭＳ 明朝" w:eastAsia="ＭＳ 明朝"/>
          <w:b w:val="0"/>
          <w:color w:val="auto"/>
          <w:sz w:val="22"/>
          <w:highlight w:val="none"/>
          <w:u w:val="none" w:color="auto"/>
        </w:rPr>
        <w:t>脳卒中による死亡率が減少する</w:t>
      </w:r>
    </w:p>
    <w:tbl>
      <w:tblPr>
        <w:tblStyle w:val="11"/>
        <w:tblpPr w:leftFromText="142" w:rightFromText="142" w:topFromText="0" w:bottomFromText="0" w:vertAnchor="text" w:horzAnchor="margin" w:tblpXSpec="center" w:tblpY="24"/>
        <w:tblOverlap w:val="never"/>
        <w:tblW w:w="916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2316"/>
        <w:gridCol w:w="1702"/>
        <w:gridCol w:w="1703"/>
        <w:gridCol w:w="1589"/>
        <w:gridCol w:w="1852"/>
      </w:tblGrid>
      <w:tr>
        <w:trPr>
          <w:trHeight w:val="340" w:hRule="atLeast"/>
        </w:trPr>
        <w:tc>
          <w:tcPr>
            <w:tcW w:w="2316" w:type="dxa"/>
            <w:vMerge w:val="restart"/>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項　目</w:t>
            </w:r>
          </w:p>
        </w:tc>
        <w:tc>
          <w:tcPr>
            <w:tcW w:w="3405"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直近値</w:t>
            </w:r>
          </w:p>
        </w:tc>
        <w:tc>
          <w:tcPr>
            <w:tcW w:w="1589" w:type="dxa"/>
            <w:vMerge w:val="restart"/>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34"/>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目標</w:t>
            </w:r>
          </w:p>
          <w:p>
            <w:pPr>
              <w:pStyle w:val="0"/>
              <w:spacing w:line="240" w:lineRule="exact"/>
              <w:ind w:left="34" w:leftChars="0" w:right="-106" w:rightChars="-49" w:hanging="134"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w:t>
            </w:r>
            <w:r>
              <w:rPr>
                <w:rFonts w:hint="eastAsia" w:ascii="ＭＳ 明朝" w:hAnsi="ＭＳ 明朝" w:eastAsia="ＭＳ 明朝"/>
                <w:color w:val="auto"/>
                <w:sz w:val="20"/>
                <w:highlight w:val="none"/>
                <w:u w:val="none" w:color="auto"/>
              </w:rPr>
              <w:t>11</w:t>
            </w:r>
            <w:r>
              <w:rPr>
                <w:rFonts w:hint="eastAsia" w:ascii="ＭＳ 明朝" w:hAnsi="ＭＳ 明朝" w:eastAsia="ＭＳ 明朝"/>
                <w:color w:val="auto"/>
                <w:sz w:val="20"/>
                <w:highlight w:val="none"/>
                <w:u w:val="none" w:color="auto"/>
              </w:rPr>
              <w:t>年度）</w:t>
            </w:r>
          </w:p>
        </w:tc>
        <w:tc>
          <w:tcPr>
            <w:tcW w:w="1852"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直近値の出典</w:t>
            </w:r>
          </w:p>
        </w:tc>
      </w:tr>
      <w:tr>
        <w:trPr>
          <w:trHeight w:val="340" w:hRule="atLeast"/>
        </w:trPr>
        <w:tc>
          <w:tcPr>
            <w:tcW w:w="2316" w:type="dxa"/>
            <w:vMerge w:val="continue"/>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1702"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高知県</w:t>
            </w:r>
          </w:p>
        </w:tc>
        <w:tc>
          <w:tcPr>
            <w:tcW w:w="1703"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（参考）全国</w:t>
            </w:r>
          </w:p>
        </w:tc>
        <w:tc>
          <w:tcPr>
            <w:tcW w:w="1589" w:type="dxa"/>
            <w:vMerge w:val="continue"/>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rPr>
                <w:rFonts w:hint="eastAsia"/>
              </w:rPr>
            </w:pPr>
          </w:p>
        </w:tc>
        <w:tc>
          <w:tcPr>
            <w:tcW w:w="1852"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rPr>
                <w:rFonts w:hint="eastAsia"/>
              </w:rPr>
            </w:pPr>
          </w:p>
        </w:tc>
      </w:tr>
      <w:tr>
        <w:trPr>
          <w:trHeight w:val="680" w:hRule="atLeast"/>
        </w:trPr>
        <w:tc>
          <w:tcPr>
            <w:tcW w:w="2316" w:type="dxa"/>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spacing w:line="240" w:lineRule="exact"/>
              <w:ind w:left="0" w:leftChars="0" w:hanging="207" w:hangingChars="10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①脳血管疾患年齢調整死亡率</w:t>
            </w:r>
          </w:p>
        </w:tc>
        <w:tc>
          <w:tcPr>
            <w:tcW w:w="1702"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spacing w:line="240" w:lineRule="auto"/>
              <w:ind w:firstLine="103" w:firstLineChars="5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105.59</w:t>
            </w:r>
          </w:p>
          <w:p>
            <w:pPr>
              <w:pStyle w:val="0"/>
              <w:spacing w:line="240" w:lineRule="auto"/>
              <w:ind w:firstLine="103" w:firstLineChars="5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55.26</w:t>
            </w:r>
          </w:p>
        </w:tc>
        <w:tc>
          <w:tcPr>
            <w:tcW w:w="170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240" w:lineRule="exact"/>
              <w:ind w:left="34"/>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93.74</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55.11</w:t>
            </w:r>
          </w:p>
        </w:tc>
        <w:tc>
          <w:tcPr>
            <w:tcW w:w="158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auto"/>
              <w:ind w:left="34"/>
              <w:jc w:val="center"/>
              <w:rPr>
                <w:rFonts w:hint="eastAsia" w:ascii="ＭＳ 明朝" w:hAnsi="ＭＳ 明朝" w:eastAsia="ＭＳ 明朝"/>
                <w:color w:val="auto"/>
                <w:sz w:val="18"/>
                <w:highlight w:val="none"/>
                <w:u w:val="none" w:color="auto"/>
              </w:rPr>
            </w:pPr>
            <w:r>
              <w:rPr>
                <w:rFonts w:hint="eastAsia" w:ascii="ＭＳ 明朝" w:hAnsi="ＭＳ 明朝" w:eastAsia="ＭＳ 明朝"/>
                <w:color w:val="auto"/>
                <w:sz w:val="20"/>
                <w:highlight w:val="none"/>
                <w:u w:val="none" w:color="auto"/>
              </w:rPr>
              <w:t>減少</w:t>
            </w:r>
          </w:p>
        </w:tc>
        <w:tc>
          <w:tcPr>
            <w:tcW w:w="185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平成３年</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人口動態統計※</w:t>
            </w:r>
          </w:p>
        </w:tc>
      </w:tr>
      <w:tr>
        <w:trPr>
          <w:trHeight w:val="643" w:hRule="atLeast"/>
        </w:trPr>
        <w:tc>
          <w:tcPr>
            <w:tcW w:w="2316" w:type="dxa"/>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spacing w:line="240" w:lineRule="exact"/>
              <w:ind w:leftChars="0" w:hanging="207" w:hangingChars="1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②脳梗塞年齢調整死亡率</w:t>
            </w:r>
          </w:p>
        </w:tc>
        <w:tc>
          <w:tcPr>
            <w:tcW w:w="1702"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62.61</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29.97</w:t>
            </w:r>
          </w:p>
        </w:tc>
        <w:tc>
          <w:tcPr>
            <w:tcW w:w="170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240" w:lineRule="exact"/>
              <w:ind w:left="34"/>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52.83</w:t>
            </w:r>
          </w:p>
          <w:p>
            <w:pPr>
              <w:pStyle w:val="0"/>
              <w:ind w:leftChars="0" w:firstLine="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28.87</w:t>
            </w:r>
          </w:p>
        </w:tc>
        <w:tc>
          <w:tcPr>
            <w:tcW w:w="158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減少</w:t>
            </w:r>
          </w:p>
        </w:tc>
        <w:tc>
          <w:tcPr>
            <w:tcW w:w="185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平成３年</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人口動態統計</w:t>
            </w:r>
            <w:r>
              <w:rPr>
                <w:rFonts w:hint="eastAsia" w:ascii="ＭＳ 明朝" w:hAnsi="ＭＳ 明朝" w:eastAsia="ＭＳ 明朝"/>
                <w:color w:val="auto"/>
                <w:sz w:val="20"/>
                <w:highlight w:val="none"/>
                <w:u w:val="none" w:color="auto"/>
                <w:vertAlign w:val="baseline"/>
              </w:rPr>
              <w:t>※</w:t>
            </w:r>
          </w:p>
        </w:tc>
      </w:tr>
      <w:tr>
        <w:trPr>
          <w:trHeight w:val="643" w:hRule="atLeast"/>
        </w:trPr>
        <w:tc>
          <w:tcPr>
            <w:tcW w:w="2316" w:type="dxa"/>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spacing w:line="240" w:lineRule="exact"/>
              <w:ind w:leftChars="0" w:hanging="207" w:hangingChars="1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③脳出血年齢調整死亡率</w:t>
            </w:r>
          </w:p>
        </w:tc>
        <w:tc>
          <w:tcPr>
            <w:tcW w:w="1702" w:type="dxa"/>
            <w:tcBorders>
              <w:top w:val="single" w:color="auto" w:sz="4" w:space="0"/>
              <w:left w:val="single" w:color="auto" w:sz="6"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33.16</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15.52</w:t>
            </w:r>
          </w:p>
        </w:tc>
        <w:tc>
          <w:tcPr>
            <w:tcW w:w="1703"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240" w:lineRule="exact"/>
              <w:ind w:left="34"/>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31.43</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16.10</w:t>
            </w:r>
          </w:p>
        </w:tc>
        <w:tc>
          <w:tcPr>
            <w:tcW w:w="158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20"/>
                <w:highlight w:val="none"/>
                <w:u w:val="none" w:color="auto"/>
              </w:rPr>
              <w:t>減少</w:t>
            </w:r>
          </w:p>
        </w:tc>
        <w:tc>
          <w:tcPr>
            <w:tcW w:w="1852"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平成３年</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人口動態統計</w:t>
            </w:r>
            <w:r>
              <w:rPr>
                <w:rFonts w:hint="eastAsia" w:ascii="ＭＳ 明朝" w:hAnsi="ＭＳ 明朝" w:eastAsia="ＭＳ 明朝"/>
                <w:color w:val="auto"/>
                <w:sz w:val="20"/>
                <w:highlight w:val="none"/>
                <w:u w:val="none" w:color="auto"/>
                <w:vertAlign w:val="baseline"/>
              </w:rPr>
              <w:t>※</w:t>
            </w:r>
          </w:p>
        </w:tc>
      </w:tr>
      <w:tr>
        <w:trPr>
          <w:trHeight w:val="643" w:hRule="atLeast"/>
        </w:trPr>
        <w:tc>
          <w:tcPr>
            <w:tcW w:w="2316"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spacing w:line="240" w:lineRule="exact"/>
              <w:ind w:leftChars="0" w:hanging="207" w:hangingChars="1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④くも膜下出血年齢調整死亡率</w:t>
            </w:r>
          </w:p>
        </w:tc>
        <w:tc>
          <w:tcPr>
            <w:tcW w:w="1702" w:type="dxa"/>
            <w:tcBorders>
              <w:top w:val="single" w:color="auto" w:sz="4" w:space="0"/>
              <w:left w:val="single" w:color="auto" w:sz="6" w:space="0"/>
              <w:bottom w:val="single" w:color="auto" w:sz="6"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7.94</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9.03</w:t>
            </w:r>
          </w:p>
        </w:tc>
        <w:tc>
          <w:tcPr>
            <w:tcW w:w="1703" w:type="dxa"/>
            <w:tcBorders>
              <w:top w:val="single" w:color="auto" w:sz="4" w:space="0"/>
              <w:left w:val="single" w:color="auto" w:sz="4" w:space="0"/>
              <w:bottom w:val="single" w:color="auto" w:sz="6" w:space="0"/>
              <w:right w:val="none" w:color="auto" w:sz="0" w:space="0"/>
              <w:tl2br w:val="none" w:color="auto" w:sz="0" w:space="0"/>
              <w:tr2bl w:val="none" w:color="auto" w:sz="0" w:space="0"/>
            </w:tcBorders>
            <w:vAlign w:val="center"/>
          </w:tcPr>
          <w:p>
            <w:pPr>
              <w:pStyle w:val="0"/>
              <w:spacing w:line="240" w:lineRule="exact"/>
              <w:ind w:left="0"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6.99</w:t>
            </w:r>
          </w:p>
          <w:p>
            <w:pPr>
              <w:pStyle w:val="0"/>
              <w:spacing w:line="240" w:lineRule="exact"/>
              <w:ind w:left="0" w:leftChars="0" w:firstLine="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8.48</w:t>
            </w:r>
          </w:p>
        </w:tc>
        <w:tc>
          <w:tcPr>
            <w:tcW w:w="1589"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20"/>
                <w:highlight w:val="none"/>
                <w:u w:val="none" w:color="auto"/>
              </w:rPr>
              <w:t>減少</w:t>
            </w:r>
          </w:p>
        </w:tc>
        <w:tc>
          <w:tcPr>
            <w:tcW w:w="1852"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平成３年</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人口動態統計</w:t>
            </w:r>
            <w:r>
              <w:rPr>
                <w:rFonts w:hint="eastAsia" w:ascii="ＭＳ 明朝" w:hAnsi="ＭＳ 明朝" w:eastAsia="ＭＳ 明朝"/>
                <w:color w:val="auto"/>
                <w:sz w:val="20"/>
                <w:highlight w:val="none"/>
                <w:u w:val="none" w:color="auto"/>
                <w:vertAlign w:val="baseline"/>
              </w:rPr>
              <w:t>※</w:t>
            </w:r>
          </w:p>
        </w:tc>
      </w:tr>
    </w:tbl>
    <w:p>
      <w:pPr>
        <w:pStyle w:val="0"/>
        <w:numPr>
          <w:numId w:val="0"/>
        </w:numPr>
        <w:autoSpaceDE w:val="0"/>
        <w:autoSpaceDN w:val="0"/>
        <w:adjustRightInd w:val="0"/>
        <w:spacing w:line="240" w:lineRule="auto"/>
        <w:ind w:left="0" w:leftChars="0" w:firstLineChars="0"/>
        <w:rPr>
          <w:rFonts w:hint="eastAsia" w:ascii="ＭＳ 明朝" w:hAnsi="ＭＳ 明朝" w:eastAsia="ＭＳ 明朝"/>
          <w:b w:val="0"/>
          <w:color w:val="FF0000"/>
          <w:sz w:val="16"/>
          <w:highlight w:val="none"/>
          <w:u w:val="single" w:color="auto"/>
        </w:rPr>
      </w:pPr>
      <w:r>
        <w:rPr>
          <w:rFonts w:hint="eastAsia" w:ascii="ＭＳ 明朝" w:hAnsi="ＭＳ 明朝" w:eastAsia="ＭＳ 明朝"/>
          <w:b w:val="0"/>
          <w:color w:val="auto"/>
          <w:sz w:val="16"/>
          <w:highlight w:val="none"/>
          <w:u w:val="none" w:color="auto"/>
        </w:rPr>
        <w:t>※</w:t>
      </w:r>
      <w:r>
        <w:rPr>
          <w:rFonts w:hint="eastAsia" w:ascii="ＭＳ 明朝" w:hAnsi="ＭＳ 明朝" w:eastAsia="ＭＳ 明朝"/>
          <w:color w:val="auto"/>
          <w:sz w:val="16"/>
          <w:highlight w:val="none"/>
          <w:u w:val="none" w:color="auto"/>
        </w:rPr>
        <w:t>年齢調整死亡率の基準人口は平成</w:t>
      </w:r>
      <w:r>
        <w:rPr>
          <w:rFonts w:hint="eastAsia" w:ascii="ＭＳ 明朝" w:hAnsi="ＭＳ 明朝" w:eastAsia="ＭＳ 明朝"/>
          <w:color w:val="auto"/>
          <w:sz w:val="16"/>
          <w:highlight w:val="none"/>
          <w:u w:val="none" w:color="auto"/>
        </w:rPr>
        <w:t>27</w:t>
      </w:r>
      <w:r>
        <w:rPr>
          <w:rFonts w:hint="eastAsia" w:ascii="ＭＳ 明朝" w:hAnsi="ＭＳ 明朝" w:eastAsia="ＭＳ 明朝"/>
          <w:color w:val="auto"/>
          <w:sz w:val="16"/>
          <w:highlight w:val="none"/>
          <w:u w:val="none" w:color="auto"/>
        </w:rPr>
        <w:t>年モデル人口</w:t>
      </w:r>
    </w:p>
    <w:p>
      <w:pPr>
        <w:pStyle w:val="0"/>
        <w:numPr>
          <w:numId w:val="0"/>
        </w:numPr>
        <w:autoSpaceDE w:val="0"/>
        <w:autoSpaceDN w:val="0"/>
        <w:adjustRightInd w:val="0"/>
        <w:spacing w:line="240" w:lineRule="auto"/>
        <w:ind w:left="0" w:leftChars="0" w:firstLineChars="0"/>
        <w:rPr>
          <w:rFonts w:hint="eastAsia" w:ascii="ＭＳ 明朝" w:hAnsi="ＭＳ 明朝" w:eastAsia="ＭＳ 明朝"/>
          <w:color w:val="002060"/>
          <w:highlight w:val="none"/>
          <w:u w:val="none" w:color="auto"/>
        </w:rPr>
      </w:pPr>
    </w:p>
    <w:p>
      <w:pPr>
        <w:pStyle w:val="0"/>
        <w:numPr>
          <w:numId w:val="0"/>
        </w:numPr>
        <w:autoSpaceDE w:val="0"/>
        <w:autoSpaceDN w:val="0"/>
        <w:adjustRightInd w:val="0"/>
        <w:spacing w:line="240" w:lineRule="auto"/>
        <w:ind w:left="0" w:leftChars="0" w:firstLineChars="0"/>
        <w:rPr>
          <w:rFonts w:hint="eastAsia" w:ascii="ＭＳ 明朝" w:hAnsi="ＭＳ 明朝" w:eastAsia="ＭＳ 明朝"/>
          <w:color w:val="002060"/>
          <w:highlight w:val="none"/>
          <w:u w:val="none" w:color="auto"/>
        </w:rPr>
      </w:pPr>
    </w:p>
    <w:p>
      <w:pPr>
        <w:pStyle w:val="0"/>
        <w:numPr>
          <w:numId w:val="0"/>
        </w:numPr>
        <w:autoSpaceDE w:val="0"/>
        <w:autoSpaceDN w:val="0"/>
        <w:adjustRightInd w:val="0"/>
        <w:spacing w:line="240" w:lineRule="auto"/>
        <w:ind w:left="0" w:leftChars="0" w:firstLineChars="0"/>
        <w:rPr>
          <w:rFonts w:hint="eastAsia" w:ascii="ＭＳ 明朝" w:hAnsi="ＭＳ 明朝" w:eastAsia="ＭＳ 明朝"/>
          <w:color w:val="002060"/>
          <w:highlight w:val="none"/>
          <w:u w:val="none" w:color="auto"/>
        </w:rPr>
      </w:pPr>
      <w:r>
        <w:rPr>
          <w:rFonts w:hint="eastAsia"/>
        </w:rPr>
        <w:br w:type="page"/>
      </w:r>
    </w:p>
    <w:p>
      <w:pPr>
        <w:pStyle w:val="0"/>
        <w:numPr>
          <w:numId w:val="0"/>
        </w:numPr>
        <w:autoSpaceDE w:val="0"/>
        <w:autoSpaceDN w:val="0"/>
        <w:adjustRightInd w:val="0"/>
        <w:spacing w:line="240" w:lineRule="auto"/>
        <w:ind w:left="0" w:leftChars="0" w:firstLineChars="0"/>
        <w:rPr>
          <w:rFonts w:hint="eastAsia" w:ascii="ＭＳ 明朝" w:hAnsi="ＭＳ 明朝" w:eastAsia="ＭＳ 明朝"/>
          <w:color w:val="002060"/>
          <w:highlight w:val="none"/>
          <w:u w:val="none" w:color="auto"/>
        </w:rPr>
      </w:pPr>
      <w:r>
        <w:rPr>
          <w:rFonts w:hint="eastAsia" w:ascii="ＭＳ 明朝" w:hAnsi="ＭＳ 明朝" w:eastAsia="ＭＳ 明朝"/>
          <w:b w:val="1"/>
          <w:color w:val="0070C0"/>
          <w:sz w:val="22"/>
          <w:highlight w:val="none"/>
        </w:rPr>
        <w:t>１　予防</w:t>
      </w:r>
    </w:p>
    <w:tbl>
      <w:tblPr>
        <w:tblStyle w:val="11"/>
        <w:tblpPr w:leftFromText="142" w:rightFromText="142" w:topFromText="0" w:bottomFromText="0" w:vertAnchor="text" w:horzAnchor="margin" w:tblpXSpec="left" w:tblpY="91"/>
        <w:tblOverlap w:val="never"/>
        <w:tblW w:w="908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1135"/>
        <w:gridCol w:w="2497"/>
        <w:gridCol w:w="1589"/>
        <w:gridCol w:w="1814"/>
        <w:gridCol w:w="2045"/>
      </w:tblGrid>
      <w:tr>
        <w:trPr>
          <w:trHeight w:val="197" w:hRule="atLeast"/>
        </w:trPr>
        <w:tc>
          <w:tcPr>
            <w:tcW w:w="1135"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区分</w:t>
            </w:r>
          </w:p>
        </w:tc>
        <w:tc>
          <w:tcPr>
            <w:tcW w:w="249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項　目</w:t>
            </w:r>
          </w:p>
        </w:tc>
        <w:tc>
          <w:tcPr>
            <w:tcW w:w="1589"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w:t>
            </w:r>
          </w:p>
        </w:tc>
        <w:tc>
          <w:tcPr>
            <w:tcW w:w="1814"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目標</w:t>
            </w:r>
          </w:p>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（令和</w:t>
            </w:r>
            <w:r>
              <w:rPr>
                <w:rFonts w:hint="eastAsia" w:ascii="ＭＳ 明朝" w:hAnsi="ＭＳ 明朝" w:eastAsia="ＭＳ 明朝"/>
                <w:color w:val="auto"/>
                <w:sz w:val="20"/>
                <w:highlight w:val="none"/>
              </w:rPr>
              <w:t>11</w:t>
            </w:r>
            <w:r>
              <w:rPr>
                <w:rFonts w:hint="eastAsia" w:ascii="ＭＳ 明朝" w:hAnsi="ＭＳ 明朝" w:eastAsia="ＭＳ 明朝"/>
                <w:color w:val="auto"/>
                <w:sz w:val="20"/>
                <w:highlight w:val="none"/>
              </w:rPr>
              <w:t>年度）</w:t>
            </w:r>
          </w:p>
        </w:tc>
        <w:tc>
          <w:tcPr>
            <w:tcW w:w="2045"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直近値の出典</w:t>
            </w:r>
          </w:p>
        </w:tc>
      </w:tr>
      <w:tr>
        <w:trPr>
          <w:trHeight w:val="643" w:hRule="atLeast"/>
        </w:trPr>
        <w:tc>
          <w:tcPr>
            <w:tcW w:w="1135" w:type="dxa"/>
            <w:vMerge w:val="restart"/>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初期アウトカム</w:t>
            </w:r>
          </w:p>
        </w:tc>
        <w:tc>
          <w:tcPr>
            <w:tcW w:w="2497"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①特定健診実施率</w:t>
            </w:r>
          </w:p>
        </w:tc>
        <w:tc>
          <w:tcPr>
            <w:tcW w:w="1589" w:type="dxa"/>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53.7</w:t>
            </w:r>
            <w:r>
              <w:rPr>
                <w:rFonts w:hint="eastAsia" w:ascii="ＭＳ 明朝" w:hAnsi="ＭＳ 明朝" w:eastAsia="ＭＳ 明朝"/>
                <w:color w:val="auto"/>
                <w:sz w:val="20"/>
                <w:highlight w:val="none"/>
                <w:u w:val="none" w:color="auto"/>
              </w:rPr>
              <w:t>％</w:t>
            </w:r>
          </w:p>
        </w:tc>
        <w:tc>
          <w:tcPr>
            <w:tcW w:w="1814"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70</w:t>
            </w:r>
            <w:r>
              <w:rPr>
                <w:rFonts w:hint="eastAsia" w:ascii="ＭＳ 明朝" w:hAnsi="ＭＳ 明朝" w:eastAsia="ＭＳ 明朝"/>
                <w:color w:val="auto"/>
                <w:sz w:val="20"/>
                <w:highlight w:val="none"/>
                <w:u w:val="none" w:color="auto"/>
              </w:rPr>
              <w:t>％以上</w:t>
            </w:r>
          </w:p>
        </w:tc>
        <w:tc>
          <w:tcPr>
            <w:tcW w:w="2045"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厚生労働省</w:t>
            </w:r>
            <w:r>
              <w:rPr>
                <w:rFonts w:hint="eastAsia" w:ascii="ＭＳ 明朝" w:hAnsi="ＭＳ 明朝" w:eastAsia="ＭＳ 明朝"/>
                <w:color w:val="auto"/>
                <w:sz w:val="20"/>
                <w:highlight w:val="none"/>
                <w:u w:val="none" w:color="auto"/>
              </w:rPr>
              <w:t>HP</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（令和３年度）</w:t>
            </w:r>
          </w:p>
        </w:tc>
      </w:tr>
      <w:tr>
        <w:trPr>
          <w:trHeight w:val="643" w:hRule="atLeast"/>
        </w:trPr>
        <w:tc>
          <w:tcPr>
            <w:tcW w:w="1135" w:type="dxa"/>
            <w:vMerge w:val="continue"/>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rPr>
                <w:rFonts w:hint="eastAsia"/>
              </w:rPr>
            </w:pPr>
          </w:p>
        </w:tc>
        <w:tc>
          <w:tcPr>
            <w:tcW w:w="2497"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②特定保健指導実施率</w:t>
            </w:r>
          </w:p>
        </w:tc>
        <w:tc>
          <w:tcPr>
            <w:tcW w:w="1589" w:type="dxa"/>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24.4</w:t>
            </w:r>
            <w:r>
              <w:rPr>
                <w:rFonts w:hint="eastAsia" w:ascii="ＭＳ 明朝" w:hAnsi="ＭＳ 明朝" w:eastAsia="ＭＳ 明朝"/>
                <w:color w:val="auto"/>
                <w:sz w:val="20"/>
                <w:highlight w:val="none"/>
                <w:u w:val="none" w:color="auto"/>
              </w:rPr>
              <w:t>％</w:t>
            </w:r>
          </w:p>
        </w:tc>
        <w:tc>
          <w:tcPr>
            <w:tcW w:w="1814"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45</w:t>
            </w:r>
            <w:r>
              <w:rPr>
                <w:rFonts w:hint="eastAsia" w:ascii="ＭＳ 明朝" w:hAnsi="ＭＳ 明朝" w:eastAsia="ＭＳ 明朝"/>
                <w:color w:val="auto"/>
                <w:sz w:val="20"/>
                <w:highlight w:val="none"/>
                <w:u w:val="none" w:color="auto"/>
              </w:rPr>
              <w:t>％以上</w:t>
            </w:r>
          </w:p>
        </w:tc>
        <w:tc>
          <w:tcPr>
            <w:tcW w:w="2045"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厚生労働省</w:t>
            </w:r>
            <w:r>
              <w:rPr>
                <w:rFonts w:hint="eastAsia" w:ascii="ＭＳ 明朝" w:hAnsi="ＭＳ 明朝" w:eastAsia="ＭＳ 明朝"/>
                <w:color w:val="auto"/>
                <w:sz w:val="20"/>
                <w:highlight w:val="none"/>
                <w:u w:val="none" w:color="auto"/>
              </w:rPr>
              <w:t>HP</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（令和３年度）</w:t>
            </w:r>
          </w:p>
        </w:tc>
      </w:tr>
      <w:tr>
        <w:trPr>
          <w:trHeight w:val="720" w:hRule="atLeast"/>
        </w:trPr>
        <w:tc>
          <w:tcPr>
            <w:tcW w:w="1135" w:type="dxa"/>
            <w:vMerge w:val="restart"/>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中間アウトカム</w:t>
            </w:r>
          </w:p>
          <w:p>
            <w:pPr>
              <w:pStyle w:val="0"/>
              <w:rPr>
                <w:rFonts w:hint="eastAsia" w:ascii="ＭＳ 明朝" w:hAnsi="ＭＳ 明朝" w:eastAsia="ＭＳ 明朝"/>
                <w:color w:val="auto"/>
                <w:sz w:val="20"/>
                <w:highlight w:val="none"/>
                <w:u w:val="none" w:color="auto"/>
              </w:rPr>
            </w:pPr>
          </w:p>
        </w:tc>
        <w:tc>
          <w:tcPr>
            <w:tcW w:w="2497"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spacing w:line="240" w:lineRule="exact"/>
              <w:ind w:left="0" w:leftChars="0" w:hanging="207" w:hangingChars="10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③</w:t>
            </w:r>
            <w:r>
              <w:rPr>
                <w:rFonts w:hint="eastAsia" w:ascii="ＭＳ 明朝" w:hAnsi="ＭＳ 明朝" w:eastAsia="ＭＳ 明朝"/>
                <w:color w:val="auto"/>
                <w:sz w:val="20"/>
                <w:highlight w:val="none"/>
                <w:u w:val="none" w:color="auto"/>
              </w:rPr>
              <w:t>20</w:t>
            </w:r>
            <w:r>
              <w:rPr>
                <w:rFonts w:hint="eastAsia" w:ascii="ＭＳ 明朝" w:hAnsi="ＭＳ 明朝" w:eastAsia="ＭＳ 明朝"/>
                <w:color w:val="auto"/>
                <w:sz w:val="20"/>
                <w:highlight w:val="none"/>
                <w:u w:val="none" w:color="auto"/>
              </w:rPr>
              <w:t>歳以上の喫煙率</w:t>
            </w:r>
          </w:p>
        </w:tc>
        <w:tc>
          <w:tcPr>
            <w:tcW w:w="1589" w:type="dxa"/>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27.0</w:t>
            </w: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 xml:space="preserve"> 6.4</w:t>
            </w:r>
            <w:r>
              <w:rPr>
                <w:rFonts w:hint="eastAsia" w:ascii="ＭＳ 明朝" w:hAnsi="ＭＳ 明朝" w:eastAsia="ＭＳ 明朝"/>
                <w:color w:val="auto"/>
                <w:sz w:val="20"/>
                <w:highlight w:val="none"/>
                <w:u w:val="none" w:color="auto"/>
              </w:rPr>
              <w:t>％</w:t>
            </w:r>
          </w:p>
        </w:tc>
        <w:tc>
          <w:tcPr>
            <w:tcW w:w="1814"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20</w:t>
            </w:r>
            <w:r>
              <w:rPr>
                <w:rFonts w:hint="eastAsia" w:ascii="ＭＳ 明朝" w:hAnsi="ＭＳ 明朝" w:eastAsia="ＭＳ 明朝"/>
                <w:color w:val="auto"/>
                <w:sz w:val="20"/>
                <w:highlight w:val="none"/>
                <w:u w:val="none" w:color="auto"/>
              </w:rPr>
              <w:t>％以下</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５％以下</w:t>
            </w:r>
          </w:p>
        </w:tc>
        <w:tc>
          <w:tcPr>
            <w:tcW w:w="2045"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令和４年高知県県民健康・栄養調査</w:t>
            </w:r>
          </w:p>
        </w:tc>
      </w:tr>
      <w:tr>
        <w:trPr>
          <w:trHeight w:val="875" w:hRule="atLeast"/>
        </w:trPr>
        <w:tc>
          <w:tcPr>
            <w:tcW w:w="1135" w:type="dxa"/>
            <w:vMerge w:val="continue"/>
            <w:tcBorders>
              <w:top w:val="single" w:color="auto" w:sz="4" w:space="0"/>
              <w:left w:val="single" w:color="auto" w:sz="4" w:space="0"/>
              <w:bottom w:val="single" w:color="auto" w:sz="4" w:space="0"/>
              <w:right w:val="single" w:color="auto" w:sz="6" w:space="0"/>
              <w:tl2br w:val="none" w:color="auto" w:sz="0" w:space="0"/>
              <w:tr2bl w:val="none" w:color="auto" w:sz="0" w:space="0"/>
            </w:tcBorders>
            <w:shd w:val="clear" w:color="auto" w:fill="DAEEF3"/>
            <w:vAlign w:val="center"/>
          </w:tcPr>
          <w:p>
            <w:pPr>
              <w:pStyle w:val="0"/>
              <w:rPr>
                <w:rFonts w:hint="eastAsia"/>
              </w:rPr>
            </w:pPr>
          </w:p>
        </w:tc>
        <w:tc>
          <w:tcPr>
            <w:tcW w:w="2497" w:type="dxa"/>
            <w:tcBorders>
              <w:top w:val="single" w:color="auto" w:sz="4" w:space="0"/>
              <w:left w:val="single" w:color="auto" w:sz="4" w:space="0"/>
              <w:bottom w:val="single" w:color="auto" w:sz="6" w:space="0"/>
              <w:right w:val="none" w:color="auto" w:sz="0" w:space="0"/>
              <w:tl2br w:val="none" w:color="auto" w:sz="0" w:space="0"/>
              <w:tr2bl w:val="none" w:color="auto" w:sz="0" w:space="0"/>
            </w:tcBorders>
            <w:shd w:val="clear" w:color="auto" w:fill="DAEEF3"/>
            <w:vAlign w:val="center"/>
          </w:tcPr>
          <w:p>
            <w:pPr>
              <w:pStyle w:val="0"/>
              <w:spacing w:line="240" w:lineRule="exact"/>
              <w:ind w:leftChars="0" w:hanging="180" w:hangingChars="87"/>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④収縮期血圧</w:t>
            </w:r>
            <w:r>
              <w:rPr>
                <w:rFonts w:hint="eastAsia" w:ascii="ＭＳ 明朝" w:hAnsi="ＭＳ 明朝" w:eastAsia="ＭＳ 明朝"/>
                <w:color w:val="auto"/>
                <w:sz w:val="20"/>
                <w:highlight w:val="none"/>
                <w:u w:val="none" w:color="auto"/>
              </w:rPr>
              <w:t>130mmHg</w:t>
            </w:r>
            <w:r>
              <w:rPr>
                <w:rFonts w:hint="eastAsia" w:ascii="ＭＳ 明朝" w:hAnsi="ＭＳ 明朝" w:eastAsia="ＭＳ 明朝"/>
                <w:color w:val="auto"/>
                <w:sz w:val="20"/>
                <w:highlight w:val="none"/>
                <w:u w:val="none" w:color="auto"/>
              </w:rPr>
              <w:t>以上の人の割合（</w:t>
            </w:r>
            <w:r>
              <w:rPr>
                <w:rFonts w:hint="eastAsia" w:ascii="ＭＳ 明朝" w:hAnsi="ＭＳ 明朝" w:eastAsia="ＭＳ 明朝"/>
                <w:color w:val="auto"/>
                <w:sz w:val="20"/>
                <w:highlight w:val="none"/>
                <w:u w:val="none" w:color="auto"/>
              </w:rPr>
              <w:t>40</w:t>
            </w:r>
            <w:r>
              <w:rPr>
                <w:rFonts w:hint="eastAsia" w:ascii="ＭＳ 明朝" w:hAnsi="ＭＳ 明朝" w:eastAsia="ＭＳ 明朝"/>
                <w:color w:val="auto"/>
                <w:sz w:val="20"/>
                <w:highlight w:val="none"/>
                <w:u w:val="none" w:color="auto"/>
              </w:rPr>
              <w:t>歳以上）</w:t>
            </w:r>
          </w:p>
        </w:tc>
        <w:tc>
          <w:tcPr>
            <w:tcW w:w="1589"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56.3</w:t>
            </w: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59.6</w:t>
            </w:r>
            <w:r>
              <w:rPr>
                <w:rFonts w:hint="eastAsia" w:ascii="ＭＳ 明朝" w:hAnsi="ＭＳ 明朝" w:eastAsia="ＭＳ 明朝"/>
                <w:color w:val="auto"/>
                <w:sz w:val="20"/>
                <w:highlight w:val="none"/>
                <w:u w:val="none" w:color="auto"/>
              </w:rPr>
              <w:t>％</w:t>
            </w:r>
          </w:p>
        </w:tc>
        <w:tc>
          <w:tcPr>
            <w:tcW w:w="1814"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男女とも</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45</w:t>
            </w:r>
            <w:r>
              <w:rPr>
                <w:rFonts w:hint="eastAsia" w:ascii="ＭＳ 明朝" w:hAnsi="ＭＳ 明朝" w:eastAsia="ＭＳ 明朝"/>
                <w:color w:val="auto"/>
                <w:sz w:val="20"/>
                <w:highlight w:val="none"/>
                <w:u w:val="none" w:color="auto"/>
              </w:rPr>
              <w:t>％以下</w:t>
            </w:r>
          </w:p>
        </w:tc>
        <w:tc>
          <w:tcPr>
            <w:tcW w:w="2045"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令和４年高知県県民健康・栄養調査</w:t>
            </w:r>
          </w:p>
        </w:tc>
      </w:tr>
      <w:tr>
        <w:trPr>
          <w:trHeight w:val="860" w:hRule="atLeast"/>
        </w:trPr>
        <w:tc>
          <w:tcPr>
            <w:tcW w:w="1135" w:type="dxa"/>
            <w:vMerge w:val="continue"/>
            <w:tcBorders>
              <w:top w:val="none" w:color="auto" w:sz="0" w:space="0"/>
              <w:left w:val="single" w:color="auto" w:sz="4" w:space="0"/>
              <w:bottom w:val="single" w:color="auto" w:sz="4" w:space="0"/>
              <w:right w:val="single" w:color="auto" w:sz="6" w:space="0"/>
              <w:tl2br w:val="none" w:color="auto" w:sz="0" w:space="0"/>
              <w:tr2bl w:val="none" w:color="auto" w:sz="0" w:space="0"/>
            </w:tcBorders>
            <w:shd w:val="clear" w:color="auto" w:fill="DAEEF3"/>
            <w:vAlign w:val="center"/>
          </w:tcPr>
          <w:p>
            <w:pPr>
              <w:pStyle w:val="0"/>
              <w:rPr>
                <w:rFonts w:hint="eastAsia"/>
              </w:rPr>
            </w:pPr>
          </w:p>
        </w:tc>
        <w:tc>
          <w:tcPr>
            <w:tcW w:w="2497"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Chars="0" w:hanging="180" w:hangingChars="87"/>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⑤脂質高値</w:t>
            </w: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ＬＤＬコレステロール</w:t>
            </w:r>
            <w:r>
              <w:rPr>
                <w:rFonts w:hint="eastAsia" w:ascii="ＭＳ 明朝" w:hAnsi="ＭＳ 明朝" w:eastAsia="ＭＳ 明朝"/>
                <w:color w:val="auto"/>
                <w:sz w:val="20"/>
                <w:highlight w:val="none"/>
                <w:u w:val="none" w:color="auto"/>
              </w:rPr>
              <w:t>160mg/dL</w:t>
            </w:r>
            <w:r>
              <w:rPr>
                <w:rFonts w:hint="eastAsia" w:ascii="ＭＳ 明朝" w:hAnsi="ＭＳ 明朝" w:eastAsia="ＭＳ 明朝"/>
                <w:color w:val="auto"/>
                <w:sz w:val="20"/>
                <w:highlight w:val="none"/>
                <w:u w:val="none" w:color="auto"/>
              </w:rPr>
              <w:t>以上</w:t>
            </w:r>
            <w:r>
              <w:rPr>
                <w:rFonts w:hint="eastAsia" w:ascii="ＭＳ 明朝" w:hAnsi="ＭＳ 明朝" w:eastAsia="ＭＳ 明朝"/>
                <w:color w:val="auto"/>
                <w:sz w:val="20"/>
                <w:highlight w:val="none"/>
                <w:u w:val="none" w:color="auto"/>
              </w:rPr>
              <w:t>)</w:t>
            </w:r>
            <w:r>
              <w:rPr>
                <w:rFonts w:hint="eastAsia" w:ascii="ＭＳ 明朝" w:hAnsi="ＭＳ 明朝" w:eastAsia="ＭＳ 明朝"/>
                <w:color w:val="auto"/>
                <w:sz w:val="20"/>
                <w:highlight w:val="none"/>
                <w:u w:val="none" w:color="auto"/>
              </w:rPr>
              <w:t>の人の割合</w:t>
            </w:r>
          </w:p>
        </w:tc>
        <w:tc>
          <w:tcPr>
            <w:tcW w:w="15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9.5</w:t>
            </w: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7.1</w:t>
            </w:r>
            <w:r>
              <w:rPr>
                <w:rFonts w:hint="eastAsia" w:ascii="ＭＳ 明朝" w:hAnsi="ＭＳ 明朝" w:eastAsia="ＭＳ 明朝"/>
                <w:color w:val="auto"/>
                <w:sz w:val="20"/>
                <w:highlight w:val="none"/>
                <w:u w:val="none" w:color="auto"/>
              </w:rPr>
              <w:t>％</w:t>
            </w:r>
          </w:p>
        </w:tc>
        <w:tc>
          <w:tcPr>
            <w:tcW w:w="181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男性　</w:t>
            </w:r>
            <w:r>
              <w:rPr>
                <w:rFonts w:hint="eastAsia" w:ascii="ＭＳ 明朝" w:hAnsi="ＭＳ 明朝" w:eastAsia="ＭＳ 明朝"/>
                <w:color w:val="auto"/>
                <w:sz w:val="20"/>
                <w:highlight w:val="none"/>
                <w:u w:val="none" w:color="auto"/>
              </w:rPr>
              <w:t>7.6</w:t>
            </w:r>
            <w:r>
              <w:rPr>
                <w:rFonts w:hint="eastAsia" w:ascii="ＭＳ 明朝" w:hAnsi="ＭＳ 明朝" w:eastAsia="ＭＳ 明朝"/>
                <w:color w:val="auto"/>
                <w:sz w:val="20"/>
                <w:highlight w:val="none"/>
                <w:u w:val="none" w:color="auto"/>
              </w:rPr>
              <w:t>％</w:t>
            </w:r>
          </w:p>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女性　</w:t>
            </w:r>
            <w:r>
              <w:rPr>
                <w:rFonts w:hint="eastAsia" w:ascii="ＭＳ 明朝" w:hAnsi="ＭＳ 明朝" w:eastAsia="ＭＳ 明朝"/>
                <w:color w:val="auto"/>
                <w:sz w:val="20"/>
                <w:highlight w:val="none"/>
                <w:u w:val="none" w:color="auto"/>
              </w:rPr>
              <w:t>5.6</w:t>
            </w:r>
            <w:r>
              <w:rPr>
                <w:rFonts w:hint="eastAsia" w:ascii="ＭＳ 明朝" w:hAnsi="ＭＳ 明朝" w:eastAsia="ＭＳ 明朝"/>
                <w:color w:val="auto"/>
                <w:sz w:val="20"/>
                <w:highlight w:val="none"/>
                <w:u w:val="none" w:color="auto"/>
              </w:rPr>
              <w:t>％</w:t>
            </w:r>
          </w:p>
        </w:tc>
        <w:tc>
          <w:tcPr>
            <w:tcW w:w="20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令和４年高知県県民健康・栄養調査</w:t>
            </w:r>
          </w:p>
        </w:tc>
      </w:tr>
      <w:tr>
        <w:trPr>
          <w:trHeight w:val="1035" w:hRule="atLeast"/>
        </w:trPr>
        <w:tc>
          <w:tcPr>
            <w:tcW w:w="1135" w:type="dxa"/>
            <w:vMerge w:val="continue"/>
            <w:tcBorders>
              <w:top w:val="none" w:color="auto" w:sz="0" w:space="0"/>
              <w:left w:val="single" w:color="auto" w:sz="4" w:space="0"/>
              <w:bottom w:val="single" w:color="auto" w:sz="4" w:space="0"/>
              <w:right w:val="single" w:color="auto" w:sz="6" w:space="0"/>
              <w:tl2br w:val="none" w:color="auto" w:sz="0" w:space="0"/>
              <w:tr2bl w:val="none" w:color="auto" w:sz="0" w:space="0"/>
            </w:tcBorders>
            <w:shd w:val="clear" w:color="auto" w:fill="DAEEF3"/>
            <w:vAlign w:val="center"/>
          </w:tcPr>
          <w:p>
            <w:pPr>
              <w:pStyle w:val="0"/>
              <w:rPr>
                <w:rFonts w:hint="eastAsia"/>
              </w:rPr>
            </w:pPr>
          </w:p>
        </w:tc>
        <w:tc>
          <w:tcPr>
            <w:tcW w:w="2497"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Chars="0" w:hanging="180" w:hangingChars="87"/>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⑥高血圧性疾患の年齢調整外来受療率（人口</w:t>
            </w:r>
            <w:r>
              <w:rPr>
                <w:rFonts w:hint="eastAsia" w:ascii="ＭＳ 明朝" w:hAnsi="ＭＳ 明朝" w:eastAsia="ＭＳ 明朝"/>
                <w:color w:val="auto"/>
                <w:sz w:val="20"/>
                <w:highlight w:val="none"/>
                <w:u w:val="none" w:color="auto"/>
              </w:rPr>
              <w:t>10</w:t>
            </w:r>
            <w:r>
              <w:rPr>
                <w:rFonts w:hint="eastAsia" w:ascii="ＭＳ 明朝" w:hAnsi="ＭＳ 明朝" w:eastAsia="ＭＳ 明朝"/>
                <w:color w:val="auto"/>
                <w:sz w:val="20"/>
                <w:highlight w:val="none"/>
                <w:u w:val="none" w:color="auto"/>
              </w:rPr>
              <w:t>万人当たり）</w:t>
            </w:r>
          </w:p>
        </w:tc>
        <w:tc>
          <w:tcPr>
            <w:tcW w:w="15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211.8</w:t>
            </w:r>
          </w:p>
        </w:tc>
        <w:tc>
          <w:tcPr>
            <w:tcW w:w="181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250</w:t>
            </w:r>
            <w:r>
              <w:rPr>
                <w:rFonts w:hint="eastAsia" w:ascii="ＭＳ 明朝" w:hAnsi="ＭＳ 明朝" w:eastAsia="ＭＳ 明朝"/>
                <w:color w:val="auto"/>
                <w:sz w:val="20"/>
                <w:highlight w:val="none"/>
                <w:u w:val="none" w:color="auto"/>
              </w:rPr>
              <w:t>以上</w:t>
            </w:r>
          </w:p>
        </w:tc>
        <w:tc>
          <w:tcPr>
            <w:tcW w:w="20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令和２年医療施設</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静態調査</w:t>
            </w:r>
          </w:p>
        </w:tc>
      </w:tr>
      <w:tr>
        <w:trPr>
          <w:trHeight w:val="685" w:hRule="atLeast"/>
        </w:trPr>
        <w:tc>
          <w:tcPr>
            <w:tcW w:w="1135" w:type="dxa"/>
            <w:vMerge w:val="continue"/>
            <w:tcBorders>
              <w:top w:val="none" w:color="auto" w:sz="0" w:space="0"/>
              <w:left w:val="single" w:color="auto" w:sz="4" w:space="0"/>
              <w:bottom w:val="single" w:color="auto" w:sz="4" w:space="0"/>
              <w:right w:val="single" w:color="auto" w:sz="6" w:space="0"/>
              <w:tl2br w:val="none" w:color="auto" w:sz="0" w:space="0"/>
              <w:tr2bl w:val="none" w:color="auto" w:sz="0" w:space="0"/>
            </w:tcBorders>
            <w:shd w:val="clear" w:color="auto" w:fill="DAEEF3"/>
            <w:vAlign w:val="center"/>
          </w:tcPr>
          <w:p>
            <w:pPr>
              <w:pStyle w:val="0"/>
              <w:rPr>
                <w:rFonts w:hint="eastAsia"/>
              </w:rPr>
            </w:pPr>
          </w:p>
        </w:tc>
        <w:tc>
          <w:tcPr>
            <w:tcW w:w="2497"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0" w:leftChars="0" w:hanging="221" w:hangingChars="107"/>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⑦脂質異常症の年齢調整外来受療率（人口</w:t>
            </w:r>
            <w:r>
              <w:rPr>
                <w:rFonts w:hint="eastAsia" w:ascii="ＭＳ 明朝" w:hAnsi="ＭＳ 明朝" w:eastAsia="ＭＳ 明朝"/>
                <w:color w:val="auto"/>
                <w:sz w:val="20"/>
                <w:highlight w:val="none"/>
                <w:u w:val="none" w:color="auto"/>
              </w:rPr>
              <w:t>10</w:t>
            </w:r>
            <w:r>
              <w:rPr>
                <w:rFonts w:hint="eastAsia" w:ascii="ＭＳ 明朝" w:hAnsi="ＭＳ 明朝" w:eastAsia="ＭＳ 明朝"/>
                <w:color w:val="auto"/>
                <w:sz w:val="20"/>
                <w:highlight w:val="none"/>
                <w:u w:val="none" w:color="auto"/>
              </w:rPr>
              <w:t>万人当たり）</w:t>
            </w:r>
          </w:p>
        </w:tc>
        <w:tc>
          <w:tcPr>
            <w:tcW w:w="15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51.1</w:t>
            </w:r>
          </w:p>
        </w:tc>
        <w:tc>
          <w:tcPr>
            <w:tcW w:w="181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60</w:t>
            </w:r>
            <w:r>
              <w:rPr>
                <w:rFonts w:hint="eastAsia" w:ascii="ＭＳ 明朝" w:hAnsi="ＭＳ 明朝" w:eastAsia="ＭＳ 明朝"/>
                <w:color w:val="auto"/>
                <w:sz w:val="20"/>
                <w:highlight w:val="none"/>
                <w:u w:val="none" w:color="auto"/>
              </w:rPr>
              <w:t>以上</w:t>
            </w:r>
          </w:p>
        </w:tc>
        <w:tc>
          <w:tcPr>
            <w:tcW w:w="20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令和２年医療施設</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静態調査</w:t>
            </w:r>
          </w:p>
        </w:tc>
      </w:tr>
      <w:tr>
        <w:trPr>
          <w:trHeight w:val="685" w:hRule="atLeast"/>
        </w:trPr>
        <w:tc>
          <w:tcPr>
            <w:tcW w:w="1135" w:type="dxa"/>
            <w:vMerge w:val="continue"/>
            <w:tcBorders>
              <w:top w:val="none" w:color="auto" w:sz="0" w:space="0"/>
              <w:left w:val="single" w:color="auto" w:sz="4" w:space="0"/>
              <w:bottom w:val="single" w:color="auto" w:sz="4" w:space="0"/>
              <w:right w:val="single" w:color="auto" w:sz="6" w:space="0"/>
              <w:tl2br w:val="none" w:color="auto" w:sz="0" w:space="0"/>
              <w:tr2bl w:val="none" w:color="auto" w:sz="0" w:space="0"/>
            </w:tcBorders>
            <w:shd w:val="clear" w:color="auto" w:fill="DAEEF3"/>
            <w:vAlign w:val="center"/>
          </w:tcPr>
          <w:p>
            <w:pPr>
              <w:pStyle w:val="0"/>
              <w:rPr>
                <w:rFonts w:hint="eastAsia"/>
              </w:rPr>
            </w:pPr>
          </w:p>
        </w:tc>
        <w:tc>
          <w:tcPr>
            <w:tcW w:w="2497"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⑧脳血管疾患発症者数</w:t>
            </w:r>
          </w:p>
        </w:tc>
        <w:tc>
          <w:tcPr>
            <w:tcW w:w="158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3,048</w:t>
            </w:r>
            <w:r>
              <w:rPr>
                <w:rFonts w:hint="eastAsia" w:ascii="ＭＳ 明朝" w:hAnsi="ＭＳ 明朝" w:eastAsia="ＭＳ 明朝"/>
                <w:color w:val="auto"/>
                <w:sz w:val="20"/>
                <w:highlight w:val="none"/>
                <w:u w:val="none" w:color="auto"/>
              </w:rPr>
              <w:t>人</w:t>
            </w:r>
          </w:p>
        </w:tc>
        <w:tc>
          <w:tcPr>
            <w:tcW w:w="181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減少</w:t>
            </w:r>
          </w:p>
        </w:tc>
        <w:tc>
          <w:tcPr>
            <w:tcW w:w="2045" w:type="dxa"/>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脳卒中患者実態調査</w:t>
            </w:r>
          </w:p>
        </w:tc>
      </w:tr>
    </w:tbl>
    <w:p>
      <w:pPr>
        <w:pStyle w:val="0"/>
        <w:autoSpaceDE w:val="0"/>
        <w:autoSpaceDN w:val="0"/>
        <w:adjustRightInd w:val="0"/>
        <w:rPr>
          <w:rFonts w:hint="eastAsia" w:ascii="ＭＳ 明朝" w:hAnsi="ＭＳ 明朝" w:eastAsia="ＭＳ 明朝"/>
          <w:b w:val="1"/>
          <w:color w:val="auto"/>
          <w:kern w:val="0"/>
          <w:highlight w:val="none"/>
        </w:rPr>
      </w:pPr>
    </w:p>
    <w:p>
      <w:pPr>
        <w:pStyle w:val="0"/>
        <w:autoSpaceDE w:val="0"/>
        <w:autoSpaceDN w:val="0"/>
        <w:adjustRightInd w:val="0"/>
        <w:spacing w:line="240" w:lineRule="auto"/>
        <w:rPr>
          <w:rFonts w:hint="eastAsia" w:ascii="ＭＳ 明朝" w:hAnsi="ＭＳ 明朝" w:eastAsia="ＭＳ 明朝"/>
          <w:b w:val="1"/>
          <w:color w:val="002060"/>
          <w:kern w:val="0"/>
          <w:highlight w:val="none"/>
          <w:u w:val="none" w:color="auto"/>
        </w:rPr>
      </w:pPr>
      <w:r>
        <w:rPr>
          <w:rFonts w:hint="eastAsia" w:ascii="ＭＳ 明朝" w:hAnsi="ＭＳ 明朝" w:eastAsia="ＭＳ 明朝"/>
          <w:b w:val="1"/>
          <w:color w:val="0070C0"/>
          <w:sz w:val="22"/>
          <w:highlight w:val="none"/>
        </w:rPr>
        <w:t>２　病院前救護搬送活動・急性期の医療提供体制</w:t>
      </w:r>
    </w:p>
    <w:tbl>
      <w:tblPr>
        <w:tblStyle w:val="11"/>
        <w:tblpPr w:leftFromText="142" w:rightFromText="142" w:topFromText="0" w:bottomFromText="0" w:vertAnchor="text" w:horzAnchor="margin" w:tblpXSpec="center" w:tblpY="24"/>
        <w:tblOverlap w:val="never"/>
        <w:tblW w:w="9114"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1155"/>
        <w:gridCol w:w="2496"/>
        <w:gridCol w:w="1342"/>
        <w:gridCol w:w="2047"/>
        <w:gridCol w:w="2074"/>
      </w:tblGrid>
      <w:tr>
        <w:trPr>
          <w:trHeight w:val="258" w:hRule="atLeast"/>
        </w:trPr>
        <w:tc>
          <w:tcPr>
            <w:tcW w:w="115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sz w:val="20"/>
                <w:highlight w:val="none"/>
              </w:rPr>
            </w:pPr>
            <w:r>
              <w:rPr>
                <w:rFonts w:hint="eastAsia" w:ascii="ＭＳ 明朝" w:hAnsi="ＭＳ 明朝" w:eastAsia="ＭＳ 明朝"/>
                <w:sz w:val="20"/>
                <w:highlight w:val="none"/>
              </w:rPr>
              <w:t>区分</w:t>
            </w:r>
          </w:p>
        </w:tc>
        <w:tc>
          <w:tcPr>
            <w:tcW w:w="2500"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項　目</w:t>
            </w:r>
          </w:p>
        </w:tc>
        <w:tc>
          <w:tcPr>
            <w:tcW w:w="1344"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w:t>
            </w:r>
          </w:p>
        </w:tc>
        <w:tc>
          <w:tcPr>
            <w:tcW w:w="205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目標</w:t>
            </w:r>
          </w:p>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（令和</w:t>
            </w:r>
            <w:r>
              <w:rPr>
                <w:rFonts w:hint="eastAsia" w:ascii="ＭＳ 明朝" w:hAnsi="ＭＳ 明朝" w:eastAsia="ＭＳ 明朝"/>
                <w:color w:val="auto"/>
                <w:sz w:val="20"/>
                <w:highlight w:val="none"/>
              </w:rPr>
              <w:t>11</w:t>
            </w:r>
            <w:r>
              <w:rPr>
                <w:rFonts w:hint="eastAsia" w:ascii="ＭＳ 明朝" w:hAnsi="ＭＳ 明朝" w:eastAsia="ＭＳ 明朝"/>
                <w:color w:val="auto"/>
                <w:sz w:val="20"/>
                <w:highlight w:val="none"/>
              </w:rPr>
              <w:t>年度）</w:t>
            </w:r>
          </w:p>
        </w:tc>
        <w:tc>
          <w:tcPr>
            <w:tcW w:w="2077"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直近値の出典</w:t>
            </w:r>
          </w:p>
        </w:tc>
      </w:tr>
      <w:tr>
        <w:trPr>
          <w:trHeight w:val="858" w:hRule="atLeast"/>
        </w:trPr>
        <w:tc>
          <w:tcPr>
            <w:tcW w:w="1157" w:type="dxa"/>
            <w:vMerge w:val="restart"/>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中間アウトカム</w:t>
            </w:r>
          </w:p>
        </w:tc>
        <w:tc>
          <w:tcPr>
            <w:tcW w:w="2500"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spacing w:line="240" w:lineRule="exact"/>
              <w:ind w:leftChars="0" w:hanging="161" w:hangingChars="78"/>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①脳卒中の発症から受診までが</w:t>
            </w:r>
            <w:r>
              <w:rPr>
                <w:rFonts w:hint="eastAsia" w:ascii="ＭＳ 明朝" w:hAnsi="ＭＳ 明朝" w:eastAsia="ＭＳ 明朝"/>
                <w:color w:val="auto"/>
                <w:sz w:val="20"/>
                <w:highlight w:val="none"/>
                <w:u w:val="none" w:color="auto"/>
              </w:rPr>
              <w:t>4.5</w:t>
            </w:r>
            <w:r>
              <w:rPr>
                <w:rFonts w:hint="eastAsia" w:ascii="ＭＳ 明朝" w:hAnsi="ＭＳ 明朝" w:eastAsia="ＭＳ 明朝"/>
                <w:color w:val="auto"/>
                <w:sz w:val="20"/>
                <w:highlight w:val="none"/>
                <w:u w:val="none" w:color="auto"/>
              </w:rPr>
              <w:t>時間以内の割合</w:t>
            </w:r>
          </w:p>
        </w:tc>
        <w:tc>
          <w:tcPr>
            <w:tcW w:w="1344" w:type="dxa"/>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spacing w:line="240" w:lineRule="exact"/>
              <w:ind w:firstLine="103" w:firstLineChars="5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52.0</w:t>
            </w:r>
            <w:r>
              <w:rPr>
                <w:rFonts w:hint="eastAsia" w:ascii="ＭＳ 明朝" w:hAnsi="ＭＳ 明朝" w:eastAsia="ＭＳ 明朝"/>
                <w:color w:val="auto"/>
                <w:sz w:val="20"/>
                <w:highlight w:val="none"/>
                <w:u w:val="none" w:color="auto"/>
              </w:rPr>
              <w:t>％</w:t>
            </w:r>
          </w:p>
        </w:tc>
        <w:tc>
          <w:tcPr>
            <w:tcW w:w="2050"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40" w:lineRule="exact"/>
              <w:ind w:left="0"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増加</w:t>
            </w:r>
          </w:p>
        </w:tc>
        <w:tc>
          <w:tcPr>
            <w:tcW w:w="2077"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脳卒中患者実態調査</w:t>
            </w:r>
          </w:p>
        </w:tc>
      </w:tr>
      <w:tr>
        <w:trPr>
          <w:trHeight w:val="577" w:hRule="atLeast"/>
        </w:trPr>
        <w:tc>
          <w:tcPr>
            <w:tcW w:w="1157" w:type="dxa"/>
            <w:vMerge w:val="continue"/>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rPr>
                <w:rFonts w:hint="eastAsia"/>
                <w:sz w:val="20"/>
              </w:rPr>
            </w:pPr>
          </w:p>
        </w:tc>
        <w:tc>
          <w:tcPr>
            <w:tcW w:w="2500" w:type="dxa"/>
            <w:tcBorders>
              <w:top w:val="single" w:color="auto" w:sz="4" w:space="0"/>
              <w:left w:val="single" w:color="auto" w:sz="4" w:space="0"/>
              <w:bottom w:val="single" w:color="auto" w:sz="4" w:space="0"/>
              <w:right w:val="single" w:color="auto" w:sz="6" w:space="0"/>
              <w:tl2br w:val="nil"/>
              <w:tr2bl w:val="nil"/>
            </w:tcBorders>
            <w:shd w:val="clear" w:color="auto" w:fill="DAEEF3"/>
            <w:vAlign w:val="center"/>
          </w:tcPr>
          <w:p>
            <w:pPr>
              <w:pStyle w:val="0"/>
              <w:spacing w:line="240" w:lineRule="exact"/>
              <w:ind w:leftChars="0" w:hanging="161" w:hangingChars="78"/>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②救急要請から病院到着までに要した平均時間</w:t>
            </w:r>
          </w:p>
        </w:tc>
        <w:tc>
          <w:tcPr>
            <w:tcW w:w="1344" w:type="dxa"/>
            <w:tcBorders>
              <w:top w:val="single" w:color="auto" w:sz="4" w:space="0"/>
              <w:left w:val="single" w:color="auto" w:sz="6" w:space="0"/>
              <w:bottom w:val="single" w:color="auto" w:sz="4" w:space="0"/>
              <w:right w:val="none" w:color="auto" w:sz="0" w:space="0"/>
              <w:tl2br w:val="none" w:color="auto" w:sz="0" w:space="0"/>
              <w:tr2bl w:val="none" w:color="auto" w:sz="0" w:space="0"/>
            </w:tcBorders>
            <w:vAlign w:val="center"/>
          </w:tcPr>
          <w:p>
            <w:pPr>
              <w:pStyle w:val="0"/>
              <w:spacing w:line="240" w:lineRule="exact"/>
              <w:ind w:firstLine="103" w:firstLineChars="5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42.0</w:t>
            </w:r>
            <w:r>
              <w:rPr>
                <w:rFonts w:hint="eastAsia" w:ascii="ＭＳ 明朝" w:hAnsi="ＭＳ 明朝" w:eastAsia="ＭＳ 明朝"/>
                <w:color w:val="auto"/>
                <w:sz w:val="20"/>
                <w:highlight w:val="none"/>
                <w:u w:val="none" w:color="auto"/>
              </w:rPr>
              <w:t>分</w:t>
            </w:r>
          </w:p>
        </w:tc>
        <w:tc>
          <w:tcPr>
            <w:tcW w:w="205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ind w:left="0" w:leftChars="0" w:firstLine="0" w:firstLine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短縮</w:t>
            </w:r>
          </w:p>
        </w:tc>
        <w:tc>
          <w:tcPr>
            <w:tcW w:w="2077"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pacing w:line="240" w:lineRule="exact"/>
              <w:ind w:firstLine="10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令和４年版</w:t>
            </w:r>
            <w:r>
              <w:rPr>
                <w:rFonts w:hint="eastAsia" w:ascii="ＭＳ 明朝" w:hAnsi="ＭＳ 明朝" w:eastAsia="ＭＳ 明朝"/>
                <w:color w:val="auto"/>
                <w:sz w:val="20"/>
                <w:highlight w:val="none"/>
                <w:u w:val="none" w:color="auto"/>
              </w:rPr>
              <w:t xml:space="preserve"> </w:t>
            </w:r>
            <w:r>
              <w:rPr>
                <w:rFonts w:hint="eastAsia" w:ascii="ＭＳ 明朝" w:hAnsi="ＭＳ 明朝" w:eastAsia="ＭＳ 明朝"/>
                <w:color w:val="auto"/>
                <w:sz w:val="20"/>
                <w:highlight w:val="none"/>
                <w:u w:val="none" w:color="auto"/>
              </w:rPr>
              <w:t>救急・救助の現況</w:t>
            </w:r>
          </w:p>
        </w:tc>
      </w:tr>
      <w:tr>
        <w:trPr>
          <w:trHeight w:val="434" w:hRule="atLeast"/>
        </w:trPr>
        <w:tc>
          <w:tcPr>
            <w:tcW w:w="1157"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初期アウトカム</w:t>
            </w:r>
          </w:p>
        </w:tc>
        <w:tc>
          <w:tcPr>
            <w:tcW w:w="2500" w:type="dxa"/>
            <w:tcBorders>
              <w:top w:val="single" w:color="auto" w:sz="4" w:space="0"/>
              <w:left w:val="single" w:color="auto" w:sz="4" w:space="0"/>
              <w:bottom w:val="single" w:color="auto" w:sz="6" w:space="0"/>
              <w:right w:val="single" w:color="auto" w:sz="6" w:space="0"/>
              <w:tl2br w:val="nil"/>
              <w:tr2bl w:val="nil"/>
            </w:tcBorders>
            <w:shd w:val="clear" w:color="auto" w:fill="DAEEF3"/>
            <w:vAlign w:val="center"/>
          </w:tcPr>
          <w:p>
            <w:pPr>
              <w:pStyle w:val="0"/>
              <w:spacing w:line="240" w:lineRule="exact"/>
              <w:ind w:leftChars="0" w:hanging="134" w:hangingChars="65"/>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③脳卒中患者における地域連携パスの利用率</w:t>
            </w:r>
          </w:p>
        </w:tc>
        <w:tc>
          <w:tcPr>
            <w:tcW w:w="1344" w:type="dxa"/>
            <w:tcBorders>
              <w:top w:val="single" w:color="auto" w:sz="4" w:space="0"/>
              <w:left w:val="single" w:color="auto" w:sz="6"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52.4</w:t>
            </w:r>
            <w:r>
              <w:rPr>
                <w:rFonts w:hint="eastAsia" w:ascii="ＭＳ 明朝" w:hAnsi="ＭＳ 明朝" w:eastAsia="ＭＳ 明朝"/>
                <w:color w:val="auto"/>
                <w:sz w:val="20"/>
                <w:highlight w:val="none"/>
                <w:u w:val="none" w:color="auto"/>
              </w:rPr>
              <w:t>％</w:t>
            </w:r>
          </w:p>
        </w:tc>
        <w:tc>
          <w:tcPr>
            <w:tcW w:w="2050" w:type="dxa"/>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増加</w:t>
            </w:r>
          </w:p>
        </w:tc>
        <w:tc>
          <w:tcPr>
            <w:tcW w:w="2077"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令和４年高知県</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脳卒中患者実態調査</w:t>
            </w:r>
          </w:p>
        </w:tc>
      </w:tr>
    </w:tbl>
    <w:p>
      <w:pPr>
        <w:pStyle w:val="0"/>
        <w:spacing w:line="240" w:lineRule="auto"/>
        <w:rPr>
          <w:rFonts w:hint="eastAsia" w:ascii="ＭＳ 明朝" w:hAnsi="ＭＳ 明朝" w:eastAsia="ＭＳ 明朝"/>
          <w:b w:val="1"/>
          <w:color w:val="auto"/>
          <w:highlight w:val="none"/>
          <w:u w:val="none" w:color="auto"/>
        </w:rPr>
      </w:pPr>
      <w:r>
        <w:rPr>
          <w:rFonts w:hint="eastAsia" w:ascii="ＭＳ 明朝" w:hAnsi="ＭＳ 明朝" w:eastAsia="ＭＳ 明朝"/>
          <w:b w:val="1"/>
          <w:color w:val="auto"/>
          <w:highlight w:val="none"/>
          <w:u w:val="none" w:color="auto"/>
        </w:rPr>
        <w:t>　</w:t>
      </w:r>
    </w:p>
    <w:p>
      <w:pPr>
        <w:pStyle w:val="0"/>
        <w:autoSpaceDE w:val="0"/>
        <w:autoSpaceDN w:val="0"/>
        <w:adjustRightInd w:val="0"/>
        <w:spacing w:line="240" w:lineRule="auto"/>
        <w:rPr>
          <w:rFonts w:hint="eastAsia" w:ascii="ＭＳ 明朝" w:hAnsi="ＭＳ 明朝" w:eastAsia="ＭＳ 明朝"/>
          <w:b w:val="1"/>
          <w:color w:val="002060"/>
          <w:highlight w:val="none"/>
          <w:u w:val="none" w:color="auto"/>
        </w:rPr>
      </w:pPr>
      <w:r>
        <w:rPr>
          <w:rFonts w:hint="eastAsia" w:ascii="ＭＳ 明朝" w:hAnsi="ＭＳ 明朝" w:eastAsia="ＭＳ 明朝"/>
          <w:b w:val="1"/>
          <w:color w:val="0070C0"/>
          <w:sz w:val="22"/>
          <w:highlight w:val="none"/>
        </w:rPr>
        <w:t>３　回復期及び維持期の医療提供体制</w:t>
      </w:r>
    </w:p>
    <w:tbl>
      <w:tblPr>
        <w:tblStyle w:val="11"/>
        <w:tblpPr w:leftFromText="142" w:rightFromText="142" w:topFromText="0" w:bottomFromText="0" w:vertAnchor="text" w:horzAnchor="margin" w:tblpXSpec="center" w:tblpY="24"/>
        <w:tblOverlap w:val="never"/>
        <w:tblW w:w="916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Look w:firstRow="1" w:lastRow="1" w:firstColumn="1" w:lastColumn="1" w:noHBand="0" w:noVBand="0" w:val="01E0"/>
      </w:tblPr>
      <w:tblGrid>
        <w:gridCol w:w="1247"/>
        <w:gridCol w:w="2431"/>
        <w:gridCol w:w="1291"/>
        <w:gridCol w:w="2097"/>
        <w:gridCol w:w="2096"/>
      </w:tblGrid>
      <w:tr>
        <w:trPr>
          <w:trHeight w:val="258" w:hRule="atLeast"/>
        </w:trPr>
        <w:tc>
          <w:tcPr>
            <w:tcW w:w="1247"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adjustRightInd w:val="0"/>
              <w:snapToGrid w:val="0"/>
              <w:spacing w:line="240" w:lineRule="auto"/>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区分</w:t>
            </w:r>
          </w:p>
        </w:tc>
        <w:tc>
          <w:tcPr>
            <w:tcW w:w="2431" w:type="dxa"/>
            <w:tcBorders>
              <w:top w:val="single" w:color="auto" w:sz="4" w:space="0"/>
              <w:left w:val="single" w:color="auto" w:sz="4" w:space="0"/>
              <w:bottom w:val="single" w:color="auto" w:sz="4" w:space="0"/>
              <w:right w:val="none" w:color="auto" w:sz="0" w:space="0"/>
              <w:tl2br w:val="none" w:color="auto" w:sz="0" w:space="0"/>
              <w:tr2bl w:val="none" w:color="auto" w:sz="0" w:space="0"/>
            </w:tcBorders>
            <w:shd w:val="clear" w:color="auto" w:fill="DAEEF3"/>
            <w:vAlign w:val="top"/>
          </w:tcPr>
          <w:p>
            <w:pPr>
              <w:pStyle w:val="0"/>
              <w:jc w:val="center"/>
              <w:rPr>
                <w:rFonts w:hint="eastAsia" w:ascii="ＭＳ 明朝" w:hAnsi="ＭＳ 明朝" w:eastAsia="ＭＳ 明朝"/>
                <w:color w:val="auto"/>
                <w:highlight w:val="none"/>
              </w:rPr>
            </w:pPr>
            <w:r>
              <w:rPr>
                <w:rFonts w:hint="eastAsia" w:ascii="ＭＳ 明朝" w:hAnsi="ＭＳ 明朝" w:eastAsia="ＭＳ 明朝"/>
                <w:color w:val="auto"/>
                <w:highlight w:val="none"/>
              </w:rPr>
              <w:t>項目</w:t>
            </w:r>
          </w:p>
        </w:tc>
        <w:tc>
          <w:tcPr>
            <w:tcW w:w="1291"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w:t>
            </w:r>
          </w:p>
        </w:tc>
        <w:tc>
          <w:tcPr>
            <w:tcW w:w="209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目標</w:t>
            </w:r>
          </w:p>
          <w:p>
            <w:pPr>
              <w:pStyle w:val="0"/>
              <w:spacing w:line="240" w:lineRule="exact"/>
              <w:ind w:left="34"/>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（令和</w:t>
            </w:r>
            <w:r>
              <w:rPr>
                <w:rFonts w:hint="eastAsia" w:ascii="ＭＳ 明朝" w:hAnsi="ＭＳ 明朝" w:eastAsia="ＭＳ 明朝"/>
                <w:color w:val="auto"/>
                <w:sz w:val="20"/>
                <w:highlight w:val="none"/>
              </w:rPr>
              <w:t>11</w:t>
            </w:r>
            <w:r>
              <w:rPr>
                <w:rFonts w:hint="eastAsia" w:ascii="ＭＳ 明朝" w:hAnsi="ＭＳ 明朝" w:eastAsia="ＭＳ 明朝"/>
                <w:color w:val="auto"/>
                <w:sz w:val="20"/>
                <w:highlight w:val="none"/>
              </w:rPr>
              <w:t>年度）</w:t>
            </w:r>
          </w:p>
        </w:tc>
        <w:tc>
          <w:tcPr>
            <w:tcW w:w="2096"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DAEEF3"/>
            <w:vAlign w:val="center"/>
          </w:tcPr>
          <w:p>
            <w:pPr>
              <w:pStyle w:val="0"/>
              <w:spacing w:line="240" w:lineRule="exact"/>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直近値の出典</w:t>
            </w:r>
          </w:p>
        </w:tc>
      </w:tr>
      <w:tr>
        <w:trPr>
          <w:trHeight w:val="874" w:hRule="atLeast"/>
        </w:trPr>
        <w:tc>
          <w:tcPr>
            <w:tcW w:w="1247" w:type="dxa"/>
            <w:vMerge w:val="restart"/>
            <w:tcBorders>
              <w:top w:val="none" w:color="auto" w:sz="0" w:space="0"/>
              <w:left w:val="single" w:color="auto" w:sz="4" w:space="0"/>
              <w:bottom w:val="single" w:color="auto" w:sz="4" w:space="0"/>
              <w:right w:val="none" w:color="auto" w:sz="0" w:space="0"/>
              <w:tl2br w:val="none" w:color="auto" w:sz="0" w:space="0"/>
              <w:tr2bl w:val="none" w:color="auto" w:sz="0" w:space="0"/>
            </w:tcBorders>
            <w:shd w:val="clear" w:color="auto" w:fill="DAEEF3"/>
            <w:vAlign w:val="center"/>
          </w:tcPr>
          <w:p>
            <w:pPr>
              <w:pStyle w:val="0"/>
              <w:spacing w:line="240" w:lineRule="exact"/>
              <w:jc w:val="left"/>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中間アウトカム</w:t>
            </w:r>
          </w:p>
          <w:p>
            <w:pPr>
              <w:pStyle w:val="0"/>
              <w:spacing w:line="240" w:lineRule="exact"/>
              <w:jc w:val="center"/>
              <w:rPr>
                <w:rStyle w:val="33"/>
                <w:rFonts w:hint="eastAsia" w:ascii="ＭＳ 明朝" w:hAnsi="ＭＳ 明朝" w:eastAsia="ＭＳ 明朝"/>
                <w:color w:val="auto"/>
                <w:sz w:val="20"/>
                <w:highlight w:val="none"/>
                <w:u w:val="none" w:color="auto"/>
              </w:rPr>
            </w:pPr>
          </w:p>
        </w:tc>
        <w:tc>
          <w:tcPr>
            <w:tcW w:w="2431" w:type="dxa"/>
            <w:vMerge w:val="restart"/>
            <w:tcBorders>
              <w:top w:val="single" w:color="auto" w:sz="4" w:space="0"/>
              <w:left w:val="single" w:color="auto" w:sz="4" w:space="0"/>
              <w:bottom w:val="single" w:color="auto" w:sz="6" w:space="0"/>
              <w:right w:val="none" w:color="auto" w:sz="0" w:space="0"/>
              <w:tl2br w:val="none" w:color="auto" w:sz="0" w:space="0"/>
              <w:tr2bl w:val="none" w:color="auto" w:sz="0" w:space="0"/>
            </w:tcBorders>
            <w:shd w:val="clear" w:color="auto" w:fill="DAEEF3"/>
            <w:vAlign w:val="center"/>
          </w:tcPr>
          <w:p>
            <w:pPr>
              <w:pStyle w:val="29"/>
              <w:spacing w:line="240" w:lineRule="exact"/>
              <w:ind w:left="0" w:leftChars="0" w:hanging="207" w:hangingChars="10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①発症から回復期リハビリテーション病棟入棟・退棟までの日数</w:t>
            </w:r>
          </w:p>
        </w:tc>
        <w:tc>
          <w:tcPr>
            <w:tcW w:w="1291" w:type="dxa"/>
            <w:vMerge w:val="restart"/>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28.1</w:t>
            </w:r>
            <w:r>
              <w:rPr>
                <w:rFonts w:hint="eastAsia" w:ascii="ＭＳ 明朝" w:hAnsi="ＭＳ 明朝" w:eastAsia="ＭＳ 明朝"/>
                <w:color w:val="auto"/>
                <w:sz w:val="20"/>
                <w:highlight w:val="none"/>
                <w:u w:val="none" w:color="auto"/>
              </w:rPr>
              <w:t>日</w:t>
            </w:r>
            <w:r>
              <w:rPr>
                <w:rFonts w:hint="eastAsia" w:ascii="ＭＳ 明朝" w:hAnsi="ＭＳ 明朝" w:eastAsia="ＭＳ 明朝"/>
                <w:color w:val="auto"/>
                <w:sz w:val="20"/>
                <w:highlight w:val="none"/>
                <w:u w:val="none" w:color="auto"/>
              </w:rPr>
              <w:t>/</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116.1</w:t>
            </w:r>
            <w:r>
              <w:rPr>
                <w:rFonts w:hint="eastAsia" w:ascii="ＭＳ 明朝" w:hAnsi="ＭＳ 明朝" w:eastAsia="ＭＳ 明朝"/>
                <w:color w:val="auto"/>
                <w:sz w:val="20"/>
                <w:highlight w:val="none"/>
                <w:u w:val="none" w:color="auto"/>
              </w:rPr>
              <w:t>日</w:t>
            </w:r>
          </w:p>
        </w:tc>
        <w:tc>
          <w:tcPr>
            <w:tcW w:w="2097" w:type="dxa"/>
            <w:vMerge w:val="restart"/>
            <w:tcBorders>
              <w:top w:val="single" w:color="auto" w:sz="4" w:space="0"/>
              <w:left w:val="none" w:color="auto" w:sz="0" w:space="0"/>
              <w:bottom w:val="single" w:color="auto" w:sz="6" w:space="0"/>
              <w:right w:val="none" w:color="auto" w:sz="0" w:space="0"/>
              <w:tl2br w:val="none" w:color="auto" w:sz="0" w:space="0"/>
              <w:tr2bl w:val="none" w:color="auto" w:sz="0" w:space="0"/>
            </w:tcBorders>
            <w:vAlign w:val="center"/>
          </w:tcPr>
          <w:p>
            <w:pPr>
              <w:pStyle w:val="0"/>
              <w:spacing w:line="240" w:lineRule="exact"/>
              <w:ind w:left="0"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25</w:t>
            </w:r>
            <w:r>
              <w:rPr>
                <w:rFonts w:hint="eastAsia" w:ascii="ＭＳ 明朝" w:hAnsi="ＭＳ 明朝" w:eastAsia="ＭＳ 明朝"/>
                <w:color w:val="auto"/>
                <w:sz w:val="20"/>
                <w:highlight w:val="none"/>
                <w:u w:val="none" w:color="auto"/>
              </w:rPr>
              <w:t>日</w:t>
            </w:r>
            <w:r>
              <w:rPr>
                <w:rFonts w:hint="eastAsia" w:ascii="ＭＳ 明朝" w:hAnsi="ＭＳ 明朝" w:eastAsia="ＭＳ 明朝"/>
                <w:color w:val="auto"/>
                <w:sz w:val="20"/>
                <w:highlight w:val="none"/>
                <w:u w:val="none" w:color="auto"/>
              </w:rPr>
              <w:t>/</w:t>
            </w:r>
          </w:p>
          <w:p>
            <w:pPr>
              <w:pStyle w:val="0"/>
              <w:spacing w:line="240" w:lineRule="exact"/>
              <w:ind w:left="0" w:leftChars="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維持</w:t>
            </w:r>
          </w:p>
        </w:tc>
        <w:tc>
          <w:tcPr>
            <w:tcW w:w="2096" w:type="dxa"/>
            <w:tcBorders>
              <w:top w:val="single" w:color="auto" w:sz="4" w:space="0"/>
              <w:left w:val="none" w:color="auto" w:sz="0" w:space="0"/>
              <w:bottom w:val="single" w:color="auto" w:sz="6" w:space="0"/>
              <w:right w:val="single" w:color="auto" w:sz="4" w:space="0"/>
              <w:tl2br w:val="none" w:color="auto" w:sz="0" w:space="0"/>
              <w:tr2bl w:val="none" w:color="auto" w:sz="0" w:space="0"/>
            </w:tcBorders>
            <w:vAlign w:val="center"/>
          </w:tcPr>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高知県回復期</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アウトカム調査</w:t>
            </w:r>
          </w:p>
          <w:p>
            <w:pPr>
              <w:pStyle w:val="0"/>
              <w:spacing w:line="240" w:lineRule="exact"/>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（令和４年）</w:t>
            </w:r>
          </w:p>
        </w:tc>
      </w:tr>
      <w:tr>
        <w:trPr>
          <w:trHeight w:val="815" w:hRule="atLeast"/>
        </w:trPr>
        <w:tc>
          <w:tcPr>
            <w:tcW w:w="1247" w:type="dxa"/>
            <w:vMerge w:val="continue"/>
            <w:tcBorders>
              <w:top w:val="single" w:color="auto" w:sz="6" w:space="0"/>
              <w:left w:val="single" w:color="auto" w:sz="4" w:space="0"/>
              <w:bottom w:val="single" w:color="auto" w:sz="6" w:space="0"/>
              <w:right w:val="none" w:color="auto" w:sz="0" w:space="0"/>
              <w:tl2br w:val="nil"/>
              <w:tr2bl w:val="nil"/>
            </w:tcBorders>
            <w:shd w:val="clear" w:color="auto" w:fill="DAEEF3"/>
            <w:vAlign w:val="center"/>
          </w:tcPr>
          <w:p>
            <w:pPr>
              <w:pStyle w:val="0"/>
              <w:rPr>
                <w:rFonts w:hint="eastAsia"/>
              </w:rPr>
            </w:pPr>
          </w:p>
        </w:tc>
        <w:tc>
          <w:tcPr>
            <w:tcW w:w="2431" w:type="dxa"/>
            <w:vMerge w:val="restart"/>
            <w:tcBorders>
              <w:top w:val="single" w:color="auto" w:sz="6" w:space="0"/>
              <w:left w:val="single" w:color="auto" w:sz="4" w:space="0"/>
              <w:bottom w:val="single" w:color="auto" w:sz="4" w:space="0"/>
              <w:right w:val="none" w:color="auto" w:sz="0" w:space="0"/>
              <w:tl2br w:val="nil"/>
              <w:tr2bl w:val="nil"/>
            </w:tcBorders>
            <w:shd w:val="clear" w:color="auto" w:fill="DAEEF3"/>
            <w:vAlign w:val="center"/>
          </w:tcPr>
          <w:p>
            <w:pPr>
              <w:pStyle w:val="0"/>
              <w:spacing w:line="240" w:lineRule="exact"/>
              <w:ind w:left="0" w:leftChars="0" w:hanging="207" w:hangingChars="10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②在宅等生活の場に復帰した脳血管疾患患者の割合</w:t>
            </w:r>
          </w:p>
        </w:tc>
        <w:tc>
          <w:tcPr>
            <w:tcW w:w="1291" w:type="dxa"/>
            <w:vMerge w:val="restart"/>
            <w:tcBorders>
              <w:top w:val="single" w:color="auto" w:sz="6" w:space="0"/>
              <w:left w:val="none" w:color="auto" w:sz="0" w:space="0"/>
              <w:bottom w:val="single" w:color="auto" w:sz="6" w:space="0"/>
              <w:right w:val="none" w:color="auto" w:sz="0" w:space="0"/>
              <w:tl2br w:val="nil"/>
              <w:tr2bl w:val="nil"/>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47.3</w:t>
            </w:r>
            <w:r>
              <w:rPr>
                <w:rFonts w:hint="eastAsia" w:ascii="ＭＳ 明朝" w:hAnsi="ＭＳ 明朝" w:eastAsia="ＭＳ 明朝"/>
                <w:color w:val="auto"/>
                <w:sz w:val="20"/>
                <w:highlight w:val="none"/>
                <w:u w:val="none" w:color="auto"/>
              </w:rPr>
              <w:t>％</w:t>
            </w:r>
          </w:p>
        </w:tc>
        <w:tc>
          <w:tcPr>
            <w:tcW w:w="2097" w:type="dxa"/>
            <w:vMerge w:val="restart"/>
            <w:tcBorders>
              <w:top w:val="single" w:color="auto" w:sz="6" w:space="0"/>
              <w:left w:val="none" w:color="auto" w:sz="0" w:space="0"/>
              <w:bottom w:val="single" w:color="auto" w:sz="6" w:space="0"/>
              <w:right w:val="none" w:color="auto" w:sz="0" w:space="0"/>
              <w:tl2br w:val="nil"/>
              <w:tr2bl w:val="nil"/>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増加</w:t>
            </w:r>
          </w:p>
        </w:tc>
        <w:tc>
          <w:tcPr>
            <w:tcW w:w="2096" w:type="dxa"/>
            <w:tcBorders>
              <w:top w:val="single" w:color="auto" w:sz="6" w:space="0"/>
              <w:left w:val="none" w:color="auto" w:sz="0" w:space="0"/>
              <w:bottom w:val="single" w:color="auto" w:sz="6" w:space="0"/>
              <w:right w:val="single" w:color="auto" w:sz="4" w:space="0"/>
              <w:tl2br w:val="nil"/>
              <w:tr2bl w:val="nil"/>
            </w:tcBorders>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令和２年患者調査</w:t>
            </w:r>
          </w:p>
        </w:tc>
      </w:tr>
    </w:tbl>
    <w:p>
      <w:pPr>
        <w:pStyle w:val="0"/>
        <w:snapToGrid w:val="0"/>
        <w:spacing w:line="240" w:lineRule="auto"/>
        <w:rPr>
          <w:rFonts w:hint="eastAsia" w:ascii="ＭＳ 明朝" w:hAnsi="ＭＳ 明朝" w:eastAsia="ＭＳ 明朝"/>
          <w:b w:val="1"/>
          <w:color w:val="auto"/>
          <w:highlight w:val="none"/>
        </w:rPr>
      </w:pPr>
      <w:r>
        <w:rPr>
          <w:rFonts w:hint="eastAsia" w:ascii="ＭＳ 明朝" w:hAnsi="ＭＳ 明朝" w:eastAsia="ＭＳ 明朝"/>
          <w:b w:val="0"/>
          <w:color w:val="auto"/>
          <w:highlight w:val="none"/>
          <w:u w:val="none" w:color="auto"/>
        </w:rPr>
        <w:t>　</w:t>
      </w:r>
    </w:p>
    <w:p>
      <w:pPr>
        <w:pStyle w:val="0"/>
        <w:jc w:val="center"/>
        <w:rPr>
          <w:rFonts w:hint="eastAsia" w:ascii="ＭＳ 明朝" w:hAnsi="ＭＳ 明朝" w:eastAsia="ＭＳ 明朝"/>
          <w:b w:val="1"/>
          <w:color w:val="auto"/>
          <w:sz w:val="21"/>
          <w:highlight w:val="none"/>
        </w:rPr>
      </w:pPr>
      <w:r>
        <w:rPr>
          <w:rFonts w:hint="eastAsia" w:ascii="ＭＳ ゴシック" w:hAnsi="ＭＳ ゴシック" w:eastAsia="ＭＳ ゴシック"/>
          <w:b w:val="0"/>
          <w:color w:val="auto"/>
          <w:sz w:val="22"/>
          <w:highlight w:val="none"/>
        </w:rPr>
        <w:t>（図表</w:t>
      </w:r>
      <w:r>
        <w:rPr>
          <w:rFonts w:hint="eastAsia" w:ascii="ＭＳ ゴシック" w:hAnsi="ＭＳ ゴシック" w:eastAsia="ＭＳ ゴシック"/>
          <w:b w:val="0"/>
          <w:color w:val="auto"/>
          <w:sz w:val="22"/>
          <w:highlight w:val="none"/>
        </w:rPr>
        <w:t>6-2-35</w:t>
      </w:r>
      <w:r>
        <w:rPr>
          <w:rFonts w:hint="eastAsia" w:ascii="ＭＳ ゴシック" w:hAnsi="ＭＳ ゴシック" w:eastAsia="ＭＳ ゴシック"/>
          <w:b w:val="0"/>
          <w:color w:val="auto"/>
          <w:sz w:val="22"/>
          <w:highlight w:val="none"/>
        </w:rPr>
        <w:t>）脳卒中の医療連携体制図</w:t>
      </w:r>
    </w:p>
    <w:p>
      <w:pPr>
        <w:pStyle w:val="0"/>
        <w:rPr>
          <w:rFonts w:hint="eastAsia" w:ascii="ＭＳ 明朝" w:hAnsi="ＭＳ 明朝" w:eastAsia="ＭＳ 明朝"/>
          <w:b w:val="1"/>
          <w:color w:val="auto"/>
          <w:sz w:val="21"/>
          <w:highlight w:val="none"/>
        </w:rPr>
      </w:pPr>
      <w:r>
        <w:rPr>
          <w:rFonts w:hint="eastAsia"/>
        </w:rPr>
        <mc:AlternateContent>
          <mc:Choice Requires="wpg">
            <w:drawing>
              <wp:anchor simplePos="0" relativeHeight="127" behindDoc="0" locked="0" layoutInCell="1" hidden="0" allowOverlap="1">
                <wp:simplePos x="0" y="0"/>
                <wp:positionH relativeFrom="column">
                  <wp:posOffset>-400685</wp:posOffset>
                </wp:positionH>
                <wp:positionV relativeFrom="paragraph">
                  <wp:posOffset>118110</wp:posOffset>
                </wp:positionV>
                <wp:extent cx="6631305" cy="8667115"/>
                <wp:effectExtent l="635" t="28575" r="635" b="20320"/>
                <wp:wrapNone/>
                <wp:docPr id="1153" name="オブジェクト 0"/>
                <a:graphic xmlns:a="http://schemas.openxmlformats.org/drawingml/2006/main">
                  <a:graphicData uri="http://schemas.microsoft.com/office/word/2010/wordprocessingGroup">
                    <wpg:wgp>
                      <wpg:cNvGrpSpPr/>
                      <wpg:grpSpPr>
                        <a:xfrm>
                          <a:off x="0" y="0"/>
                          <a:ext cx="6631305" cy="8667115"/>
                          <a:chOff x="787" y="1945"/>
                          <a:chExt cx="10443" cy="13649"/>
                        </a:xfrm>
                      </wpg:grpSpPr>
                      <wps:wsp>
                        <wps:cNvPr id="1154" name="オブジェクト 0"/>
                        <wps:cNvSpPr>
                          <a:spLocks noChangeArrowheads="1"/>
                        </wps:cNvSpPr>
                        <wps:spPr>
                          <a:xfrm>
                            <a:off x="3932" y="2058"/>
                            <a:ext cx="3141" cy="655"/>
                          </a:xfrm>
                          <a:prstGeom prst="rightArrow">
                            <a:avLst>
                              <a:gd name="adj1" fmla="val 50000"/>
                              <a:gd name="adj2" fmla="val 119893"/>
                            </a:avLst>
                          </a:prstGeom>
                          <a:solidFill>
                            <a:srgbClr val="FF7C80"/>
                          </a:solidFill>
                          <a:ln w="38100">
                            <a:solidFill>
                              <a:srgbClr val="FF7C80"/>
                            </a:solidFill>
                            <a:miter/>
                          </a:ln>
                        </wps:spPr>
                        <wps:bodyPr/>
                      </wps:wsp>
                      <wps:wsp>
                        <wps:cNvPr id="1155" name="オブジェクト 0"/>
                        <wps:cNvSpPr>
                          <a:spLocks noChangeArrowheads="1"/>
                        </wps:cNvSpPr>
                        <wps:spPr>
                          <a:xfrm>
                            <a:off x="1768" y="2058"/>
                            <a:ext cx="2140" cy="522"/>
                          </a:xfrm>
                          <a:prstGeom prst="roundRect">
                            <a:avLst>
                              <a:gd name="adj" fmla="val 16664"/>
                            </a:avLst>
                          </a:prstGeom>
                          <a:solidFill>
                            <a:schemeClr val="accent2">
                              <a:lumMod val="20000"/>
                              <a:lumOff val="80000"/>
                            </a:schemeClr>
                          </a:solidFill>
                          <a:ln w="38100">
                            <a:solidFill>
                              <a:srgbClr val="FF7C80"/>
                            </a:solidFill>
                          </a:ln>
                        </wps:spPr>
                        <wps:txbx>
                          <w:txbxContent>
                            <w:p>
                              <w:pPr>
                                <w:pStyle w:val="0"/>
                                <w:jc w:val="center"/>
                                <w:rPr>
                                  <w:rFonts w:hint="default"/>
                                </w:rPr>
                              </w:pPr>
                              <w:r>
                                <w:rPr>
                                  <w:rFonts w:hint="eastAsia"/>
                                </w:rPr>
                                <w:t>かかりつけ医</w:t>
                              </w:r>
                            </w:p>
                            <w:p>
                              <w:pPr>
                                <w:pStyle w:val="0"/>
                                <w:jc w:val="center"/>
                                <w:rPr>
                                  <w:rFonts w:hint="default"/>
                                </w:rPr>
                              </w:pPr>
                            </w:p>
                          </w:txbxContent>
                        </wps:txbx>
                        <wps:bodyPr vertOverflow="overflow" horzOverflow="overflow" lIns="74295" tIns="8890" rIns="74295" bIns="8890" upright="1"/>
                      </wps:wsp>
                      <wps:wsp>
                        <wps:cNvPr id="1156" name="オブジェクト 0"/>
                        <wps:cNvSpPr>
                          <a:spLocks noChangeArrowheads="1"/>
                        </wps:cNvSpPr>
                        <wps:spPr>
                          <a:xfrm>
                            <a:off x="1567" y="13215"/>
                            <a:ext cx="8157" cy="2223"/>
                          </a:xfrm>
                          <a:prstGeom prst="ellipse">
                            <a:avLst/>
                          </a:prstGeom>
                          <a:gradFill rotWithShape="0">
                            <a:gsLst>
                              <a:gs pos="0">
                                <a:schemeClr val="lt1"/>
                              </a:gs>
                              <a:gs pos="100000">
                                <a:schemeClr val="accent1">
                                  <a:lumMod val="40000"/>
                                  <a:lumOff val="60000"/>
                                </a:schemeClr>
                              </a:gs>
                            </a:gsLst>
                            <a:lin ang="5400000" scaled="1"/>
                            <a:tileRect/>
                          </a:gradFill>
                          <a:ln w="12700">
                            <a:solidFill>
                              <a:schemeClr val="accent1">
                                <a:lumMod val="60000"/>
                                <a:lumOff val="40000"/>
                              </a:schemeClr>
                            </a:solidFill>
                          </a:ln>
                          <a:effectLst>
                            <a:outerShdw dist="28398" dir="3806097" algn="ctr" rotWithShape="0">
                              <a:schemeClr val="accent1">
                                <a:lumMod val="50000"/>
                                <a:alpha val="50000"/>
                              </a:schemeClr>
                            </a:outerShdw>
                          </a:effectLst>
                        </wps:spPr>
                        <wps:bodyPr/>
                      </wps:wsp>
                      <wps:wsp>
                        <wps:cNvPr id="1157" name="オブジェクト 0"/>
                        <wps:cNvSpPr/>
                        <wps:spPr>
                          <a:xfrm>
                            <a:off x="8536" y="1945"/>
                            <a:ext cx="461" cy="13437"/>
                          </a:xfrm>
                          <a:prstGeom prst="rightBracket">
                            <a:avLst>
                              <a:gd name="adj" fmla="val 104318"/>
                            </a:avLst>
                          </a:prstGeom>
                          <a:noFill/>
                          <a:ln w="57150">
                            <a:solidFill>
                              <a:srgbClr val="FF7C80"/>
                            </a:solidFill>
                          </a:ln>
                        </wps:spPr>
                        <wps:bodyPr/>
                      </wps:wsp>
                      <wps:wsp>
                        <wps:cNvPr id="1158" name="オブジェクト 0"/>
                        <wps:cNvSpPr txBox="1">
                          <a:spLocks noChangeArrowheads="1"/>
                        </wps:cNvSpPr>
                        <wps:spPr>
                          <a:xfrm>
                            <a:off x="4950" y="2542"/>
                            <a:ext cx="1324" cy="1280"/>
                          </a:xfrm>
                          <a:prstGeom prst="rect">
                            <a:avLst/>
                          </a:prstGeom>
                          <a:noFill/>
                          <a:ln>
                            <a:miter/>
                          </a:ln>
                        </wps:spPr>
                        <wps:txbx>
                          <w:txbxContent>
                            <w:p>
                              <w:pPr>
                                <w:pStyle w:val="0"/>
                                <w:rPr>
                                  <w:rFonts w:hint="default"/>
                                  <w:sz w:val="18"/>
                                </w:rPr>
                              </w:pPr>
                              <w:r>
                                <w:rPr>
                                  <w:rFonts w:hint="eastAsia"/>
                                  <w:sz w:val="18"/>
                                </w:rPr>
                                <w:t>・患者教育</w:t>
                              </w:r>
                            </w:p>
                            <w:p>
                              <w:pPr>
                                <w:pStyle w:val="0"/>
                                <w:rPr>
                                  <w:rFonts w:hint="default"/>
                                  <w:sz w:val="18"/>
                                </w:rPr>
                              </w:pPr>
                              <w:r>
                                <w:rPr>
                                  <w:rFonts w:hint="eastAsia"/>
                                  <w:sz w:val="18"/>
                                </w:rPr>
                                <w:t>・二次予防</w:t>
                              </w:r>
                            </w:p>
                            <w:p>
                              <w:pPr>
                                <w:pStyle w:val="0"/>
                                <w:rPr>
                                  <w:rFonts w:hint="default"/>
                                  <w:sz w:val="18"/>
                                </w:rPr>
                              </w:pPr>
                              <w:r>
                                <w:rPr>
                                  <w:rFonts w:hint="eastAsia"/>
                                  <w:sz w:val="18"/>
                                </w:rPr>
                                <w:t>・再発予防</w:t>
                              </w:r>
                            </w:p>
                          </w:txbxContent>
                        </wps:txbx>
                        <wps:bodyPr vertOverflow="overflow" horzOverflow="overflow" lIns="74295" tIns="8890" rIns="74295" bIns="8890" upright="1"/>
                      </wps:wsp>
                      <wps:wsp>
                        <wps:cNvPr id="1159" name="オブジェクト 0"/>
                        <wps:cNvSpPr>
                          <a:spLocks noChangeArrowheads="1"/>
                        </wps:cNvSpPr>
                        <wps:spPr>
                          <a:xfrm>
                            <a:off x="2848" y="2562"/>
                            <a:ext cx="362" cy="2119"/>
                          </a:xfrm>
                          <a:prstGeom prst="upArrow">
                            <a:avLst>
                              <a:gd name="adj1" fmla="val 50000"/>
                              <a:gd name="adj2" fmla="val 118786"/>
                            </a:avLst>
                          </a:prstGeom>
                          <a:solidFill>
                            <a:srgbClr val="FF7C80"/>
                          </a:solidFill>
                          <a:ln w="38100">
                            <a:solidFill>
                              <a:srgbClr val="FF7C80"/>
                            </a:solidFill>
                            <a:miter/>
                          </a:ln>
                        </wps:spPr>
                        <wps:bodyPr/>
                      </wps:wsp>
                      <wps:wsp>
                        <wps:cNvPr id="1160" name="オブジェクト 0"/>
                        <wps:cNvSpPr>
                          <a:spLocks noChangeArrowheads="1"/>
                        </wps:cNvSpPr>
                        <wps:spPr>
                          <a:xfrm>
                            <a:off x="7411" y="3198"/>
                            <a:ext cx="2400" cy="990"/>
                          </a:xfrm>
                          <a:prstGeom prst="rect">
                            <a:avLst/>
                          </a:prstGeom>
                          <a:noFill/>
                          <a:ln>
                            <a:miter/>
                          </a:ln>
                        </wps:spPr>
                        <wps:txbx>
                          <w:txbxContent>
                            <w:p>
                              <w:pPr>
                                <w:pStyle w:val="0"/>
                                <w:rPr>
                                  <w:rFonts w:hint="default"/>
                                </w:rPr>
                              </w:pPr>
                              <w:r>
                                <w:rPr>
                                  <w:rFonts w:hint="eastAsia"/>
                                </w:rPr>
                                <w:t>脳卒中発症</w:t>
                              </w:r>
                            </w:p>
                            <w:p>
                              <w:pPr>
                                <w:pStyle w:val="0"/>
                                <w:rPr>
                                  <w:rFonts w:hint="default"/>
                                </w:rPr>
                              </w:pPr>
                              <w:r>
                                <w:rPr>
                                  <w:rFonts w:hint="eastAsia"/>
                                </w:rPr>
                                <w:t>救急搬送</w:t>
                              </w:r>
                            </w:p>
                          </w:txbxContent>
                        </wps:txbx>
                        <wps:bodyPr vertOverflow="overflow" horzOverflow="overflow" lIns="74295" tIns="8890" rIns="74295" bIns="8890" upright="1"/>
                      </wps:wsp>
                      <wps:wsp>
                        <wps:cNvPr id="1161" name="オブジェクト 0"/>
                        <wps:cNvSpPr>
                          <a:spLocks noChangeArrowheads="1"/>
                        </wps:cNvSpPr>
                        <wps:spPr>
                          <a:xfrm>
                            <a:off x="1063" y="3695"/>
                            <a:ext cx="1515" cy="480"/>
                          </a:xfrm>
                          <a:prstGeom prst="rect">
                            <a:avLst/>
                          </a:prstGeom>
                          <a:solidFill>
                            <a:srgbClr val="FFFFFF"/>
                          </a:solidFill>
                          <a:ln w="9525">
                            <a:solidFill>
                              <a:srgbClr val="00B0F0"/>
                            </a:solidFill>
                            <a:miter/>
                          </a:ln>
                          <a:effectLst>
                            <a:outerShdw dist="107763" dir="2700000" rotWithShape="0">
                              <a:srgbClr val="808080">
                                <a:alpha val="50000"/>
                              </a:srgbClr>
                            </a:outerShdw>
                          </a:effectLst>
                        </wps:spPr>
                        <wps:txbx>
                          <w:txbxContent>
                            <w:p>
                              <w:pPr>
                                <w:pStyle w:val="0"/>
                                <w:jc w:val="center"/>
                                <w:rPr>
                                  <w:rFonts w:hint="default"/>
                                  <w:b w:val="1"/>
                                </w:rPr>
                              </w:pPr>
                              <w:r>
                                <w:rPr>
                                  <w:rFonts w:hint="eastAsia"/>
                                  <w:b w:val="1"/>
                                </w:rPr>
                                <w:t>急　性　期</w:t>
                              </w:r>
                            </w:p>
                          </w:txbxContent>
                        </wps:txbx>
                        <wps:bodyPr vertOverflow="overflow" horzOverflow="overflow" lIns="74295" tIns="8890" rIns="74295" bIns="8890" upright="1"/>
                      </wps:wsp>
                      <wps:wsp>
                        <wps:cNvPr id="1162" name="オブジェクト 0"/>
                        <wps:cNvSpPr>
                          <a:spLocks noChangeArrowheads="1"/>
                        </wps:cNvSpPr>
                        <wps:spPr>
                          <a:xfrm>
                            <a:off x="2399" y="4191"/>
                            <a:ext cx="6207" cy="3671"/>
                          </a:xfrm>
                          <a:prstGeom prst="ellipse">
                            <a:avLst/>
                          </a:prstGeom>
                          <a:gradFill rotWithShape="0">
                            <a:gsLst>
                              <a:gs pos="0">
                                <a:schemeClr val="lt1"/>
                              </a:gs>
                              <a:gs pos="100000">
                                <a:schemeClr val="accent2">
                                  <a:lumMod val="40000"/>
                                  <a:lumOff val="60000"/>
                                </a:schemeClr>
                              </a:gs>
                            </a:gsLst>
                            <a:lin ang="5400000" scaled="1"/>
                            <a:tileRect/>
                          </a:gradFill>
                          <a:ln w="12700">
                            <a:solidFill>
                              <a:schemeClr val="accent2">
                                <a:lumMod val="60000"/>
                                <a:lumOff val="40000"/>
                              </a:schemeClr>
                            </a:solidFill>
                          </a:ln>
                          <a:effectLst>
                            <a:outerShdw dist="28398" dir="3806097" algn="ctr" rotWithShape="0">
                              <a:schemeClr val="accent2">
                                <a:lumMod val="50000"/>
                                <a:alpha val="50000"/>
                              </a:schemeClr>
                            </a:outerShdw>
                          </a:effectLst>
                        </wps:spPr>
                        <wps:txbx>
                          <w:txbxContent>
                            <w:p>
                              <w:pPr>
                                <w:pStyle w:val="0"/>
                                <w:spacing w:line="0" w:lineRule="atLeast"/>
                                <w:rPr>
                                  <w:rFonts w:hint="eastAsia" w:ascii="ＭＳ ゴシック" w:hAnsi="ＭＳ ゴシック" w:eastAsia="ＭＳ ゴシック"/>
                                  <w:sz w:val="18"/>
                                </w:rPr>
                              </w:pPr>
                            </w:p>
                          </w:txbxContent>
                        </wps:txbx>
                        <wps:bodyPr vertOverflow="overflow" horzOverflow="overflow" lIns="7200" tIns="8890" rIns="7200" bIns="8890" upright="1"/>
                      </wps:wsp>
                      <wps:wsp>
                        <wps:cNvPr id="1163" name="オブジェクト 0"/>
                        <wps:cNvSpPr>
                          <a:spLocks noChangeArrowheads="1"/>
                        </wps:cNvSpPr>
                        <wps:spPr>
                          <a:xfrm>
                            <a:off x="2394" y="4767"/>
                            <a:ext cx="2836" cy="2580"/>
                          </a:xfrm>
                          <a:prstGeom prst="ellipse">
                            <a:avLst/>
                          </a:prstGeom>
                          <a:gradFill rotWithShape="0">
                            <a:gsLst>
                              <a:gs pos="0">
                                <a:schemeClr val="lt1"/>
                              </a:gs>
                              <a:gs pos="100000">
                                <a:schemeClr val="accent2">
                                  <a:lumMod val="40000"/>
                                  <a:lumOff val="60000"/>
                                </a:schemeClr>
                              </a:gs>
                            </a:gsLst>
                            <a:lin ang="5400000" scaled="1"/>
                            <a:tileRect/>
                          </a:gradFill>
                          <a:ln w="12700">
                            <a:solidFill>
                              <a:schemeClr val="accent2">
                                <a:lumMod val="60000"/>
                                <a:lumOff val="40000"/>
                              </a:schemeClr>
                            </a:solidFill>
                          </a:ln>
                          <a:effectLst>
                            <a:outerShdw dist="28398" dir="3806097" algn="ctr" rotWithShape="0">
                              <a:schemeClr val="accent2">
                                <a:lumMod val="50000"/>
                                <a:alpha val="50000"/>
                              </a:schemeClr>
                            </a:outerShdw>
                          </a:effectLst>
                        </wps:spPr>
                        <wps:txbx>
                          <w:txbxContent>
                            <w:p>
                              <w:pPr>
                                <w:pStyle w:val="0"/>
                                <w:spacing w:after="160" w:afterLines="50" w:afterAutospacing="0" w:line="20" w:lineRule="atLeast"/>
                                <w:jc w:val="center"/>
                                <w:rPr>
                                  <w:rFonts w:hint="eastAsia" w:ascii="ＭＳ ゴシック" w:hAnsi="ＭＳ ゴシック" w:eastAsia="ＭＳ ゴシック"/>
                                  <w:b w:val="1"/>
                                  <w:sz w:val="21"/>
                                </w:rPr>
                              </w:pPr>
                              <w:r>
                                <w:rPr>
                                  <w:rFonts w:hint="eastAsia" w:ascii="ＭＳ ゴシック" w:hAnsi="ＭＳ ゴシック" w:eastAsia="ＭＳ ゴシック"/>
                                  <w:b w:val="1"/>
                                  <w:sz w:val="21"/>
                                </w:rPr>
                                <w:t>脳卒中センター</w:t>
                              </w:r>
                            </w:p>
                            <w:p>
                              <w:pPr>
                                <w:pStyle w:val="0"/>
                                <w:spacing w:after="160" w:afterLines="50" w:afterAutospacing="0" w:line="20" w:lineRule="atLeast"/>
                                <w:rPr>
                                  <w:rFonts w:hint="eastAsia" w:ascii="ＭＳ ゴシック" w:hAnsi="ＭＳ ゴシック" w:eastAsia="ＭＳ ゴシック"/>
                                  <w:sz w:val="21"/>
                                </w:rPr>
                              </w:pPr>
                              <w:r>
                                <w:rPr>
                                  <w:rFonts w:hint="eastAsia" w:ascii="ＭＳ ゴシック" w:hAnsi="ＭＳ ゴシック" w:eastAsia="ＭＳ ゴシック"/>
                                  <w:sz w:val="21"/>
                                </w:rPr>
                                <w:t>t-PA</w:t>
                              </w:r>
                              <w:r>
                                <w:rPr>
                                  <w:rFonts w:hint="eastAsia" w:ascii="ＭＳ ゴシック" w:hAnsi="ＭＳ ゴシック" w:eastAsia="ＭＳ ゴシック"/>
                                  <w:sz w:val="21"/>
                                </w:rPr>
                                <w:t>療法に加えて、</w:t>
                              </w:r>
                              <w:r>
                                <w:rPr>
                                  <w:rFonts w:hint="eastAsia" w:ascii="ＭＳ ゴシック" w:hAnsi="ＭＳ ゴシック" w:eastAsia="ＭＳ ゴシック"/>
                                  <w:kern w:val="0"/>
                                  <w:sz w:val="21"/>
                                </w:rPr>
                                <w:t>緊急脳神経外科手術が実施可能な施設</w:t>
                              </w:r>
                            </w:p>
                          </w:txbxContent>
                        </wps:txbx>
                        <wps:bodyPr vertOverflow="overflow" horzOverflow="overflow" lIns="7200" tIns="8890" rIns="7200" bIns="8890" upright="1"/>
                      </wps:wsp>
                      <wps:wsp>
                        <wps:cNvPr id="1164" name="オブジェクト 0"/>
                        <wps:cNvSpPr>
                          <a:spLocks noChangeArrowheads="1"/>
                        </wps:cNvSpPr>
                        <wps:spPr>
                          <a:xfrm>
                            <a:off x="6376" y="4800"/>
                            <a:ext cx="2370" cy="2219"/>
                          </a:xfrm>
                          <a:prstGeom prst="ellipse">
                            <a:avLst/>
                          </a:prstGeom>
                          <a:gradFill rotWithShape="0">
                            <a:gsLst>
                              <a:gs pos="0">
                                <a:schemeClr val="lt1"/>
                              </a:gs>
                              <a:gs pos="100000">
                                <a:schemeClr val="accent2">
                                  <a:lumMod val="40000"/>
                                  <a:lumOff val="60000"/>
                                </a:schemeClr>
                              </a:gs>
                            </a:gsLst>
                            <a:lin ang="5400000" scaled="1"/>
                            <a:tileRect/>
                          </a:gradFill>
                          <a:ln w="12700">
                            <a:solidFill>
                              <a:schemeClr val="accent2">
                                <a:lumMod val="60000"/>
                                <a:lumOff val="40000"/>
                              </a:schemeClr>
                            </a:solidFill>
                          </a:ln>
                          <a:effectLst>
                            <a:outerShdw dist="28398" dir="3806097" algn="ctr" rotWithShape="0">
                              <a:schemeClr val="accent2">
                                <a:lumMod val="50000"/>
                                <a:alpha val="50000"/>
                              </a:schemeClr>
                            </a:outerShdw>
                          </a:effectLst>
                        </wps:spPr>
                        <wps:txbx>
                          <w:txbxContent>
                            <w:p>
                              <w:pPr>
                                <w:pStyle w:val="0"/>
                                <w:spacing w:after="160" w:afterLines="50" w:afterAutospacing="0" w:line="20" w:lineRule="atLeast"/>
                                <w:jc w:val="center"/>
                                <w:rPr>
                                  <w:rFonts w:hint="eastAsia" w:ascii="ＭＳ ゴシック" w:hAnsi="ＭＳ ゴシック" w:eastAsia="ＭＳ ゴシック"/>
                                  <w:b w:val="1"/>
                                  <w:sz w:val="21"/>
                                </w:rPr>
                              </w:pPr>
                              <w:r>
                                <w:rPr>
                                  <w:rFonts w:hint="eastAsia" w:ascii="ＭＳ ゴシック" w:hAnsi="ＭＳ ゴシック" w:eastAsia="ＭＳ ゴシック"/>
                                  <w:b w:val="1"/>
                                  <w:sz w:val="21"/>
                                </w:rPr>
                                <w:t>脳卒中支援病院</w:t>
                              </w:r>
                            </w:p>
                            <w:p>
                              <w:pPr>
                                <w:pStyle w:val="0"/>
                                <w:spacing w:after="160" w:afterLines="50" w:afterAutospacing="0" w:line="20" w:lineRule="atLeast"/>
                                <w:jc w:val="center"/>
                                <w:rPr>
                                  <w:rFonts w:hint="eastAsia" w:ascii="ＭＳ ゴシック" w:hAnsi="ＭＳ ゴシック" w:eastAsia="ＭＳ ゴシック"/>
                                  <w:sz w:val="21"/>
                                </w:rPr>
                              </w:pPr>
                              <w:r>
                                <w:rPr>
                                  <w:rFonts w:hint="eastAsia" w:ascii="ＭＳ ゴシック" w:hAnsi="ＭＳ ゴシック" w:eastAsia="ＭＳ ゴシック"/>
                                  <w:sz w:val="21"/>
                                </w:rPr>
                                <w:t>脳卒中に対する初期対応が可能な施設</w:t>
                              </w:r>
                            </w:p>
                          </w:txbxContent>
                        </wps:txbx>
                        <wps:bodyPr vertOverflow="overflow" horzOverflow="overflow" lIns="7200" tIns="8890" rIns="7200" bIns="8890" upright="1"/>
                      </wps:wsp>
                      <wps:wsp>
                        <wps:cNvPr id="1165" name="オブジェクト 0"/>
                        <wps:cNvSpPr>
                          <a:spLocks noChangeArrowheads="1"/>
                        </wps:cNvSpPr>
                        <wps:spPr>
                          <a:xfrm>
                            <a:off x="8922" y="8863"/>
                            <a:ext cx="2308" cy="1320"/>
                          </a:xfrm>
                          <a:prstGeom prst="rect">
                            <a:avLst/>
                          </a:prstGeom>
                          <a:noFill/>
                          <a:ln>
                            <a:miter/>
                          </a:ln>
                        </wps:spPr>
                        <wps:txbx>
                          <w:txbxContent>
                            <w:p>
                              <w:pPr>
                                <w:pStyle w:val="0"/>
                                <w:spacing w:line="240" w:lineRule="auto"/>
                                <w:rPr>
                                  <w:rFonts w:hint="default"/>
                                  <w:sz w:val="18"/>
                                </w:rPr>
                              </w:pPr>
                              <w:r>
                                <w:rPr>
                                  <w:rFonts w:hint="eastAsia"/>
                                  <w:sz w:val="18"/>
                                </w:rPr>
                                <w:t>訪問診療</w:t>
                              </w:r>
                            </w:p>
                            <w:p>
                              <w:pPr>
                                <w:pStyle w:val="0"/>
                                <w:spacing w:line="240" w:lineRule="auto"/>
                                <w:rPr>
                                  <w:rFonts w:hint="default"/>
                                  <w:sz w:val="18"/>
                                </w:rPr>
                              </w:pPr>
                              <w:r>
                                <w:rPr>
                                  <w:rFonts w:hint="eastAsia"/>
                                  <w:sz w:val="18"/>
                                </w:rPr>
                                <w:t>・専門的口腔ケアの実施</w:t>
                              </w:r>
                            </w:p>
                            <w:p>
                              <w:pPr>
                                <w:pStyle w:val="0"/>
                                <w:rPr>
                                  <w:rFonts w:hint="default"/>
                                  <w:color w:val="FF0000"/>
                                  <w:sz w:val="18"/>
                                </w:rPr>
                              </w:pPr>
                              <w:r>
                                <w:rPr>
                                  <w:rFonts w:hint="eastAsia"/>
                                  <w:sz w:val="18"/>
                                </w:rPr>
                                <w:t>・歯周治療の実施</w:t>
                              </w:r>
                            </w:p>
                          </w:txbxContent>
                        </wps:txbx>
                        <wps:bodyPr vertOverflow="overflow" horzOverflow="overflow" lIns="74295" tIns="8890" rIns="74295" bIns="8890" upright="1"/>
                      </wps:wsp>
                      <wps:wsp>
                        <wps:cNvPr id="1166" name="オブジェクト 0"/>
                        <wps:cNvSpPr>
                          <a:spLocks noChangeArrowheads="1"/>
                        </wps:cNvSpPr>
                        <wps:spPr>
                          <a:xfrm>
                            <a:off x="3773" y="10639"/>
                            <a:ext cx="1020" cy="480"/>
                          </a:xfrm>
                          <a:prstGeom prst="rect">
                            <a:avLst/>
                          </a:prstGeom>
                          <a:noFill/>
                          <a:ln>
                            <a:miter/>
                          </a:ln>
                        </wps:spPr>
                        <wps:txbx>
                          <w:txbxContent>
                            <w:p>
                              <w:pPr>
                                <w:pStyle w:val="0"/>
                                <w:rPr>
                                  <w:rFonts w:hint="default"/>
                                </w:rPr>
                              </w:pPr>
                              <w:r>
                                <w:rPr>
                                  <w:rFonts w:hint="eastAsia"/>
                                </w:rPr>
                                <w:t>退院</w:t>
                              </w:r>
                            </w:p>
                          </w:txbxContent>
                        </wps:txbx>
                        <wps:bodyPr vertOverflow="overflow" horzOverflow="overflow" lIns="74295" tIns="8890" rIns="74295" bIns="8890" upright="1"/>
                      </wps:wsp>
                      <wps:wsp>
                        <wps:cNvPr id="1167" name="オブジェクト 0"/>
                        <wps:cNvCnPr/>
                        <wps:spPr>
                          <a:xfrm flipH="1">
                            <a:off x="2603" y="11236"/>
                            <a:ext cx="7301" cy="0"/>
                          </a:xfrm>
                          <a:prstGeom prst="straightConnector1">
                            <a:avLst/>
                          </a:prstGeom>
                          <a:noFill/>
                          <a:ln w="38100" cap="rnd">
                            <a:solidFill>
                              <a:srgbClr val="0070C0"/>
                            </a:solidFill>
                            <a:prstDash val="sysDot"/>
                            <a:miter/>
                          </a:ln>
                        </wps:spPr>
                        <wps:bodyPr/>
                      </wps:wsp>
                      <wps:wsp>
                        <wps:cNvPr id="1168" name="オブジェクト 0"/>
                        <wps:cNvSpPr>
                          <a:spLocks noChangeArrowheads="1"/>
                        </wps:cNvSpPr>
                        <wps:spPr>
                          <a:xfrm>
                            <a:off x="3455" y="10124"/>
                            <a:ext cx="318" cy="3269"/>
                          </a:xfrm>
                          <a:prstGeom prst="downArrow">
                            <a:avLst>
                              <a:gd name="adj1" fmla="val 49861"/>
                              <a:gd name="adj2" fmla="val 119242"/>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169" name="オブジェクト 0"/>
                        <wps:cNvCnPr/>
                        <wps:spPr>
                          <a:xfrm flipH="1" flipV="1">
                            <a:off x="9981" y="11203"/>
                            <a:ext cx="16" cy="4352"/>
                          </a:xfrm>
                          <a:prstGeom prst="straightConnector1">
                            <a:avLst/>
                          </a:prstGeom>
                          <a:noFill/>
                          <a:ln w="38100" cap="rnd">
                            <a:solidFill>
                              <a:srgbClr val="0070C0"/>
                            </a:solidFill>
                            <a:prstDash val="sysDot"/>
                            <a:miter/>
                          </a:ln>
                        </wps:spPr>
                        <wps:bodyPr/>
                      </wps:wsp>
                      <wps:wsp>
                        <wps:cNvPr id="1170" name="オブジェクト 0"/>
                        <wps:cNvCnPr/>
                        <wps:spPr>
                          <a:xfrm>
                            <a:off x="1366" y="11097"/>
                            <a:ext cx="0" cy="4497"/>
                          </a:xfrm>
                          <a:prstGeom prst="straightConnector1">
                            <a:avLst/>
                          </a:prstGeom>
                          <a:noFill/>
                          <a:ln w="38100" cap="rnd">
                            <a:solidFill>
                              <a:srgbClr val="0070C0"/>
                            </a:solidFill>
                            <a:prstDash val="sysDot"/>
                            <a:miter/>
                          </a:ln>
                        </wps:spPr>
                        <wps:bodyPr/>
                      </wps:wsp>
                      <wps:wsp>
                        <wps:cNvPr id="1171" name="オブジェクト 0"/>
                        <wps:cNvSpPr>
                          <a:spLocks noChangeArrowheads="1"/>
                        </wps:cNvSpPr>
                        <wps:spPr>
                          <a:xfrm>
                            <a:off x="2907" y="14433"/>
                            <a:ext cx="2445" cy="555"/>
                          </a:xfrm>
                          <a:prstGeom prst="rect">
                            <a:avLst/>
                          </a:prstGeom>
                          <a:noFill/>
                          <a:ln>
                            <a:miter/>
                          </a:ln>
                        </wps:spPr>
                        <wps:txbx>
                          <w:txbxContent>
                            <w:p>
                              <w:pPr>
                                <w:pStyle w:val="0"/>
                                <w:spacing w:line="0" w:lineRule="atLeast"/>
                                <w:jc w:val="center"/>
                                <w:rPr>
                                  <w:rFonts w:hint="eastAsia" w:ascii="ＭＳ 明朝" w:hAnsi="ＭＳ 明朝" w:eastAsia="ＭＳ 明朝"/>
                                  <w:sz w:val="21"/>
                                  <w:bdr w:val="single" w:color="auto" w:sz="4" w:space="0"/>
                                </w:rPr>
                              </w:pPr>
                              <w:r>
                                <w:rPr>
                                  <w:rFonts w:hint="eastAsia" w:ascii="ＭＳ ゴシック" w:hAnsi="ＭＳ ゴシック" w:eastAsia="ＭＳ ゴシック"/>
                                  <w:sz w:val="21"/>
                                  <w:bdr w:val="single" w:color="auto" w:sz="4" w:space="0"/>
                                </w:rPr>
                                <w:t>かかりつけ医など</w:t>
                              </w:r>
                            </w:p>
                            <w:p>
                              <w:pPr>
                                <w:pStyle w:val="0"/>
                                <w:spacing w:line="0" w:lineRule="atLeast"/>
                                <w:rPr>
                                  <w:rFonts w:hint="eastAsia" w:ascii="ＭＳ 明朝" w:hAnsi="ＭＳ 明朝" w:eastAsia="ＭＳ 明朝"/>
                                  <w:sz w:val="16"/>
                                </w:rPr>
                              </w:pPr>
                              <w:r>
                                <w:rPr>
                                  <w:rFonts w:hint="eastAsia" w:ascii="ＭＳ 明朝" w:hAnsi="ＭＳ 明朝" w:eastAsia="ＭＳ 明朝"/>
                                  <w:sz w:val="16"/>
                                </w:rPr>
                                <w:t>（在宅療養支援病院・診療所）</w:t>
                              </w:r>
                            </w:p>
                          </w:txbxContent>
                        </wps:txbx>
                        <wps:bodyPr vertOverflow="overflow" horzOverflow="overflow" lIns="74295" tIns="8890" rIns="74295" bIns="8890" upright="1"/>
                      </wps:wsp>
                      <wps:wsp>
                        <wps:cNvPr id="1172" name="オブジェクト 0"/>
                        <wps:cNvSpPr>
                          <a:spLocks noChangeArrowheads="1"/>
                        </wps:cNvSpPr>
                        <wps:spPr>
                          <a:xfrm>
                            <a:off x="6688" y="13676"/>
                            <a:ext cx="2518" cy="435"/>
                          </a:xfrm>
                          <a:prstGeom prst="rect">
                            <a:avLst/>
                          </a:prstGeom>
                          <a:noFill/>
                          <a:ln>
                            <a:miter/>
                          </a:ln>
                        </wps:spPr>
                        <wps:txbx>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介護サービス事業者</w:t>
                              </w:r>
                            </w:p>
                          </w:txbxContent>
                        </wps:txbx>
                        <wps:bodyPr vertOverflow="overflow" horzOverflow="overflow" lIns="74295" tIns="8890" rIns="74295" bIns="8890" upright="1"/>
                      </wps:wsp>
                      <wps:wsp>
                        <wps:cNvPr id="1173" name="オブジェクト 0"/>
                        <wps:cNvSpPr txBox="1">
                          <a:spLocks noChangeArrowheads="1"/>
                        </wps:cNvSpPr>
                        <wps:spPr>
                          <a:xfrm>
                            <a:off x="3098" y="3032"/>
                            <a:ext cx="1934" cy="792"/>
                          </a:xfrm>
                          <a:prstGeom prst="rect">
                            <a:avLst/>
                          </a:prstGeom>
                          <a:noFill/>
                          <a:ln>
                            <a:miter/>
                          </a:ln>
                        </wps:spPr>
                        <wps:txbx>
                          <w:txbxContent>
                            <w:p>
                              <w:pPr>
                                <w:pStyle w:val="0"/>
                                <w:rPr>
                                  <w:rFonts w:hint="default"/>
                                  <w:sz w:val="18"/>
                                </w:rPr>
                              </w:pPr>
                              <w:r>
                                <w:rPr>
                                  <w:rFonts w:hint="eastAsia"/>
                                  <w:sz w:val="18"/>
                                </w:rPr>
                                <w:t>患者情報や専門的</w:t>
                              </w:r>
                            </w:p>
                            <w:p>
                              <w:pPr>
                                <w:pStyle w:val="0"/>
                                <w:rPr>
                                  <w:rFonts w:hint="default"/>
                                  <w:sz w:val="18"/>
                                </w:rPr>
                              </w:pPr>
                              <w:r>
                                <w:rPr>
                                  <w:rFonts w:hint="eastAsia"/>
                                  <w:sz w:val="18"/>
                                </w:rPr>
                                <w:t>知識の共有等</w:t>
                              </w:r>
                            </w:p>
                          </w:txbxContent>
                        </wps:txbx>
                        <wps:bodyPr vertOverflow="overflow" horzOverflow="overflow" lIns="74295" tIns="8890" rIns="74295" bIns="8890" upright="1"/>
                      </wps:wsp>
                      <wps:wsp>
                        <wps:cNvPr id="1174" name="オブジェクト 0"/>
                        <wps:cNvSpPr/>
                        <wps:spPr>
                          <a:xfrm>
                            <a:off x="1063" y="4955"/>
                            <a:ext cx="424" cy="9458"/>
                          </a:xfrm>
                          <a:prstGeom prst="leftBracket">
                            <a:avLst>
                              <a:gd name="adj" fmla="val 0"/>
                            </a:avLst>
                          </a:prstGeom>
                          <a:ln/>
                        </wps:spPr>
                        <wps:style>
                          <a:lnRef idx="3">
                            <a:schemeClr val="accent6"/>
                          </a:lnRef>
                          <a:fillRef idx="0">
                            <a:schemeClr val="accent1"/>
                          </a:fillRef>
                          <a:effectRef idx="2">
                            <a:schemeClr val="accent6"/>
                          </a:effectRef>
                          <a:fontRef idx="minor">
                            <a:schemeClr val="tx1"/>
                          </a:fontRef>
                        </wps:style>
                        <wps:bodyPr/>
                      </wps:wsp>
                      <wps:wsp>
                        <wps:cNvPr id="1175" name="オブジェクト 0"/>
                        <wps:cNvSpPr>
                          <a:spLocks noChangeArrowheads="1"/>
                        </wps:cNvSpPr>
                        <wps:spPr>
                          <a:xfrm>
                            <a:off x="5230" y="5722"/>
                            <a:ext cx="1200" cy="634"/>
                          </a:xfrm>
                          <a:prstGeom prst="leftRightArrow">
                            <a:avLst>
                              <a:gd name="adj1" fmla="val 50000"/>
                              <a:gd name="adj2" fmla="val 37855"/>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176" name="オブジェクト 0"/>
                        <wps:cNvSpPr txBox="1"/>
                        <wps:spPr>
                          <a:xfrm>
                            <a:off x="787" y="6274"/>
                            <a:ext cx="553" cy="4231"/>
                          </a:xfrm>
                          <a:prstGeom prst="rect">
                            <a:avLst/>
                          </a:prstGeom>
                          <a:gradFill rotWithShape="1">
                            <a:gsLst>
                              <a:gs pos="0">
                                <a:srgbClr val="FFBA82"/>
                              </a:gs>
                              <a:gs pos="100000">
                                <a:srgbClr val="FFFFFF"/>
                              </a:gs>
                            </a:gsLst>
                            <a:lin ang="16200000" scaled="1"/>
                            <a:tileRect/>
                          </a:gradFill>
                          <a:ln>
                            <a:solidFill>
                              <a:srgbClr val="F5BA82"/>
                            </a:solidFill>
                          </a:ln>
                        </wps:spPr>
                        <wps:style>
                          <a:lnRef idx="1">
                            <a:schemeClr val="accent6"/>
                          </a:lnRef>
                          <a:fillRef idx="2">
                            <a:schemeClr val="accent6"/>
                          </a:fillRef>
                          <a:effectRef idx="1">
                            <a:schemeClr val="accent6"/>
                          </a:effectRef>
                          <a:fontRef idx="none">
                            <a:schemeClr val="dk1"/>
                          </a:fontRef>
                        </wps:style>
                        <wps:txbx>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auto"/>
                                  <w:sz w:val="22"/>
                                  <w:u w:val="none" w:color="auto"/>
                                </w:rPr>
                                <w:t>脳卒中地域連携パス</w:t>
                              </w:r>
                            </w:p>
                          </w:txbxContent>
                        </wps:txbx>
                        <wps:bodyPr vertOverflow="overflow" horzOverflow="overflow" vert="eaVert" wrap="square" lIns="74295" tIns="8890" rIns="74295" bIns="8890"/>
                      </wps:wsp>
                      <wps:wsp>
                        <wps:cNvPr id="1177" name="オブジェクト 0"/>
                        <wps:cNvSpPr>
                          <a:spLocks noChangeArrowheads="1"/>
                        </wps:cNvSpPr>
                        <wps:spPr>
                          <a:xfrm>
                            <a:off x="9006" y="6869"/>
                            <a:ext cx="1170" cy="375"/>
                          </a:xfrm>
                          <a:prstGeom prst="rect">
                            <a:avLst/>
                          </a:prstGeom>
                          <a:noFill/>
                          <a:ln>
                            <a:miter/>
                          </a:ln>
                        </wps:spPr>
                        <wps:txbx>
                          <w:txbxContent>
                            <w:p>
                              <w:pPr>
                                <w:pStyle w:val="0"/>
                                <w:rPr>
                                  <w:rFonts w:hint="default"/>
                                  <w:sz w:val="18"/>
                                </w:rPr>
                              </w:pPr>
                              <w:r>
                                <w:rPr>
                                  <w:rFonts w:hint="eastAsia"/>
                                  <w:sz w:val="18"/>
                                </w:rPr>
                                <w:t>診療依頼</w:t>
                              </w:r>
                            </w:p>
                          </w:txbxContent>
                        </wps:txbx>
                        <wps:bodyPr vertOverflow="overflow" horzOverflow="overflow" lIns="74295" tIns="8890" rIns="74295" bIns="8890" upright="1"/>
                      </wps:wsp>
                      <wps:wsp>
                        <wps:cNvPr id="1178" name="オブジェクト 0"/>
                        <wps:cNvSpPr>
                          <a:spLocks noChangeArrowheads="1"/>
                        </wps:cNvSpPr>
                        <wps:spPr>
                          <a:xfrm>
                            <a:off x="10024" y="6847"/>
                            <a:ext cx="530" cy="1875"/>
                          </a:xfrm>
                          <a:prstGeom prst="roundRect">
                            <a:avLst>
                              <a:gd name="adj" fmla="val 16673"/>
                            </a:avLst>
                          </a:prstGeom>
                          <a:gradFill rotWithShape="0">
                            <a:gsLst>
                              <a:gs pos="0">
                                <a:schemeClr val="lt1"/>
                              </a:gs>
                              <a:gs pos="100000">
                                <a:schemeClr val="accent5">
                                  <a:lumMod val="40000"/>
                                  <a:lumOff val="60000"/>
                                </a:schemeClr>
                              </a:gs>
                            </a:gsLst>
                            <a:lin ang="5400000" scaled="1"/>
                            <a:tileRect/>
                          </a:gradFill>
                          <a:ln w="38100">
                            <a:solidFill>
                              <a:srgbClr val="FF7C80"/>
                            </a:solidFill>
                          </a:ln>
                          <a:effectLst>
                            <a:outerShdw dist="28398" dir="3806097" algn="ctr" rotWithShape="0">
                              <a:schemeClr val="accent5">
                                <a:lumMod val="50000"/>
                                <a:alpha val="50000"/>
                              </a:schemeClr>
                            </a:outerShdw>
                          </a:effectLst>
                        </wps:spPr>
                        <wps:txbx>
                          <w:txbxContent>
                            <w:p>
                              <w:pPr>
                                <w:pStyle w:val="0"/>
                                <w:spacing w:line="0" w:lineRule="atLeast"/>
                                <w:jc w:val="center"/>
                                <w:rPr>
                                  <w:rFonts w:hint="default"/>
                                </w:rPr>
                              </w:pPr>
                              <w:r>
                                <w:rPr>
                                  <w:rFonts w:hint="eastAsia"/>
                                </w:rPr>
                                <w:t>歯科との連携</w:t>
                              </w:r>
                            </w:p>
                          </w:txbxContent>
                        </wps:txbx>
                        <wps:bodyPr vertOverflow="overflow" horzOverflow="overflow" lIns="74295" tIns="8890" rIns="74295" bIns="8890" upright="1"/>
                      </wps:wsp>
                      <wps:wsp>
                        <wps:cNvPr id="1179" name="オブジェクト 0"/>
                        <wps:cNvSpPr>
                          <a:spLocks noChangeArrowheads="1"/>
                        </wps:cNvSpPr>
                        <wps:spPr>
                          <a:xfrm>
                            <a:off x="9016" y="7221"/>
                            <a:ext cx="972" cy="997"/>
                          </a:xfrm>
                          <a:prstGeom prst="leftRightArrow">
                            <a:avLst>
                              <a:gd name="adj1" fmla="val 38815"/>
                              <a:gd name="adj2" fmla="val 33435"/>
                            </a:avLst>
                          </a:prstGeom>
                          <a:solidFill>
                            <a:srgbClr val="FF7C80"/>
                          </a:solidFill>
                          <a:ln w="38100">
                            <a:solidFill>
                              <a:srgbClr val="FF7C80"/>
                            </a:solidFill>
                            <a:miter/>
                          </a:ln>
                        </wps:spPr>
                        <wps:bodyPr/>
                      </wps:wsp>
                      <wps:wsp>
                        <wps:cNvPr id="1180" name="オブジェクト 0"/>
                        <wps:cNvSpPr txBox="1">
                          <a:spLocks noChangeArrowheads="1"/>
                        </wps:cNvSpPr>
                        <wps:spPr>
                          <a:xfrm>
                            <a:off x="4826" y="7026"/>
                            <a:ext cx="2800" cy="793"/>
                          </a:xfrm>
                          <a:prstGeom prst="rect">
                            <a:avLst/>
                          </a:prstGeom>
                          <a:noFill/>
                          <a:ln>
                            <a:miter/>
                          </a:ln>
                        </wps:spPr>
                        <wps:txbx>
                          <w:txbxContent>
                            <w:p>
                              <w:pPr>
                                <w:pStyle w:val="0"/>
                                <w:spacing w:line="240" w:lineRule="auto"/>
                                <w:rPr>
                                  <w:rFonts w:hint="eastAsia" w:ascii="ＭＳ ゴシック" w:hAnsi="ＭＳ ゴシック" w:eastAsia="ＭＳ ゴシック"/>
                                  <w:sz w:val="21"/>
                                </w:rPr>
                              </w:pPr>
                              <w:r>
                                <w:rPr>
                                  <w:rFonts w:hint="eastAsia" w:ascii="ＭＳ ゴシック" w:hAnsi="ＭＳ ゴシック" w:eastAsia="ＭＳ ゴシック"/>
                                  <w:sz w:val="21"/>
                                </w:rPr>
                                <w:t>患者の状態・治療計画に</w:t>
                              </w:r>
                            </w:p>
                            <w:p>
                              <w:pPr>
                                <w:pStyle w:val="0"/>
                                <w:spacing w:line="240" w:lineRule="auto"/>
                                <w:rPr>
                                  <w:rFonts w:hint="eastAsia" w:ascii="ＭＳ ゴシック" w:hAnsi="ＭＳ ゴシック" w:eastAsia="ＭＳ ゴシック"/>
                                  <w:sz w:val="21"/>
                                </w:rPr>
                              </w:pPr>
                              <w:r>
                                <w:rPr>
                                  <w:rFonts w:hint="eastAsia" w:ascii="ＭＳ ゴシック" w:hAnsi="ＭＳ ゴシック" w:eastAsia="ＭＳ ゴシック"/>
                                  <w:sz w:val="21"/>
                                </w:rPr>
                                <w:t>応じた適切な連携</w:t>
                              </w:r>
                            </w:p>
                          </w:txbxContent>
                        </wps:txbx>
                        <wps:bodyPr vertOverflow="overflow" horzOverflow="overflow" wrap="square" lIns="74295" tIns="8890" rIns="74295" bIns="8890" upright="1"/>
                      </wps:wsp>
                      <wps:wsp>
                        <wps:cNvPr id="1181" name="オブジェクト 0"/>
                        <wps:cNvSpPr>
                          <a:spLocks noChangeArrowheads="1"/>
                        </wps:cNvSpPr>
                        <wps:spPr>
                          <a:xfrm>
                            <a:off x="5348" y="7878"/>
                            <a:ext cx="291" cy="669"/>
                          </a:xfrm>
                          <a:prstGeom prst="downArrow">
                            <a:avLst>
                              <a:gd name="adj1" fmla="val 50000"/>
                              <a:gd name="adj2" fmla="val 39953"/>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182" name="オブジェクト 0"/>
                        <wps:cNvSpPr>
                          <a:spLocks noChangeArrowheads="1"/>
                        </wps:cNvSpPr>
                        <wps:spPr>
                          <a:xfrm>
                            <a:off x="5730" y="8043"/>
                            <a:ext cx="1344" cy="480"/>
                          </a:xfrm>
                          <a:prstGeom prst="rect">
                            <a:avLst/>
                          </a:prstGeom>
                          <a:noFill/>
                          <a:ln>
                            <a:miter/>
                          </a:ln>
                        </wps:spPr>
                        <wps:txbx>
                          <w:txbxContent>
                            <w:p>
                              <w:pPr>
                                <w:pStyle w:val="0"/>
                                <w:rPr>
                                  <w:rFonts w:hint="default"/>
                                </w:rPr>
                              </w:pPr>
                              <w:r>
                                <w:rPr>
                                  <w:rFonts w:hint="eastAsia"/>
                                </w:rPr>
                                <w:t>転院</w:t>
                              </w:r>
                            </w:p>
                          </w:txbxContent>
                        </wps:txbx>
                        <wps:bodyPr vertOverflow="overflow" horzOverflow="overflow" lIns="74295" tIns="8890" rIns="74295" bIns="8890" upright="1"/>
                      </wps:wsp>
                      <wps:wsp>
                        <wps:cNvPr id="1183" name="オブジェクト 0"/>
                        <wps:cNvSpPr>
                          <a:spLocks noChangeArrowheads="1"/>
                        </wps:cNvSpPr>
                        <wps:spPr>
                          <a:xfrm>
                            <a:off x="2848" y="8590"/>
                            <a:ext cx="5395" cy="1810"/>
                          </a:xfrm>
                          <a:prstGeom prst="ellipse">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ln>
                          <a:effectLst>
                            <a:outerShdw dist="28398" dir="3806097" algn="ctr" rotWithShape="0">
                              <a:schemeClr val="accent4">
                                <a:lumMod val="50000"/>
                                <a:alpha val="50000"/>
                              </a:schemeClr>
                            </a:outerShdw>
                          </a:effectLst>
                        </wps:spPr>
                        <wps:txbx>
                          <w:txbxContent>
                            <w:p>
                              <w:pPr>
                                <w:pStyle w:val="0"/>
                                <w:spacing w:line="240" w:lineRule="exact"/>
                                <w:rPr>
                                  <w:rFonts w:hint="eastAsia" w:ascii="ＭＳ ゴシック" w:hAnsi="ＭＳ ゴシック" w:eastAsia="ＭＳ ゴシック"/>
                                  <w:sz w:val="21"/>
                                </w:rPr>
                              </w:pPr>
                              <w:r>
                                <w:rPr>
                                  <w:rFonts w:hint="eastAsia" w:ascii="ＭＳ ゴシック" w:hAnsi="ＭＳ ゴシック" w:eastAsia="ＭＳ ゴシック"/>
                                  <w:sz w:val="21"/>
                                </w:rPr>
                                <w:t>回復期リハビリテーション機能を</w:t>
                              </w:r>
                            </w:p>
                            <w:p>
                              <w:pPr>
                                <w:pStyle w:val="0"/>
                                <w:spacing w:after="80" w:afterLines="0" w:afterAutospacing="0" w:line="240" w:lineRule="exact"/>
                                <w:rPr>
                                  <w:rFonts w:hint="default" w:asciiTheme="majorEastAsia" w:hAnsiTheme="majorEastAsia" w:eastAsiaTheme="majorEastAsia"/>
                                  <w:sz w:val="12"/>
                                </w:rPr>
                              </w:pPr>
                              <w:r>
                                <w:rPr>
                                  <w:rFonts w:hint="eastAsia" w:ascii="ＭＳ ゴシック" w:hAnsi="ＭＳ ゴシック" w:eastAsia="ＭＳ ゴシック"/>
                                  <w:sz w:val="21"/>
                                </w:rPr>
                                <w:t>有する医療機関</w:t>
                              </w:r>
                              <w:r>
                                <w:rPr>
                                  <w:rFonts w:hint="eastAsia" w:ascii="ＭＳ ゴシック" w:hAnsi="ＭＳ ゴシック" w:eastAsia="ＭＳ ゴシック"/>
                                  <w:sz w:val="12"/>
                                </w:rPr>
                                <w:t>　</w:t>
                              </w:r>
                            </w:p>
                            <w:p>
                              <w:pPr>
                                <w:pStyle w:val="0"/>
                                <w:spacing w:line="0" w:lineRule="atLeast"/>
                                <w:ind w:firstLine="187" w:firstLineChars="100"/>
                                <w:rPr>
                                  <w:rFonts w:hint="default"/>
                                  <w:sz w:val="18"/>
                                </w:rPr>
                              </w:pPr>
                              <w:r>
                                <w:rPr>
                                  <w:rFonts w:hint="eastAsia"/>
                                  <w:sz w:val="18"/>
                                </w:rPr>
                                <w:t>●回復期リハビリテーション　</w:t>
                              </w:r>
                            </w:p>
                            <w:p>
                              <w:pPr>
                                <w:pStyle w:val="0"/>
                                <w:spacing w:line="0" w:lineRule="atLeast"/>
                                <w:ind w:firstLine="187" w:firstLineChars="100"/>
                                <w:rPr>
                                  <w:rFonts w:hint="default"/>
                                  <w:sz w:val="18"/>
                                </w:rPr>
                              </w:pPr>
                              <w:r>
                                <w:rPr>
                                  <w:rFonts w:hint="eastAsia"/>
                                  <w:sz w:val="18"/>
                                </w:rPr>
                                <w:t>●再発予防</w:t>
                              </w:r>
                            </w:p>
                          </w:txbxContent>
                        </wps:txbx>
                        <wps:bodyPr vertOverflow="overflow" horzOverflow="overflow" lIns="7200" tIns="8890" rIns="7200" bIns="8890" anchor="ctr" upright="1"/>
                      </wps:wsp>
                      <wps:wsp>
                        <wps:cNvPr id="1184" name="オブジェクト 0"/>
                        <wps:cNvSpPr>
                          <a:spLocks noChangeArrowheads="1"/>
                        </wps:cNvSpPr>
                        <wps:spPr>
                          <a:xfrm>
                            <a:off x="6383" y="10413"/>
                            <a:ext cx="362" cy="1060"/>
                          </a:xfrm>
                          <a:prstGeom prst="downArrow">
                            <a:avLst>
                              <a:gd name="adj1" fmla="val 50000"/>
                              <a:gd name="adj2" fmla="val 66298"/>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185" name="オブジェクト 0"/>
                        <wps:cNvSpPr>
                          <a:spLocks noChangeArrowheads="1"/>
                        </wps:cNvSpPr>
                        <wps:spPr>
                          <a:xfrm>
                            <a:off x="6745" y="10579"/>
                            <a:ext cx="1344" cy="480"/>
                          </a:xfrm>
                          <a:prstGeom prst="rect">
                            <a:avLst/>
                          </a:prstGeom>
                          <a:noFill/>
                          <a:ln>
                            <a:miter/>
                          </a:ln>
                        </wps:spPr>
                        <wps:txbx>
                          <w:txbxContent>
                            <w:p>
                              <w:pPr>
                                <w:pStyle w:val="0"/>
                                <w:rPr>
                                  <w:rFonts w:hint="default"/>
                                </w:rPr>
                              </w:pPr>
                              <w:r>
                                <w:rPr>
                                  <w:rFonts w:hint="eastAsia"/>
                                </w:rPr>
                                <w:t>転院・転入</w:t>
                              </w:r>
                            </w:p>
                          </w:txbxContent>
                        </wps:txbx>
                        <wps:bodyPr vertOverflow="overflow" horzOverflow="overflow" lIns="74295" tIns="8890" rIns="74295" bIns="8890" upright="1"/>
                      </wps:wsp>
                      <wps:wsp>
                        <wps:cNvPr id="1186" name="オブジェクト 0"/>
                        <wps:cNvSpPr>
                          <a:spLocks noChangeArrowheads="1"/>
                        </wps:cNvSpPr>
                        <wps:spPr>
                          <a:xfrm>
                            <a:off x="3889" y="11533"/>
                            <a:ext cx="4862" cy="1575"/>
                          </a:xfrm>
                          <a:prstGeom prst="ellipse">
                            <a:avLst/>
                          </a:prstGeom>
                          <a:gradFill rotWithShape="0">
                            <a:gsLst>
                              <a:gs pos="0">
                                <a:schemeClr val="lt1"/>
                              </a:gs>
                              <a:gs pos="100000">
                                <a:schemeClr val="accent3">
                                  <a:lumMod val="40000"/>
                                  <a:lumOff val="60000"/>
                                </a:schemeClr>
                              </a:gs>
                            </a:gsLst>
                            <a:lin ang="5400000" scaled="1"/>
                            <a:tileRect/>
                          </a:gradFill>
                          <a:ln w="12700">
                            <a:solidFill>
                              <a:schemeClr val="accent3">
                                <a:lumMod val="60000"/>
                                <a:lumOff val="40000"/>
                              </a:schemeClr>
                            </a:solidFill>
                          </a:ln>
                          <a:effectLst>
                            <a:outerShdw dist="28398" dir="3806097" algn="ctr" rotWithShape="0">
                              <a:schemeClr val="accent3">
                                <a:lumMod val="50000"/>
                                <a:alpha val="50000"/>
                              </a:schemeClr>
                            </a:outerShdw>
                          </a:effectLst>
                        </wps:spPr>
                        <wps:txbx>
                          <w:txbxContent>
                            <w:p>
                              <w:pPr>
                                <w:pStyle w:val="0"/>
                                <w:spacing w:line="0" w:lineRule="atLeast"/>
                                <w:rPr>
                                  <w:rFonts w:hint="eastAsia" w:ascii="ＭＳ 明朝" w:hAnsi="ＭＳ 明朝" w:eastAsia="ＭＳ 明朝"/>
                                  <w:sz w:val="21"/>
                                </w:rPr>
                              </w:pPr>
                              <w:r>
                                <w:rPr>
                                  <w:rFonts w:hint="eastAsia" w:ascii="ＭＳ 明朝" w:hAnsi="ＭＳ 明朝" w:eastAsia="ＭＳ 明朝"/>
                                  <w:sz w:val="21"/>
                                </w:rPr>
                                <w:t>療養病床、介護保険施設等</w:t>
                              </w:r>
                            </w:p>
                            <w:p>
                              <w:pPr>
                                <w:pStyle w:val="0"/>
                                <w:spacing w:line="0" w:lineRule="atLeast"/>
                                <w:rPr>
                                  <w:rFonts w:hint="eastAsia" w:ascii="ＭＳ 明朝" w:hAnsi="ＭＳ 明朝" w:eastAsia="ＭＳ 明朝"/>
                                  <w:sz w:val="18"/>
                                </w:rPr>
                              </w:pPr>
                              <w:r>
                                <w:rPr>
                                  <w:rFonts w:hint="eastAsia" w:ascii="ＭＳ 明朝" w:hAnsi="ＭＳ 明朝" w:eastAsia="ＭＳ 明朝"/>
                                  <w:sz w:val="18"/>
                                </w:rPr>
                                <w:t>（維持期リハビリテーション）</w:t>
                              </w:r>
                            </w:p>
                            <w:p>
                              <w:pPr>
                                <w:pStyle w:val="0"/>
                                <w:spacing w:line="0" w:lineRule="atLeast"/>
                                <w:rPr>
                                  <w:rFonts w:hint="eastAsia" w:ascii="ＭＳ 明朝" w:hAnsi="ＭＳ 明朝" w:eastAsia="ＭＳ 明朝"/>
                                  <w:sz w:val="18"/>
                                </w:rPr>
                              </w:pPr>
                              <w:r>
                                <w:rPr>
                                  <w:rFonts w:hint="eastAsia" w:ascii="ＭＳ 明朝" w:hAnsi="ＭＳ 明朝" w:eastAsia="ＭＳ 明朝"/>
                                  <w:sz w:val="18"/>
                                </w:rPr>
                                <w:t>●社会復帰のためのリハビリテーション　●再発予防</w:t>
                              </w:r>
                            </w:p>
                          </w:txbxContent>
                        </wps:txbx>
                        <wps:bodyPr vertOverflow="overflow" horzOverflow="overflow" lIns="5760" tIns="8890" rIns="3600" bIns="8890" anchor="ctr" upright="1"/>
                      </wps:wsp>
                      <wps:wsp>
                        <wps:cNvPr id="1187" name="オブジェクト 0"/>
                        <wps:cNvSpPr>
                          <a:spLocks noChangeArrowheads="1"/>
                        </wps:cNvSpPr>
                        <wps:spPr>
                          <a:xfrm>
                            <a:off x="1766" y="14099"/>
                            <a:ext cx="1605" cy="600"/>
                          </a:xfrm>
                          <a:prstGeom prst="rect">
                            <a:avLst/>
                          </a:prstGeom>
                          <a:noFill/>
                          <a:ln>
                            <a:miter/>
                          </a:ln>
                        </wps:spPr>
                        <wps:txbx>
                          <w:txbxContent>
                            <w:p>
                              <w:pPr>
                                <w:pStyle w:val="0"/>
                                <w:spacing w:line="0" w:lineRule="atLeast"/>
                                <w:rPr>
                                  <w:rFonts w:hint="default"/>
                                  <w:sz w:val="18"/>
                                </w:rPr>
                              </w:pPr>
                              <w:r>
                                <w:rPr>
                                  <w:rFonts w:hint="eastAsia"/>
                                  <w:sz w:val="18"/>
                                </w:rPr>
                                <w:t>訪問薬剤</w:t>
                              </w:r>
                            </w:p>
                            <w:p>
                              <w:pPr>
                                <w:pStyle w:val="0"/>
                                <w:spacing w:line="0" w:lineRule="atLeast"/>
                                <w:rPr>
                                  <w:rFonts w:hint="default"/>
                                  <w:sz w:val="18"/>
                                </w:rPr>
                              </w:pPr>
                              <w:r>
                                <w:rPr>
                                  <w:rFonts w:hint="eastAsia"/>
                                  <w:sz w:val="18"/>
                                </w:rPr>
                                <w:t>服薬管理・指導</w:t>
                              </w:r>
                            </w:p>
                          </w:txbxContent>
                        </wps:txbx>
                        <wps:bodyPr vertOverflow="overflow" horzOverflow="overflow" lIns="74295" tIns="8890" rIns="74295" bIns="8890" upright="1"/>
                      </wps:wsp>
                      <wps:wsp>
                        <wps:cNvPr id="1188" name="オブジェクト 0"/>
                        <wps:cNvSpPr>
                          <a:spLocks noChangeArrowheads="1"/>
                        </wps:cNvSpPr>
                        <wps:spPr>
                          <a:xfrm>
                            <a:off x="1886" y="13761"/>
                            <a:ext cx="1930" cy="435"/>
                          </a:xfrm>
                          <a:prstGeom prst="rect">
                            <a:avLst/>
                          </a:prstGeom>
                          <a:noFill/>
                          <a:ln>
                            <a:miter/>
                          </a:ln>
                        </wps:spPr>
                        <wps:txbx>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かかりつけ薬局</w:t>
                              </w:r>
                            </w:p>
                          </w:txbxContent>
                        </wps:txbx>
                        <wps:bodyPr vertOverflow="overflow" horzOverflow="overflow" lIns="74295" tIns="8890" rIns="74295" bIns="8890" upright="1"/>
                      </wps:wsp>
                      <wps:wsp>
                        <wps:cNvPr id="1189" name="オブジェクト 0"/>
                        <wps:cNvSpPr>
                          <a:spLocks noChangeArrowheads="1"/>
                        </wps:cNvSpPr>
                        <wps:spPr>
                          <a:xfrm>
                            <a:off x="5650" y="14359"/>
                            <a:ext cx="2690" cy="435"/>
                          </a:xfrm>
                          <a:prstGeom prst="rect">
                            <a:avLst/>
                          </a:prstGeom>
                          <a:noFill/>
                          <a:ln>
                            <a:miter/>
                          </a:ln>
                        </wps:spPr>
                        <wps:txbx>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訪問看護ステーション</w:t>
                              </w:r>
                            </w:p>
                          </w:txbxContent>
                        </wps:txbx>
                        <wps:bodyPr vertOverflow="overflow" horzOverflow="overflow" lIns="74295" tIns="8890" rIns="74295" bIns="8890" upright="1"/>
                      </wps:wsp>
                      <wps:wsp>
                        <wps:cNvPr id="1190" name="オブジェクト 0"/>
                        <wps:cNvCnPr/>
                        <wps:spPr>
                          <a:xfrm>
                            <a:off x="6190" y="13676"/>
                            <a:ext cx="555" cy="195"/>
                          </a:xfrm>
                          <a:prstGeom prst="straightConnector1">
                            <a:avLst/>
                          </a:prstGeom>
                          <a:noFill/>
                          <a:ln w="12700">
                            <a:solidFill>
                              <a:schemeClr val="dk1">
                                <a:lumMod val="60000"/>
                                <a:lumOff val="40000"/>
                              </a:schemeClr>
                            </a:solidFill>
                            <a:miter/>
                          </a:ln>
                        </wps:spPr>
                        <wps:bodyPr/>
                      </wps:wsp>
                      <wps:wsp>
                        <wps:cNvPr id="1191" name="オブジェクト 0"/>
                        <wps:cNvSpPr>
                          <a:spLocks noChangeArrowheads="1"/>
                        </wps:cNvSpPr>
                        <wps:spPr>
                          <a:xfrm>
                            <a:off x="7289" y="12965"/>
                            <a:ext cx="331" cy="579"/>
                          </a:xfrm>
                          <a:prstGeom prst="downArrow">
                            <a:avLst>
                              <a:gd name="adj1" fmla="val 50000"/>
                              <a:gd name="adj2" fmla="val 44444"/>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192" name="オブジェクト 0"/>
                        <wps:cNvSpPr>
                          <a:spLocks noChangeArrowheads="1"/>
                        </wps:cNvSpPr>
                        <wps:spPr>
                          <a:xfrm>
                            <a:off x="7540" y="13021"/>
                            <a:ext cx="1410" cy="465"/>
                          </a:xfrm>
                          <a:prstGeom prst="rect">
                            <a:avLst/>
                          </a:prstGeom>
                          <a:noFill/>
                          <a:ln>
                            <a:miter/>
                          </a:ln>
                        </wps:spPr>
                        <wps:txbx>
                          <w:txbxContent>
                            <w:p>
                              <w:pPr>
                                <w:pStyle w:val="0"/>
                                <w:rPr>
                                  <w:rFonts w:hint="default"/>
                                </w:rPr>
                              </w:pPr>
                              <w:r>
                                <w:rPr>
                                  <w:rFonts w:hint="eastAsia"/>
                                </w:rPr>
                                <w:t>退院・退所</w:t>
                              </w:r>
                            </w:p>
                          </w:txbxContent>
                        </wps:txbx>
                        <wps:bodyPr vertOverflow="overflow" horzOverflow="overflow" lIns="74295" tIns="8890" rIns="74295" bIns="8890" upright="1"/>
                      </wps:wsp>
                      <wps:wsp>
                        <wps:cNvPr id="1193" name="オブジェクト 0"/>
                        <wps:cNvSpPr>
                          <a:spLocks noChangeArrowheads="1"/>
                        </wps:cNvSpPr>
                        <wps:spPr>
                          <a:xfrm>
                            <a:off x="2829" y="14951"/>
                            <a:ext cx="3240" cy="570"/>
                          </a:xfrm>
                          <a:prstGeom prst="rect">
                            <a:avLst/>
                          </a:prstGeom>
                          <a:noFill/>
                          <a:ln>
                            <a:miter/>
                          </a:ln>
                        </wps:spPr>
                        <wps:txbx>
                          <w:txbxContent>
                            <w:p>
                              <w:pPr>
                                <w:pStyle w:val="0"/>
                                <w:spacing w:line="0" w:lineRule="atLeast"/>
                                <w:ind w:firstLine="373" w:firstLineChars="200"/>
                                <w:rPr>
                                  <w:rFonts w:hint="default"/>
                                  <w:sz w:val="18"/>
                                </w:rPr>
                              </w:pPr>
                              <w:r>
                                <w:rPr>
                                  <w:rFonts w:hint="eastAsia"/>
                                  <w:sz w:val="18"/>
                                </w:rPr>
                                <w:t>療養指導・通所、外来リハビリ</w:t>
                              </w:r>
                            </w:p>
                          </w:txbxContent>
                        </wps:txbx>
                        <wps:bodyPr vertOverflow="overflow" horzOverflow="overflow" lIns="74295" tIns="8890" rIns="74295" bIns="8890" upright="1"/>
                      </wps:wsp>
                      <wps:wsp>
                        <wps:cNvPr id="1194" name="オブジェクト 0"/>
                        <wps:cNvSpPr>
                          <a:spLocks noChangeArrowheads="1"/>
                        </wps:cNvSpPr>
                        <wps:spPr>
                          <a:xfrm>
                            <a:off x="7131" y="13982"/>
                            <a:ext cx="1475" cy="465"/>
                          </a:xfrm>
                          <a:prstGeom prst="rect">
                            <a:avLst/>
                          </a:prstGeom>
                          <a:noFill/>
                          <a:ln>
                            <a:miter/>
                          </a:ln>
                        </wps:spPr>
                        <wps:txbx>
                          <w:txbxContent>
                            <w:p>
                              <w:pPr>
                                <w:pStyle w:val="0"/>
                                <w:rPr>
                                  <w:rFonts w:hint="default"/>
                                  <w:sz w:val="18"/>
                                </w:rPr>
                              </w:pPr>
                              <w:r>
                                <w:rPr>
                                  <w:rFonts w:hint="eastAsia"/>
                                  <w:sz w:val="18"/>
                                </w:rPr>
                                <w:t>訪問介護など</w:t>
                              </w:r>
                            </w:p>
                          </w:txbxContent>
                        </wps:txbx>
                        <wps:bodyPr vertOverflow="overflow" horzOverflow="overflow" lIns="74295" tIns="8890" rIns="74295" bIns="8890" upright="1"/>
                      </wps:wsp>
                      <wps:wsp>
                        <wps:cNvPr id="1195" name="オブジェクト 0"/>
                        <wps:cNvSpPr>
                          <a:spLocks noChangeArrowheads="1"/>
                        </wps:cNvSpPr>
                        <wps:spPr>
                          <a:xfrm>
                            <a:off x="5968" y="14696"/>
                            <a:ext cx="2710" cy="700"/>
                          </a:xfrm>
                          <a:prstGeom prst="rect">
                            <a:avLst/>
                          </a:prstGeom>
                          <a:noFill/>
                          <a:ln>
                            <a:miter/>
                          </a:ln>
                        </wps:spPr>
                        <wps:txbx>
                          <w:txbxContent>
                            <w:p>
                              <w:pPr>
                                <w:pStyle w:val="0"/>
                                <w:spacing w:line="0" w:lineRule="atLeast"/>
                                <w:rPr>
                                  <w:rFonts w:hint="default"/>
                                  <w:sz w:val="18"/>
                                </w:rPr>
                              </w:pPr>
                              <w:r>
                                <w:rPr>
                                  <w:rFonts w:hint="eastAsia"/>
                                  <w:sz w:val="18"/>
                                </w:rPr>
                                <w:t>訪問看護・訪問リハビリ</w:t>
                              </w:r>
                            </w:p>
                          </w:txbxContent>
                        </wps:txbx>
                        <wps:bodyPr vertOverflow="overflow" horzOverflow="overflow" lIns="74295" tIns="8890" rIns="74295" bIns="8890" upright="1"/>
                      </wps:wsp>
                      <wps:wsp>
                        <wps:cNvPr id="1196" name="オブジェクト 0"/>
                        <wps:cNvCnPr/>
                        <wps:spPr>
                          <a:xfrm flipH="1">
                            <a:off x="3626" y="13761"/>
                            <a:ext cx="682" cy="208"/>
                          </a:xfrm>
                          <a:prstGeom prst="straightConnector1">
                            <a:avLst/>
                          </a:prstGeom>
                          <a:noFill/>
                          <a:ln w="12700">
                            <a:solidFill>
                              <a:schemeClr val="dk1">
                                <a:lumMod val="60000"/>
                                <a:lumOff val="40000"/>
                              </a:schemeClr>
                            </a:solidFill>
                            <a:miter/>
                          </a:ln>
                        </wps:spPr>
                        <wps:bodyPr/>
                      </wps:wsp>
                      <wps:wsp>
                        <wps:cNvPr id="1197" name="オブジェクト 0"/>
                        <wps:cNvCnPr/>
                        <wps:spPr>
                          <a:xfrm flipH="1">
                            <a:off x="4466" y="13831"/>
                            <a:ext cx="392" cy="601"/>
                          </a:xfrm>
                          <a:prstGeom prst="straightConnector1">
                            <a:avLst/>
                          </a:prstGeom>
                          <a:noFill/>
                          <a:ln w="12700">
                            <a:solidFill>
                              <a:schemeClr val="dk1">
                                <a:lumMod val="60000"/>
                                <a:lumOff val="40000"/>
                              </a:schemeClr>
                            </a:solidFill>
                            <a:miter/>
                          </a:ln>
                        </wps:spPr>
                        <wps:bodyPr/>
                      </wps:wsp>
                      <wps:wsp>
                        <wps:cNvPr id="1198" name="オブジェクト 0"/>
                        <wps:cNvCnPr/>
                        <wps:spPr>
                          <a:xfrm>
                            <a:off x="5581" y="13831"/>
                            <a:ext cx="387" cy="599"/>
                          </a:xfrm>
                          <a:prstGeom prst="straightConnector1">
                            <a:avLst/>
                          </a:prstGeom>
                          <a:noFill/>
                          <a:ln w="12700">
                            <a:solidFill>
                              <a:schemeClr val="dk1">
                                <a:lumMod val="60000"/>
                                <a:lumOff val="40000"/>
                              </a:schemeClr>
                            </a:solidFill>
                            <a:miter/>
                          </a:ln>
                        </wps:spPr>
                        <wps:bodyPr/>
                      </wps:wsp>
                      <wps:wsp>
                        <wps:cNvPr id="1199" name="オブジェクト 0"/>
                        <wps:cNvCnPr/>
                        <wps:spPr>
                          <a:xfrm>
                            <a:off x="1366" y="15534"/>
                            <a:ext cx="8616" cy="11"/>
                          </a:xfrm>
                          <a:prstGeom prst="straightConnector1">
                            <a:avLst/>
                          </a:prstGeom>
                          <a:noFill/>
                          <a:ln w="38100" cap="rnd">
                            <a:solidFill>
                              <a:srgbClr val="0070C0"/>
                            </a:solidFill>
                            <a:prstDash val="sysDot"/>
                            <a:miter/>
                          </a:ln>
                        </wps:spPr>
                        <wps:bodyPr/>
                      </wps:wsp>
                      <wps:wsp>
                        <wps:cNvPr id="1200" name="オブジェクト 0"/>
                        <wps:cNvSpPr>
                          <a:spLocks noChangeArrowheads="1"/>
                        </wps:cNvSpPr>
                        <wps:spPr>
                          <a:xfrm>
                            <a:off x="4308" y="13336"/>
                            <a:ext cx="1880" cy="495"/>
                          </a:xfrm>
                          <a:prstGeom prst="rect">
                            <a:avLst/>
                          </a:prstGeom>
                          <a:solidFill>
                            <a:srgbClr val="FFFFFF"/>
                          </a:solidFill>
                          <a:ln w="9525">
                            <a:solidFill>
                              <a:srgbClr val="00B0F0"/>
                            </a:solidFill>
                            <a:miter/>
                          </a:ln>
                          <a:effectLst>
                            <a:outerShdw dist="107763" dir="2700000" rotWithShape="0">
                              <a:srgbClr val="808080">
                                <a:alpha val="50000"/>
                              </a:srgbClr>
                            </a:outerShdw>
                          </a:effectLst>
                        </wps:spPr>
                        <wps:txbx>
                          <w:txbxContent>
                            <w:p>
                              <w:pPr>
                                <w:pStyle w:val="0"/>
                                <w:rPr>
                                  <w:rFonts w:hint="default"/>
                                  <w:b w:val="1"/>
                                </w:rPr>
                              </w:pPr>
                              <w:r>
                                <w:rPr>
                                  <w:rFonts w:hint="eastAsia"/>
                                  <w:b w:val="1"/>
                                </w:rPr>
                                <w:t>在　宅　療　養</w:t>
                              </w:r>
                            </w:p>
                          </w:txbxContent>
                        </wps:txbx>
                        <wps:bodyPr vertOverflow="overflow" horzOverflow="overflow" lIns="74295" tIns="8890" rIns="74295" bIns="8890" upright="1"/>
                      </wps:wsp>
                      <wps:wsp>
                        <wps:cNvPr id="1201" name="オブジェクト 0"/>
                        <wps:cNvSpPr>
                          <a:spLocks noChangeArrowheads="1"/>
                        </wps:cNvSpPr>
                        <wps:spPr>
                          <a:xfrm>
                            <a:off x="1886" y="8680"/>
                            <a:ext cx="1530" cy="480"/>
                          </a:xfrm>
                          <a:prstGeom prst="rect">
                            <a:avLst/>
                          </a:prstGeom>
                          <a:solidFill>
                            <a:srgbClr val="FFFFFF"/>
                          </a:solidFill>
                          <a:ln w="9525">
                            <a:solidFill>
                              <a:srgbClr val="00B0F0"/>
                            </a:solidFill>
                            <a:miter/>
                          </a:ln>
                          <a:effectLst>
                            <a:outerShdw dist="107763" dir="2700000" rotWithShape="0">
                              <a:srgbClr val="808080">
                                <a:alpha val="50000"/>
                              </a:srgbClr>
                            </a:outerShdw>
                          </a:effectLst>
                        </wps:spPr>
                        <wps:txbx>
                          <w:txbxContent>
                            <w:p>
                              <w:pPr>
                                <w:pStyle w:val="0"/>
                                <w:jc w:val="center"/>
                                <w:rPr>
                                  <w:rFonts w:hint="default"/>
                                  <w:b w:val="1"/>
                                </w:rPr>
                              </w:pPr>
                              <w:r>
                                <w:rPr>
                                  <w:rFonts w:hint="eastAsia"/>
                                  <w:b w:val="1"/>
                                </w:rPr>
                                <w:t>回　復　期</w:t>
                              </w:r>
                            </w:p>
                          </w:txbxContent>
                        </wps:txbx>
                        <wps:bodyPr vertOverflow="overflow" horzOverflow="overflow" lIns="74295" tIns="8890" rIns="74295" bIns="8890" upright="1"/>
                      </wps:wsp>
                      <wps:wsp>
                        <wps:cNvPr id="1202" name="オブジェクト 0"/>
                        <wps:cNvSpPr>
                          <a:spLocks noChangeArrowheads="1"/>
                        </wps:cNvSpPr>
                        <wps:spPr>
                          <a:xfrm rot="1440000">
                            <a:off x="6781" y="2657"/>
                            <a:ext cx="630" cy="1900"/>
                          </a:xfrm>
                          <a:prstGeom prst="downArrow">
                            <a:avLst>
                              <a:gd name="adj1" fmla="val 50000"/>
                              <a:gd name="adj2" fmla="val 75398"/>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wps:wsp>
                        <wps:cNvPr id="1203" name="オブジェクト 0"/>
                        <wps:cNvSpPr>
                          <a:spLocks noChangeArrowheads="1"/>
                        </wps:cNvSpPr>
                        <wps:spPr>
                          <a:xfrm>
                            <a:off x="7241" y="2101"/>
                            <a:ext cx="1002" cy="747"/>
                          </a:xfrm>
                          <a:prstGeom prst="ellipse">
                            <a:avLst/>
                          </a:prstGeom>
                          <a:gradFill rotWithShape="0">
                            <a:gsLst>
                              <a:gs pos="0">
                                <a:schemeClr val="lt1"/>
                              </a:gs>
                              <a:gs pos="100000">
                                <a:schemeClr val="accent6">
                                  <a:lumMod val="40000"/>
                                  <a:lumOff val="60000"/>
                                </a:schemeClr>
                              </a:gs>
                            </a:gsLst>
                            <a:lin ang="5400000" scaled="1"/>
                            <a:tileRect/>
                          </a:gradFill>
                          <a:ln w="12700">
                            <a:solidFill>
                              <a:schemeClr val="accent6">
                                <a:lumMod val="60000"/>
                                <a:lumOff val="40000"/>
                              </a:schemeClr>
                            </a:solidFill>
                          </a:ln>
                          <a:effectLst>
                            <a:outerShdw dist="28398" dir="3806097" algn="ctr" rotWithShape="0">
                              <a:schemeClr val="accent6">
                                <a:lumMod val="50000"/>
                                <a:alpha val="50000"/>
                              </a:schemeClr>
                            </a:outerShdw>
                          </a:effectLst>
                        </wps:spPr>
                        <wps:txbx>
                          <w:txbxContent>
                            <w:p>
                              <w:pPr>
                                <w:pStyle w:val="0"/>
                                <w:jc w:val="center"/>
                                <w:rPr>
                                  <w:rFonts w:hint="default"/>
                                </w:rPr>
                              </w:pPr>
                              <w:r>
                                <w:rPr>
                                  <w:rFonts w:hint="eastAsia"/>
                                </w:rPr>
                                <w:t>患者</w:t>
                              </w:r>
                            </w:p>
                          </w:txbxContent>
                        </wps:txbx>
                        <wps:bodyPr vertOverflow="overflow" horzOverflow="overflow" lIns="74295" tIns="8890" rIns="74295" bIns="8890" upright="1"/>
                      </wps:wsp>
                      <wps:wsp>
                        <wps:cNvPr id="1204" name="オブジェクト 0"/>
                        <wps:cNvSpPr>
                          <a:spLocks noChangeArrowheads="1"/>
                        </wps:cNvSpPr>
                        <wps:spPr>
                          <a:xfrm>
                            <a:off x="1296" y="11063"/>
                            <a:ext cx="1515" cy="510"/>
                          </a:xfrm>
                          <a:prstGeom prst="rect">
                            <a:avLst/>
                          </a:prstGeom>
                          <a:solidFill>
                            <a:srgbClr val="FFFFFF"/>
                          </a:solidFill>
                          <a:ln w="9525">
                            <a:solidFill>
                              <a:srgbClr val="00B0F0"/>
                            </a:solidFill>
                            <a:miter/>
                          </a:ln>
                          <a:effectLst>
                            <a:outerShdw dist="107763" dir="2700000" rotWithShape="0">
                              <a:srgbClr val="808080">
                                <a:alpha val="50000"/>
                              </a:srgbClr>
                            </a:outerShdw>
                          </a:effectLst>
                        </wps:spPr>
                        <wps:txbx>
                          <w:txbxContent>
                            <w:p>
                              <w:pPr>
                                <w:pStyle w:val="0"/>
                                <w:jc w:val="center"/>
                                <w:rPr>
                                  <w:rFonts w:hint="default"/>
                                  <w:b w:val="1"/>
                                </w:rPr>
                              </w:pPr>
                              <w:r>
                                <w:rPr>
                                  <w:rFonts w:hint="eastAsia"/>
                                  <w:b w:val="1"/>
                                </w:rPr>
                                <w:t>維　持　期</w:t>
                              </w:r>
                            </w:p>
                          </w:txbxContent>
                        </wps:txbx>
                        <wps:bodyPr vertOverflow="overflow" horzOverflow="overflow" lIns="74295" tIns="8890" rIns="74295" bIns="8890" upright="1"/>
                      </wps:wsp>
                    </wpg:wgp>
                  </a:graphicData>
                </a:graphic>
              </wp:anchor>
            </w:drawing>
          </mc:Choice>
          <mc:Fallback>
            <w:pict>
              <v:group id="オブジェクト 0" style="margin-top:9.3000000000000007pt;mso-position-vertical-relative:text;mso-position-horizontal-relative:text;position:absolute;height:682.45pt;width:522.15pt;margin-left:-31.55pt;z-index:127;" coordsize="10443,13649" coordorigin="787,1945" o:spid="_x0000_s1153" o:allowincell="t" o:allowoverla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オブジェクト 0" style="height:655;width:3141;top:2058;left:3932;position:absolute;" o:spid="_x0000_s1154" filled="t" fillcolor="#ff7c80" stroked="t" strokecolor="#ff7c80" strokeweight="3pt" o:spt="13" type="#_x0000_t13" adj="0,5400">
                  <v:fill/>
                  <v:stroke filltype="solid"/>
                  <v:textbox style="layout-flow:horizontal;"/>
                  <v:imagedata o:title=""/>
                  <w10:wrap type="none" anchorx="text" anchory="text"/>
                </v:shape>
                <v:roundrect id="オブジェクト 0" style="height:522;width:2140;top:2058;left:1768;position:absolute;" o:spid="_x0000_s1155" filled="t" fillcolor="#fce4d6 [661]" stroked="t" strokecolor="#ff7c80" strokeweight="3pt" o:spt="2" arcsize="10920f">
                  <v:fill/>
                  <v:stroke filltype="solid"/>
                  <v:textbox style="layout-flow:horizontal;" inset="2.0637499999999998mm,0.24694444444444438mm,2.0637499999999998mm,0.24694444444444438mm">
                    <w:txbxContent>
                      <w:p>
                        <w:pPr>
                          <w:pStyle w:val="0"/>
                          <w:jc w:val="center"/>
                          <w:rPr>
                            <w:rFonts w:hint="default"/>
                          </w:rPr>
                        </w:pPr>
                        <w:r>
                          <w:rPr>
                            <w:rFonts w:hint="eastAsia"/>
                          </w:rPr>
                          <w:t>かかりつけ医</w:t>
                        </w:r>
                      </w:p>
                      <w:p>
                        <w:pPr>
                          <w:pStyle w:val="0"/>
                          <w:jc w:val="center"/>
                          <w:rPr>
                            <w:rFonts w:hint="default"/>
                          </w:rPr>
                        </w:pPr>
                      </w:p>
                    </w:txbxContent>
                  </v:textbox>
                  <v:imagedata o:title=""/>
                  <w10:wrap type="none" anchorx="text" anchory="text"/>
                </v:roundrect>
                <v:oval id="オブジェクト 0" style="height:2223;width:8157;top:13215;left:1567;position:absolute;" o:spid="_x0000_s1156" filled="t" fillcolor="#ffffff [3201]" stroked="t" strokecolor="#9dc4e6 [1940]" strokeweight="1pt" o:spt="3">
                  <v:fill type="gradient" color2="#bdd7ee [1300]" focus="100%"/>
                  <v:stroke filltype="solid"/>
                  <v:shadow on="t" color="#1f4f7a" opacity="32768f" offset="1pt,2pt" matrix="65536f,,,65536f,,"/>
                  <v:textbox style="layout-flow:horizontal;"/>
                  <v:imagedata o:title=""/>
                  <w10:wrap type="none" anchorx="text" anchory="text"/>
                </v:oval>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height:13437;width:461;top:1945;left:8536;position:absolute;" o:spid="_x0000_s1157" filled="f" stroked="t" strokecolor="#ff7c80" strokeweight="4.5pt" o:spt="86" type="#_x0000_t86" adj="10800">
                  <v:fill/>
                  <v:stroke filltype="solid"/>
                  <v:textbox style="layout-flow:horizontal;"/>
                  <v:imagedata o:title=""/>
                  <w10:wrap type="none" anchorx="text" anchory="text"/>
                </v:shape>
                <v:shapetype id="_x0000_t202" coordsize="21600,21600" o:spt="202" path="m,l,21600r21600,l21600,xe">
                  <v:stroke joinstyle="miter"/>
                  <v:path gradientshapeok="t" o:connecttype="rect"/>
                </v:shapetype>
                <v:shape id="オブジェクト 0" style="height:1280;width:1324;top:2542;left:4950;position:absolute;" o:spid="_x0000_s1158" filled="f" stroked="f" o:spt="202" type="#_x0000_t202">
                  <v:fill/>
                  <v:textbox style="layout-flow:horizontal;" inset="2.0637499999999998mm,0.24694444444444438mm,2.0637499999999998mm,0.24694444444444438mm">
                    <w:txbxContent>
                      <w:p>
                        <w:pPr>
                          <w:pStyle w:val="0"/>
                          <w:rPr>
                            <w:rFonts w:hint="default"/>
                            <w:sz w:val="18"/>
                          </w:rPr>
                        </w:pPr>
                        <w:r>
                          <w:rPr>
                            <w:rFonts w:hint="eastAsia"/>
                            <w:sz w:val="18"/>
                          </w:rPr>
                          <w:t>・患者教育</w:t>
                        </w:r>
                      </w:p>
                      <w:p>
                        <w:pPr>
                          <w:pStyle w:val="0"/>
                          <w:rPr>
                            <w:rFonts w:hint="default"/>
                            <w:sz w:val="18"/>
                          </w:rPr>
                        </w:pPr>
                        <w:r>
                          <w:rPr>
                            <w:rFonts w:hint="eastAsia"/>
                            <w:sz w:val="18"/>
                          </w:rPr>
                          <w:t>・二次予防</w:t>
                        </w:r>
                      </w:p>
                      <w:p>
                        <w:pPr>
                          <w:pStyle w:val="0"/>
                          <w:rPr>
                            <w:rFonts w:hint="default"/>
                            <w:sz w:val="18"/>
                          </w:rPr>
                        </w:pPr>
                        <w:r>
                          <w:rPr>
                            <w:rFonts w:hint="eastAsia"/>
                            <w:sz w:val="18"/>
                          </w:rPr>
                          <w:t>・再発予防</w:t>
                        </w:r>
                      </w:p>
                    </w:txbxContent>
                  </v:textbox>
                  <v:imagedata o:title=""/>
                  <w10:wrap type="none" anchorx="text" anchory="text"/>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オブジェクト 0" style="height:2119;width:362;top:2562;left:2848;position:absolute;" o:spid="_x0000_s1159" filled="t" fillcolor="#ff7c80" stroked="t" strokecolor="#ff7c80" strokeweight="3pt" o:spt="68" type="#_x0000_t68" adj="21600,5400">
                  <v:fill/>
                  <v:stroke filltype="solid"/>
                  <v:textbox style="layout-flow:horizontal;"/>
                  <v:imagedata o:title=""/>
                  <w10:wrap type="none" anchorx="text" anchory="text"/>
                </v:shape>
                <v:rect id="オブジェクト 0" style="height:990;width:2400;top:3198;left:7411;position:absolute;" o:spid="_x0000_s1160" filled="f" stroked="f" o:spt="1">
                  <v:fill/>
                  <v:textbox style="layout-flow:horizontal;" inset="2.0637499999999998mm,0.24694444444444438mm,2.0637499999999998mm,0.24694444444444438mm">
                    <w:txbxContent>
                      <w:p>
                        <w:pPr>
                          <w:pStyle w:val="0"/>
                          <w:rPr>
                            <w:rFonts w:hint="default"/>
                          </w:rPr>
                        </w:pPr>
                        <w:r>
                          <w:rPr>
                            <w:rFonts w:hint="eastAsia"/>
                          </w:rPr>
                          <w:t>脳卒中発症</w:t>
                        </w:r>
                      </w:p>
                      <w:p>
                        <w:pPr>
                          <w:pStyle w:val="0"/>
                          <w:rPr>
                            <w:rFonts w:hint="default"/>
                          </w:rPr>
                        </w:pPr>
                        <w:r>
                          <w:rPr>
                            <w:rFonts w:hint="eastAsia"/>
                          </w:rPr>
                          <w:t>救急搬送</w:t>
                        </w:r>
                      </w:p>
                    </w:txbxContent>
                  </v:textbox>
                  <v:imagedata o:title=""/>
                  <w10:wrap type="none" anchorx="text" anchory="text"/>
                </v:rect>
                <v:rect id="オブジェクト 0" style="height:480;width:1515;top:3695;left:1063;position:absolute;" o:spid="_x0000_s1161" filled="t" fillcolor="#ffffff" stroked="t" strokecolor="#00b0f0" strokeweight="0.75pt" o:spt="1">
                  <v:fill/>
                  <v:stroke filltype="solid"/>
                  <v:shadow on="t" opacity="32768f" offset="6pt,6pt" origin=",0.5" matrix="65536f,,,65536f,,"/>
                  <v:textbox style="layout-flow:horizontal;" inset="2.0637499999999998mm,0.24694444444444438mm,2.0637499999999998mm,0.24694444444444438mm">
                    <w:txbxContent>
                      <w:p>
                        <w:pPr>
                          <w:pStyle w:val="0"/>
                          <w:jc w:val="center"/>
                          <w:rPr>
                            <w:rFonts w:hint="default"/>
                            <w:b w:val="1"/>
                          </w:rPr>
                        </w:pPr>
                        <w:r>
                          <w:rPr>
                            <w:rFonts w:hint="eastAsia"/>
                            <w:b w:val="1"/>
                          </w:rPr>
                          <w:t>急　性　期</w:t>
                        </w:r>
                      </w:p>
                    </w:txbxContent>
                  </v:textbox>
                  <v:imagedata o:title=""/>
                  <w10:wrap type="none" anchorx="text" anchory="text"/>
                </v:rect>
                <v:oval id="オブジェクト 0" style="height:3671;width:6207;top:4191;left:2399;position:absolute;" o:spid="_x0000_s1162" filled="t" fillcolor="#ffffff [3201]" stroked="t" strokecolor="#f4b084 [1941]" strokeweight="1pt" o:spt="3">
                  <v:fill type="gradient" color2="#f8cbad [1301]" focus="100%"/>
                  <v:stroke filltype="solid"/>
                  <v:shadow on="t" color="#853d0c" opacity="32768f" offset="1pt,2pt" matrix="65536f,,,65536f,,"/>
                  <v:textbox style="layout-flow:horizontal;" inset="0.19999999999999996mm,0.24694444444444438mm,0.19999999999999996mm,0.24694444444444438mm">
                    <w:txbxContent>
                      <w:p>
                        <w:pPr>
                          <w:pStyle w:val="0"/>
                          <w:spacing w:line="0" w:lineRule="atLeast"/>
                          <w:rPr>
                            <w:rFonts w:hint="eastAsia" w:ascii="ＭＳ ゴシック" w:hAnsi="ＭＳ ゴシック" w:eastAsia="ＭＳ ゴシック"/>
                            <w:sz w:val="18"/>
                          </w:rPr>
                        </w:pPr>
                      </w:p>
                    </w:txbxContent>
                  </v:textbox>
                  <v:imagedata o:title=""/>
                  <w10:wrap type="none" anchorx="text" anchory="text"/>
                </v:oval>
                <v:oval id="オブジェクト 0" style="height:2580;width:2836;top:4767;left:2394;position:absolute;" o:spid="_x0000_s1163" filled="t" fillcolor="#ffffff [3201]" stroked="t" strokecolor="#f4b084 [1941]" strokeweight="1pt" o:spt="3">
                  <v:fill type="gradient" color2="#f8cbad [1301]" focus="100%"/>
                  <v:stroke filltype="solid"/>
                  <v:shadow on="t" color="#853d0c" opacity="32768f" offset="1pt,2pt" matrix="65536f,,,65536f,,"/>
                  <v:textbox style="layout-flow:horizontal;" inset="0.19999999999999996mm,0.24694444444444438mm,0.19999999999999996mm,0.24694444444444438mm">
                    <w:txbxContent>
                      <w:p>
                        <w:pPr>
                          <w:pStyle w:val="0"/>
                          <w:spacing w:after="160" w:afterLines="50" w:afterAutospacing="0" w:line="20" w:lineRule="atLeast"/>
                          <w:jc w:val="center"/>
                          <w:rPr>
                            <w:rFonts w:hint="eastAsia" w:ascii="ＭＳ ゴシック" w:hAnsi="ＭＳ ゴシック" w:eastAsia="ＭＳ ゴシック"/>
                            <w:b w:val="1"/>
                            <w:sz w:val="21"/>
                          </w:rPr>
                        </w:pPr>
                        <w:r>
                          <w:rPr>
                            <w:rFonts w:hint="eastAsia" w:ascii="ＭＳ ゴシック" w:hAnsi="ＭＳ ゴシック" w:eastAsia="ＭＳ ゴシック"/>
                            <w:b w:val="1"/>
                            <w:sz w:val="21"/>
                          </w:rPr>
                          <w:t>脳卒中センター</w:t>
                        </w:r>
                      </w:p>
                      <w:p>
                        <w:pPr>
                          <w:pStyle w:val="0"/>
                          <w:spacing w:after="160" w:afterLines="50" w:afterAutospacing="0" w:line="20" w:lineRule="atLeast"/>
                          <w:rPr>
                            <w:rFonts w:hint="eastAsia" w:ascii="ＭＳ ゴシック" w:hAnsi="ＭＳ ゴシック" w:eastAsia="ＭＳ ゴシック"/>
                            <w:sz w:val="21"/>
                          </w:rPr>
                        </w:pPr>
                        <w:r>
                          <w:rPr>
                            <w:rFonts w:hint="eastAsia" w:ascii="ＭＳ ゴシック" w:hAnsi="ＭＳ ゴシック" w:eastAsia="ＭＳ ゴシック"/>
                            <w:sz w:val="21"/>
                          </w:rPr>
                          <w:t>t-PA</w:t>
                        </w:r>
                        <w:r>
                          <w:rPr>
                            <w:rFonts w:hint="eastAsia" w:ascii="ＭＳ ゴシック" w:hAnsi="ＭＳ ゴシック" w:eastAsia="ＭＳ ゴシック"/>
                            <w:sz w:val="21"/>
                          </w:rPr>
                          <w:t>療法に加えて、</w:t>
                        </w:r>
                        <w:r>
                          <w:rPr>
                            <w:rFonts w:hint="eastAsia" w:ascii="ＭＳ ゴシック" w:hAnsi="ＭＳ ゴシック" w:eastAsia="ＭＳ ゴシック"/>
                            <w:kern w:val="0"/>
                            <w:sz w:val="21"/>
                          </w:rPr>
                          <w:t>緊急脳神経外科手術が実施可能な施設</w:t>
                        </w:r>
                      </w:p>
                    </w:txbxContent>
                  </v:textbox>
                  <v:imagedata o:title=""/>
                  <w10:wrap type="none" anchorx="text" anchory="text"/>
                </v:oval>
                <v:oval id="オブジェクト 0" style="height:2219;width:2370;top:4800;left:6376;position:absolute;" o:spid="_x0000_s1164" filled="t" fillcolor="#ffffff [3201]" stroked="t" strokecolor="#f4b084 [1941]" strokeweight="1pt" o:spt="3">
                  <v:fill type="gradient" color2="#f8cbad [1301]" focus="100%"/>
                  <v:stroke filltype="solid"/>
                  <v:shadow on="t" color="#853d0c" opacity="32768f" offset="1pt,2pt" matrix="65536f,,,65536f,,"/>
                  <v:textbox style="layout-flow:horizontal;" inset="0.19999999999999996mm,0.24694444444444438mm,0.19999999999999996mm,0.24694444444444438mm">
                    <w:txbxContent>
                      <w:p>
                        <w:pPr>
                          <w:pStyle w:val="0"/>
                          <w:spacing w:after="160" w:afterLines="50" w:afterAutospacing="0" w:line="20" w:lineRule="atLeast"/>
                          <w:jc w:val="center"/>
                          <w:rPr>
                            <w:rFonts w:hint="eastAsia" w:ascii="ＭＳ ゴシック" w:hAnsi="ＭＳ ゴシック" w:eastAsia="ＭＳ ゴシック"/>
                            <w:b w:val="1"/>
                            <w:sz w:val="21"/>
                          </w:rPr>
                        </w:pPr>
                        <w:r>
                          <w:rPr>
                            <w:rFonts w:hint="eastAsia" w:ascii="ＭＳ ゴシック" w:hAnsi="ＭＳ ゴシック" w:eastAsia="ＭＳ ゴシック"/>
                            <w:b w:val="1"/>
                            <w:sz w:val="21"/>
                          </w:rPr>
                          <w:t>脳卒中支援病院</w:t>
                        </w:r>
                      </w:p>
                      <w:p>
                        <w:pPr>
                          <w:pStyle w:val="0"/>
                          <w:spacing w:after="160" w:afterLines="50" w:afterAutospacing="0" w:line="20" w:lineRule="atLeast"/>
                          <w:jc w:val="center"/>
                          <w:rPr>
                            <w:rFonts w:hint="eastAsia" w:ascii="ＭＳ ゴシック" w:hAnsi="ＭＳ ゴシック" w:eastAsia="ＭＳ ゴシック"/>
                            <w:sz w:val="21"/>
                          </w:rPr>
                        </w:pPr>
                        <w:r>
                          <w:rPr>
                            <w:rFonts w:hint="eastAsia" w:ascii="ＭＳ ゴシック" w:hAnsi="ＭＳ ゴシック" w:eastAsia="ＭＳ ゴシック"/>
                            <w:sz w:val="21"/>
                          </w:rPr>
                          <w:t>脳卒中に対する初期対応が可能な施設</w:t>
                        </w:r>
                      </w:p>
                    </w:txbxContent>
                  </v:textbox>
                  <v:imagedata o:title=""/>
                  <w10:wrap type="none" anchorx="text" anchory="text"/>
                </v:oval>
                <v:rect id="オブジェクト 0" style="height:1320;width:2308;top:8863;left:8922;position:absolute;" o:spid="_x0000_s1165" filled="f" stroked="f" o:spt="1">
                  <v:fill/>
                  <v:textbox style="layout-flow:horizontal;" inset="2.0637499999999998mm,0.24694444444444438mm,2.0637499999999998mm,0.24694444444444438mm">
                    <w:txbxContent>
                      <w:p>
                        <w:pPr>
                          <w:pStyle w:val="0"/>
                          <w:spacing w:line="240" w:lineRule="auto"/>
                          <w:rPr>
                            <w:rFonts w:hint="default"/>
                            <w:sz w:val="18"/>
                          </w:rPr>
                        </w:pPr>
                        <w:r>
                          <w:rPr>
                            <w:rFonts w:hint="eastAsia"/>
                            <w:sz w:val="18"/>
                          </w:rPr>
                          <w:t>訪問診療</w:t>
                        </w:r>
                      </w:p>
                      <w:p>
                        <w:pPr>
                          <w:pStyle w:val="0"/>
                          <w:spacing w:line="240" w:lineRule="auto"/>
                          <w:rPr>
                            <w:rFonts w:hint="default"/>
                            <w:sz w:val="18"/>
                          </w:rPr>
                        </w:pPr>
                        <w:r>
                          <w:rPr>
                            <w:rFonts w:hint="eastAsia"/>
                            <w:sz w:val="18"/>
                          </w:rPr>
                          <w:t>・専門的口腔ケアの実施</w:t>
                        </w:r>
                      </w:p>
                      <w:p>
                        <w:pPr>
                          <w:pStyle w:val="0"/>
                          <w:rPr>
                            <w:rFonts w:hint="default"/>
                            <w:color w:val="FF0000"/>
                            <w:sz w:val="18"/>
                          </w:rPr>
                        </w:pPr>
                        <w:r>
                          <w:rPr>
                            <w:rFonts w:hint="eastAsia"/>
                            <w:sz w:val="18"/>
                          </w:rPr>
                          <w:t>・歯周治療の実施</w:t>
                        </w:r>
                      </w:p>
                    </w:txbxContent>
                  </v:textbox>
                  <v:imagedata o:title=""/>
                  <w10:wrap type="none" anchorx="text" anchory="text"/>
                </v:rect>
                <v:rect id="オブジェクト 0" style="height:480;width:1020;top:10639;left:3773;position:absolute;" o:spid="_x0000_s1166" filled="f" stroked="f" o:spt="1">
                  <v:fill/>
                  <v:textbox style="layout-flow:horizontal;" inset="2.0637499999999998mm,0.24694444444444438mm,2.0637499999999998mm,0.24694444444444438mm">
                    <w:txbxContent>
                      <w:p>
                        <w:pPr>
                          <w:pStyle w:val="0"/>
                          <w:rPr>
                            <w:rFonts w:hint="default"/>
                          </w:rPr>
                        </w:pPr>
                        <w:r>
                          <w:rPr>
                            <w:rFonts w:hint="eastAsia"/>
                          </w:rPr>
                          <w:t>退院</w:t>
                        </w:r>
                      </w:p>
                    </w:txbxContent>
                  </v:textbox>
                  <v:imagedata o:title=""/>
                  <w10:wrap type="none" anchorx="text" anchory="text"/>
                </v:rect>
                <v:shapetype id="_x0000_t32" coordsize="21600,21600" o:spt="32" o:oned="t" path="m,l21600,21600e" filled="f">
                  <v:path arrowok="t" fillok="f" o:connecttype="none"/>
                  <o:lock v:ext="edit" shapetype="t"/>
                </v:shapetype>
                <v:shape id="オブジェクト 0" style="height:0;width:7301;flip:x;top:11236;left:2603;position:absolute;" o:spid="_x0000_s1167" filled="f" stroked="t" strokecolor="#0070c0" strokeweight="3pt" o:spt="32" type="#_x0000_t32">
                  <v:fill/>
                  <v:stroke endcap="round" dashstyle="shortdot" filltype="solid"/>
                  <v:imagedata o:title=""/>
                  <w10:wrap type="none" anchorx="text" anchory="text"/>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height:3269;width:318;top:10124;left:3455;position:absolute;" o:spid="_x0000_s1168" filled="t" fillcolor="#ffffff [3201]" stroked="t" strokecolor="#ffd966 [1943]" strokeweight="1pt" o:spt="67" type="#_x0000_t67" adj="0,5415">
                  <v:fill type="gradient" color2="#ffe699 [1303]" focus="100%"/>
                  <v:stroke filltype="solid"/>
                  <v:shadow on="t" color="#806000" opacity="32768f" offset="1pt,2pt" matrix="65536f,,,65536f,,"/>
                  <v:textbox style="layout-flow:horizontal;"/>
                  <v:imagedata o:title=""/>
                  <w10:wrap type="none" anchorx="text" anchory="text"/>
                </v:shape>
                <v:shape id="オブジェクト 0" style="height:4352;width:16;flip:x y;top:11203;left:9981;position:absolute;" o:spid="_x0000_s1169" filled="f" stroked="t" strokecolor="#0070c0" strokeweight="3pt" o:spt="32" type="#_x0000_t32">
                  <v:fill/>
                  <v:stroke endcap="round" dashstyle="shortdot" filltype="solid"/>
                  <v:imagedata o:title=""/>
                  <w10:wrap type="none" anchorx="text" anchory="text"/>
                </v:shape>
                <v:shape id="オブジェクト 0" style="height:4497;width:0;top:11097;left:1366;position:absolute;" o:spid="_x0000_s1170" filled="f" stroked="t" strokecolor="#0070c0" strokeweight="3pt" o:spt="32" type="#_x0000_t32">
                  <v:fill/>
                  <v:stroke endcap="round" dashstyle="shortdot" filltype="solid"/>
                  <v:imagedata o:title=""/>
                  <w10:wrap type="none" anchorx="text" anchory="text"/>
                </v:shape>
                <v:rect id="オブジェクト 0" style="height:555;width:2445;top:14433;left:2907;position:absolute;" o:spid="_x0000_s1171" filled="f" stroked="f" o:spt="1">
                  <v:fill/>
                  <v:textbox style="layout-flow:horizontal;" inset="2.0637499999999998mm,0.24694444444444438mm,2.0637499999999998mm,0.24694444444444438mm">
                    <w:txbxContent>
                      <w:p>
                        <w:pPr>
                          <w:pStyle w:val="0"/>
                          <w:spacing w:line="0" w:lineRule="atLeast"/>
                          <w:jc w:val="center"/>
                          <w:rPr>
                            <w:rFonts w:hint="eastAsia" w:ascii="ＭＳ 明朝" w:hAnsi="ＭＳ 明朝" w:eastAsia="ＭＳ 明朝"/>
                            <w:sz w:val="21"/>
                            <w:bdr w:val="single" w:color="auto" w:sz="4" w:space="0"/>
                          </w:rPr>
                        </w:pPr>
                        <w:r>
                          <w:rPr>
                            <w:rFonts w:hint="eastAsia" w:ascii="ＭＳ ゴシック" w:hAnsi="ＭＳ ゴシック" w:eastAsia="ＭＳ ゴシック"/>
                            <w:sz w:val="21"/>
                            <w:bdr w:val="single" w:color="auto" w:sz="4" w:space="0"/>
                          </w:rPr>
                          <w:t>かかりつけ医など</w:t>
                        </w:r>
                      </w:p>
                      <w:p>
                        <w:pPr>
                          <w:pStyle w:val="0"/>
                          <w:spacing w:line="0" w:lineRule="atLeast"/>
                          <w:rPr>
                            <w:rFonts w:hint="eastAsia" w:ascii="ＭＳ 明朝" w:hAnsi="ＭＳ 明朝" w:eastAsia="ＭＳ 明朝"/>
                            <w:sz w:val="16"/>
                          </w:rPr>
                        </w:pPr>
                        <w:r>
                          <w:rPr>
                            <w:rFonts w:hint="eastAsia" w:ascii="ＭＳ 明朝" w:hAnsi="ＭＳ 明朝" w:eastAsia="ＭＳ 明朝"/>
                            <w:sz w:val="16"/>
                          </w:rPr>
                          <w:t>（在宅療養支援病院・診療所）</w:t>
                        </w:r>
                      </w:p>
                    </w:txbxContent>
                  </v:textbox>
                  <v:imagedata o:title=""/>
                  <w10:wrap type="none" anchorx="text" anchory="text"/>
                </v:rect>
                <v:rect id="オブジェクト 0" style="height:435;width:2518;top:13676;left:6688;position:absolute;" o:spid="_x0000_s1172" filled="f" stroked="f" o:spt="1">
                  <v:fill/>
                  <v:textbox style="layout-flow:horizontal;" inset="2.0637499999999998mm,0.24694444444444438mm,2.0637499999999998mm,0.24694444444444438mm">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介護サービス事業者</w:t>
                        </w:r>
                      </w:p>
                    </w:txbxContent>
                  </v:textbox>
                  <v:imagedata o:title=""/>
                  <w10:wrap type="none" anchorx="text" anchory="text"/>
                </v:rect>
                <v:shape id="オブジェクト 0" style="height:792;width:1934;top:3032;left:3098;position:absolute;" o:spid="_x0000_s1173" filled="f" stroked="f" o:spt="202" type="#_x0000_t202">
                  <v:fill/>
                  <v:textbox style="layout-flow:horizontal;" inset="2.0637499999999998mm,0.24694444444444438mm,2.0637499999999998mm,0.24694444444444438mm">
                    <w:txbxContent>
                      <w:p>
                        <w:pPr>
                          <w:pStyle w:val="0"/>
                          <w:rPr>
                            <w:rFonts w:hint="default"/>
                            <w:sz w:val="18"/>
                          </w:rPr>
                        </w:pPr>
                        <w:r>
                          <w:rPr>
                            <w:rFonts w:hint="eastAsia"/>
                            <w:sz w:val="18"/>
                          </w:rPr>
                          <w:t>患者情報や専門的</w:t>
                        </w:r>
                      </w:p>
                      <w:p>
                        <w:pPr>
                          <w:pStyle w:val="0"/>
                          <w:rPr>
                            <w:rFonts w:hint="default"/>
                            <w:sz w:val="18"/>
                          </w:rPr>
                        </w:pPr>
                        <w:r>
                          <w:rPr>
                            <w:rFonts w:hint="eastAsia"/>
                            <w:sz w:val="18"/>
                          </w:rPr>
                          <w:t>知識の共有等</w:t>
                        </w:r>
                      </w:p>
                    </w:txbxContent>
                  </v:textbox>
                  <v:imagedata o:title=""/>
                  <w10:wrap type="none" anchorx="text" anchory="text"/>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オブジェクト 0" style="height:9458;width:424;top:4955;left:1063;position:absolute;" o:spid="_x0000_s1174" filled="f" stroked="t" strokecolor="#70ad47 [3209]" strokeweight="1.5pt" o:spt="85" type="#_x0000_t85" adj="0">
                  <v:fill/>
                  <v:stroke linestyle="single" miterlimit="8" endcap="flat" dashstyle="solid" filltype="solid"/>
                  <v:textbox style="layout-flow:horizontal;"/>
                  <v:imagedata o:title=""/>
                  <w10:wrap type="none" anchorx="text" anchory="text"/>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オブジェクト 0" style="height:634;width:1200;top:5722;left:5230;position:absolute;" o:spid="_x0000_s1175" filled="t" fillcolor="#ffffff [3201]" stroked="t" strokecolor="#ffd966 [1943]" strokeweight="1pt" o:spt="69" type="#_x0000_t69" adj="8177,5400">
                  <v:fill type="gradient" color2="#ffe699 [1303]" focus="100%"/>
                  <v:stroke filltype="solid"/>
                  <v:shadow on="t" color="#806000" opacity="32768f" offset="1pt,2pt" matrix="65536f,,,65536f,,"/>
                  <v:textbox style="layout-flow:horizontal;"/>
                  <v:imagedata o:title=""/>
                  <w10:wrap type="none" anchorx="text" anchory="text"/>
                </v:shape>
                <v:shape id="オブジェクト 0" style="height:4231;width:553;top:6274;left:787;position:absolute;" o:spid="_x0000_s1176" filled="t" fillcolor="#ffba82" stroked="t" strokecolor="#f5ba82" strokeweight="0.5pt" o:spt="202" type="#_x0000_t202">
                  <v:fill type="gradient" color2="#ffffff" colors="0 #b4d4a5;32768f #a9ce97;65536f #9bca84" angle="180" focus="100%" rotate="t">
                    <o:fill v:ext="view" type="gradientUnscaled"/>
                  </v:fill>
                  <v:stroke linestyle="single" miterlimit="8" endcap="flat" dashstyle="solid" filltype="solid"/>
                  <v:textbox style="layout-flow:vertical-ideographic;" inset="2.0637499999999998mm,0.24694444444444438mm,2.0637499999999998mm,0.24694444444444438mm">
                    <w:txbxContent>
                      <w:p>
                        <w:pPr>
                          <w:pStyle w:val="0"/>
                          <w:jc w:val="center"/>
                          <w:rPr>
                            <w:rFonts w:hint="eastAsia" w:ascii="ＭＳ ゴシック" w:hAnsi="ＭＳ ゴシック" w:eastAsia="ＭＳ ゴシック"/>
                            <w:sz w:val="22"/>
                          </w:rPr>
                        </w:pPr>
                        <w:r>
                          <w:rPr>
                            <w:rFonts w:hint="eastAsia" w:ascii="ＭＳ ゴシック" w:hAnsi="ＭＳ ゴシック" w:eastAsia="ＭＳ ゴシック"/>
                            <w:color w:val="auto"/>
                            <w:sz w:val="22"/>
                            <w:u w:val="none" w:color="auto"/>
                          </w:rPr>
                          <w:t>脳卒中地域連携パス</w:t>
                        </w:r>
                      </w:p>
                    </w:txbxContent>
                  </v:textbox>
                  <v:imagedata o:title=""/>
                  <w10:wrap type="none" anchorx="text" anchory="text"/>
                </v:shape>
                <v:rect id="オブジェクト 0" style="height:375;width:1170;top:6869;left:9006;position:absolute;" o:spid="_x0000_s1177" filled="f" stroked="f" o:spt="1">
                  <v:fill/>
                  <v:textbox style="layout-flow:horizontal;" inset="2.0637499999999998mm,0.24694444444444438mm,2.0637499999999998mm,0.24694444444444438mm">
                    <w:txbxContent>
                      <w:p>
                        <w:pPr>
                          <w:pStyle w:val="0"/>
                          <w:rPr>
                            <w:rFonts w:hint="default"/>
                            <w:sz w:val="18"/>
                          </w:rPr>
                        </w:pPr>
                        <w:r>
                          <w:rPr>
                            <w:rFonts w:hint="eastAsia"/>
                            <w:sz w:val="18"/>
                          </w:rPr>
                          <w:t>診療依頼</w:t>
                        </w:r>
                      </w:p>
                    </w:txbxContent>
                  </v:textbox>
                  <v:imagedata o:title=""/>
                  <w10:wrap type="none" anchorx="text" anchory="text"/>
                </v:rect>
                <v:roundrect id="オブジェクト 0" style="height:1875;width:530;top:6847;left:10024;position:absolute;" o:spid="_x0000_s1178" filled="t" fillcolor="#ffffff [3201]" stroked="t" strokecolor="#ff7c80" strokeweight="3pt" o:spt="2" arcsize="10926f">
                  <v:fill type="gradient" color2="#b5c7e8 [1304]" focus="100%"/>
                  <v:stroke filltype="solid"/>
                  <v:shadow on="t" color="#203764" opacity="32768f" offset="1pt,2pt" matrix="65536f,,,65536f,,"/>
                  <v:textbox style="layout-flow:horizontal;" inset="2.0637499999999998mm,0.24694444444444438mm,2.0637499999999998mm,0.24694444444444438mm">
                    <w:txbxContent>
                      <w:p>
                        <w:pPr>
                          <w:pStyle w:val="0"/>
                          <w:spacing w:line="0" w:lineRule="atLeast"/>
                          <w:jc w:val="center"/>
                          <w:rPr>
                            <w:rFonts w:hint="default"/>
                          </w:rPr>
                        </w:pPr>
                        <w:r>
                          <w:rPr>
                            <w:rFonts w:hint="eastAsia"/>
                          </w:rPr>
                          <w:t>歯科との連携</w:t>
                        </w:r>
                      </w:p>
                    </w:txbxContent>
                  </v:textbox>
                  <v:imagedata o:title=""/>
                  <w10:wrap type="none" anchorx="text" anchory="text"/>
                </v:roundrect>
                <v:shape id="オブジェクト 0" style="height:997;width:972;top:7221;left:9016;position:absolute;" o:spid="_x0000_s1179" filled="t" fillcolor="#ff7c80" stroked="t" strokecolor="#ff7c80" strokeweight="3pt" o:spt="69" type="#_x0000_t69" adj="7222,6608">
                  <v:fill/>
                  <v:stroke filltype="solid"/>
                  <v:textbox style="layout-flow:horizontal;"/>
                  <v:imagedata o:title=""/>
                  <w10:wrap type="none" anchorx="text" anchory="text"/>
                </v:shape>
                <v:shape id="オブジェクト 0" style="height:793;width:2800;top:7026;left:4826;position:absolute;" o:spid="_x0000_s1180" filled="f" stroked="f" o:spt="202" type="#_x0000_t202">
                  <v:fill/>
                  <v:textbox style="layout-flow:horizontal;" inset="2.0637499999999998mm,0.24694444444444438mm,2.0637499999999998mm,0.24694444444444438mm">
                    <w:txbxContent>
                      <w:p>
                        <w:pPr>
                          <w:pStyle w:val="0"/>
                          <w:spacing w:line="240" w:lineRule="auto"/>
                          <w:rPr>
                            <w:rFonts w:hint="eastAsia" w:ascii="ＭＳ ゴシック" w:hAnsi="ＭＳ ゴシック" w:eastAsia="ＭＳ ゴシック"/>
                            <w:sz w:val="21"/>
                          </w:rPr>
                        </w:pPr>
                        <w:r>
                          <w:rPr>
                            <w:rFonts w:hint="eastAsia" w:ascii="ＭＳ ゴシック" w:hAnsi="ＭＳ ゴシック" w:eastAsia="ＭＳ ゴシック"/>
                            <w:sz w:val="21"/>
                          </w:rPr>
                          <w:t>患者の状態・治療計画に</w:t>
                        </w:r>
                      </w:p>
                      <w:p>
                        <w:pPr>
                          <w:pStyle w:val="0"/>
                          <w:spacing w:line="240" w:lineRule="auto"/>
                          <w:rPr>
                            <w:rFonts w:hint="eastAsia" w:ascii="ＭＳ ゴシック" w:hAnsi="ＭＳ ゴシック" w:eastAsia="ＭＳ ゴシック"/>
                            <w:sz w:val="21"/>
                          </w:rPr>
                        </w:pPr>
                        <w:r>
                          <w:rPr>
                            <w:rFonts w:hint="eastAsia" w:ascii="ＭＳ ゴシック" w:hAnsi="ＭＳ ゴシック" w:eastAsia="ＭＳ ゴシック"/>
                            <w:sz w:val="21"/>
                          </w:rPr>
                          <w:t>応じた適切な連携</w:t>
                        </w:r>
                      </w:p>
                    </w:txbxContent>
                  </v:textbox>
                  <v:imagedata o:title=""/>
                  <w10:wrap type="none" anchorx="text" anchory="text"/>
                </v:shape>
                <v:shape id="オブジェクト 0" style="height:669;width:291;top:7878;left:5348;position:absolute;" o:spid="_x0000_s1181" filled="t" fillcolor="#ffffff [3201]" stroked="t" strokecolor="#ffd966 [1943]" strokeweight="1pt" o:spt="67" type="#_x0000_t67" adj="12970,5400">
                  <v:fill type="gradient" color2="#ffe699 [1303]" focus="100%"/>
                  <v:stroke filltype="solid"/>
                  <v:shadow on="t" color="#806000" opacity="32768f" offset="1pt,2pt" matrix="65536f,,,65536f,,"/>
                  <v:textbox style="layout-flow:horizontal;"/>
                  <v:imagedata o:title=""/>
                  <w10:wrap type="none" anchorx="text" anchory="text"/>
                </v:shape>
                <v:rect id="オブジェクト 0" style="height:480;width:1344;top:8043;left:5730;position:absolute;" o:spid="_x0000_s1182" filled="f" stroked="f" o:spt="1">
                  <v:fill/>
                  <v:textbox style="layout-flow:horizontal;" inset="2.0637499999999998mm,0.24694444444444438mm,2.0637499999999998mm,0.24694444444444438mm">
                    <w:txbxContent>
                      <w:p>
                        <w:pPr>
                          <w:pStyle w:val="0"/>
                          <w:rPr>
                            <w:rFonts w:hint="default"/>
                          </w:rPr>
                        </w:pPr>
                        <w:r>
                          <w:rPr>
                            <w:rFonts w:hint="eastAsia"/>
                          </w:rPr>
                          <w:t>転院</w:t>
                        </w:r>
                      </w:p>
                    </w:txbxContent>
                  </v:textbox>
                  <v:imagedata o:title=""/>
                  <w10:wrap type="none" anchorx="text" anchory="text"/>
                </v:rect>
                <v:oval id="オブジェクト 0" style="height:1810;width:5395;top:8590;left:2848;v-text-anchor:middle;position:absolute;" o:spid="_x0000_s1183" filled="t" fillcolor="#ffffff [3201]" stroked="t" strokecolor="#ffd966 [1943]" strokeweight="1pt" o:spt="3">
                  <v:fill type="gradient" color2="#ffe699 [1303]" focus="100%"/>
                  <v:stroke filltype="solid"/>
                  <v:shadow on="t" color="#806000" opacity="32768f" offset="1pt,2pt" matrix="65536f,,,65536f,,"/>
                  <v:textbox style="layout-flow:horizontal;" inset="0.19999999999999996mm,0.24694444444444438mm,0.19999999999999996mm,0.24694444444444438mm">
                    <w:txbxContent>
                      <w:p>
                        <w:pPr>
                          <w:pStyle w:val="0"/>
                          <w:spacing w:line="240" w:lineRule="exact"/>
                          <w:rPr>
                            <w:rFonts w:hint="eastAsia" w:ascii="ＭＳ ゴシック" w:hAnsi="ＭＳ ゴシック" w:eastAsia="ＭＳ ゴシック"/>
                            <w:sz w:val="21"/>
                          </w:rPr>
                        </w:pPr>
                        <w:r>
                          <w:rPr>
                            <w:rFonts w:hint="eastAsia" w:ascii="ＭＳ ゴシック" w:hAnsi="ＭＳ ゴシック" w:eastAsia="ＭＳ ゴシック"/>
                            <w:sz w:val="21"/>
                          </w:rPr>
                          <w:t>回復期リハビリテーション機能を</w:t>
                        </w:r>
                      </w:p>
                      <w:p>
                        <w:pPr>
                          <w:pStyle w:val="0"/>
                          <w:spacing w:after="80" w:afterLines="0" w:afterAutospacing="0" w:line="240" w:lineRule="exact"/>
                          <w:rPr>
                            <w:rFonts w:hint="default" w:asciiTheme="majorEastAsia" w:hAnsiTheme="majorEastAsia" w:eastAsiaTheme="majorEastAsia"/>
                            <w:sz w:val="12"/>
                          </w:rPr>
                        </w:pPr>
                        <w:r>
                          <w:rPr>
                            <w:rFonts w:hint="eastAsia" w:ascii="ＭＳ ゴシック" w:hAnsi="ＭＳ ゴシック" w:eastAsia="ＭＳ ゴシック"/>
                            <w:sz w:val="21"/>
                          </w:rPr>
                          <w:t>有する医療機関</w:t>
                        </w:r>
                        <w:r>
                          <w:rPr>
                            <w:rFonts w:hint="eastAsia" w:ascii="ＭＳ ゴシック" w:hAnsi="ＭＳ ゴシック" w:eastAsia="ＭＳ ゴシック"/>
                            <w:sz w:val="12"/>
                          </w:rPr>
                          <w:t>　</w:t>
                        </w:r>
                      </w:p>
                      <w:p>
                        <w:pPr>
                          <w:pStyle w:val="0"/>
                          <w:spacing w:line="0" w:lineRule="atLeast"/>
                          <w:ind w:firstLine="187" w:firstLineChars="100"/>
                          <w:rPr>
                            <w:rFonts w:hint="default"/>
                            <w:sz w:val="18"/>
                          </w:rPr>
                        </w:pPr>
                        <w:r>
                          <w:rPr>
                            <w:rFonts w:hint="eastAsia"/>
                            <w:sz w:val="18"/>
                          </w:rPr>
                          <w:t>●回復期リハビリテーション　</w:t>
                        </w:r>
                      </w:p>
                      <w:p>
                        <w:pPr>
                          <w:pStyle w:val="0"/>
                          <w:spacing w:line="0" w:lineRule="atLeast"/>
                          <w:ind w:firstLine="187" w:firstLineChars="100"/>
                          <w:rPr>
                            <w:rFonts w:hint="default"/>
                            <w:sz w:val="18"/>
                          </w:rPr>
                        </w:pPr>
                        <w:r>
                          <w:rPr>
                            <w:rFonts w:hint="eastAsia"/>
                            <w:sz w:val="18"/>
                          </w:rPr>
                          <w:t>●再発予防</w:t>
                        </w:r>
                      </w:p>
                    </w:txbxContent>
                  </v:textbox>
                  <v:imagedata o:title=""/>
                  <w10:wrap type="none" anchorx="text" anchory="text"/>
                </v:oval>
                <v:shape id="オブジェクト 0" style="height:1060;width:362;top:10413;left:6383;position:absolute;" o:spid="_x0000_s1184" filled="t" fillcolor="#ffffff [3201]" stroked="t" strokecolor="#ffd966 [1943]" strokeweight="1pt" o:spt="67" type="#_x0000_t67" adj="7280,5400">
                  <v:fill type="gradient" color2="#ffe699 [1303]" focus="100%"/>
                  <v:stroke filltype="solid"/>
                  <v:shadow on="t" color="#806000" opacity="32768f" offset="1pt,2pt" matrix="65536f,,,65536f,,"/>
                  <v:textbox style="layout-flow:horizontal;"/>
                  <v:imagedata o:title=""/>
                  <w10:wrap type="none" anchorx="text" anchory="text"/>
                </v:shape>
                <v:rect id="オブジェクト 0" style="height:480;width:1344;top:10579;left:6745;position:absolute;" o:spid="_x0000_s1185" filled="f" stroked="f" o:spt="1">
                  <v:fill/>
                  <v:textbox style="layout-flow:horizontal;" inset="2.0637499999999998mm,0.24694444444444438mm,2.0637499999999998mm,0.24694444444444438mm">
                    <w:txbxContent>
                      <w:p>
                        <w:pPr>
                          <w:pStyle w:val="0"/>
                          <w:rPr>
                            <w:rFonts w:hint="default"/>
                          </w:rPr>
                        </w:pPr>
                        <w:r>
                          <w:rPr>
                            <w:rFonts w:hint="eastAsia"/>
                          </w:rPr>
                          <w:t>転院・転入</w:t>
                        </w:r>
                      </w:p>
                    </w:txbxContent>
                  </v:textbox>
                  <v:imagedata o:title=""/>
                  <w10:wrap type="none" anchorx="text" anchory="text"/>
                </v:rect>
                <v:oval id="オブジェクト 0" style="height:1575;width:4862;top:11533;left:3889;v-text-anchor:middle;position:absolute;" o:spid="_x0000_s1186" filled="t" fillcolor="#ffffff [3201]" stroked="t" strokecolor="#c9c9c9 [1942]" strokeweight="1pt" o:spt="3">
                  <v:fill type="gradient" color2="#dbdbdb [1302]" focus="100%"/>
                  <v:stroke filltype="solid"/>
                  <v:shadow on="t" color="#535353" opacity="32768f" offset="1pt,2pt" matrix="65536f,,,65536f,,"/>
                  <v:textbox style="layout-flow:horizontal;" inset="0.15999999999999998mm,0.24694444444444438mm,9.9999999999999978e-002mm,0.24694444444444438mm">
                    <w:txbxContent>
                      <w:p>
                        <w:pPr>
                          <w:pStyle w:val="0"/>
                          <w:spacing w:line="0" w:lineRule="atLeast"/>
                          <w:rPr>
                            <w:rFonts w:hint="eastAsia" w:ascii="ＭＳ 明朝" w:hAnsi="ＭＳ 明朝" w:eastAsia="ＭＳ 明朝"/>
                            <w:sz w:val="21"/>
                          </w:rPr>
                        </w:pPr>
                        <w:r>
                          <w:rPr>
                            <w:rFonts w:hint="eastAsia" w:ascii="ＭＳ 明朝" w:hAnsi="ＭＳ 明朝" w:eastAsia="ＭＳ 明朝"/>
                            <w:sz w:val="21"/>
                          </w:rPr>
                          <w:t>療養病床、介護保険施設等</w:t>
                        </w:r>
                      </w:p>
                      <w:p>
                        <w:pPr>
                          <w:pStyle w:val="0"/>
                          <w:spacing w:line="0" w:lineRule="atLeast"/>
                          <w:rPr>
                            <w:rFonts w:hint="eastAsia" w:ascii="ＭＳ 明朝" w:hAnsi="ＭＳ 明朝" w:eastAsia="ＭＳ 明朝"/>
                            <w:sz w:val="18"/>
                          </w:rPr>
                        </w:pPr>
                        <w:r>
                          <w:rPr>
                            <w:rFonts w:hint="eastAsia" w:ascii="ＭＳ 明朝" w:hAnsi="ＭＳ 明朝" w:eastAsia="ＭＳ 明朝"/>
                            <w:sz w:val="18"/>
                          </w:rPr>
                          <w:t>（維持期リハビリテーション）</w:t>
                        </w:r>
                      </w:p>
                      <w:p>
                        <w:pPr>
                          <w:pStyle w:val="0"/>
                          <w:spacing w:line="0" w:lineRule="atLeast"/>
                          <w:rPr>
                            <w:rFonts w:hint="eastAsia" w:ascii="ＭＳ 明朝" w:hAnsi="ＭＳ 明朝" w:eastAsia="ＭＳ 明朝"/>
                            <w:sz w:val="18"/>
                          </w:rPr>
                        </w:pPr>
                        <w:r>
                          <w:rPr>
                            <w:rFonts w:hint="eastAsia" w:ascii="ＭＳ 明朝" w:hAnsi="ＭＳ 明朝" w:eastAsia="ＭＳ 明朝"/>
                            <w:sz w:val="18"/>
                          </w:rPr>
                          <w:t>●社会復帰のためのリハビリテーション　●再発予防</w:t>
                        </w:r>
                      </w:p>
                    </w:txbxContent>
                  </v:textbox>
                  <v:imagedata o:title=""/>
                  <w10:wrap type="none" anchorx="text" anchory="text"/>
                </v:oval>
                <v:rect id="オブジェクト 0" style="height:600;width:1605;top:14099;left:1766;position:absolute;" o:spid="_x0000_s1187" filled="f" stroked="f" o:spt="1">
                  <v:fill/>
                  <v:textbox style="layout-flow:horizontal;" inset="2.0637499999999998mm,0.24694444444444438mm,2.0637499999999998mm,0.24694444444444438mm">
                    <w:txbxContent>
                      <w:p>
                        <w:pPr>
                          <w:pStyle w:val="0"/>
                          <w:spacing w:line="0" w:lineRule="atLeast"/>
                          <w:rPr>
                            <w:rFonts w:hint="default"/>
                            <w:sz w:val="18"/>
                          </w:rPr>
                        </w:pPr>
                        <w:r>
                          <w:rPr>
                            <w:rFonts w:hint="eastAsia"/>
                            <w:sz w:val="18"/>
                          </w:rPr>
                          <w:t>訪問薬剤</w:t>
                        </w:r>
                      </w:p>
                      <w:p>
                        <w:pPr>
                          <w:pStyle w:val="0"/>
                          <w:spacing w:line="0" w:lineRule="atLeast"/>
                          <w:rPr>
                            <w:rFonts w:hint="default"/>
                            <w:sz w:val="18"/>
                          </w:rPr>
                        </w:pPr>
                        <w:r>
                          <w:rPr>
                            <w:rFonts w:hint="eastAsia"/>
                            <w:sz w:val="18"/>
                          </w:rPr>
                          <w:t>服薬管理・指導</w:t>
                        </w:r>
                      </w:p>
                    </w:txbxContent>
                  </v:textbox>
                  <v:imagedata o:title=""/>
                  <w10:wrap type="none" anchorx="text" anchory="text"/>
                </v:rect>
                <v:rect id="オブジェクト 0" style="height:435;width:1930;top:13761;left:1886;position:absolute;" o:spid="_x0000_s1188" filled="f" stroked="f" o:spt="1">
                  <v:fill/>
                  <v:textbox style="layout-flow:horizontal;" inset="2.0637499999999998mm,0.24694444444444438mm,2.0637499999999998mm,0.24694444444444438mm">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かかりつけ薬局</w:t>
                        </w:r>
                      </w:p>
                    </w:txbxContent>
                  </v:textbox>
                  <v:imagedata o:title=""/>
                  <w10:wrap type="none" anchorx="text" anchory="text"/>
                </v:rect>
                <v:rect id="オブジェクト 0" style="height:435;width:2690;top:14359;left:5650;position:absolute;" o:spid="_x0000_s1189" filled="f" stroked="f" o:spt="1">
                  <v:fill/>
                  <v:textbox style="layout-flow:horizontal;" inset="2.0637499999999998mm,0.24694444444444438mm,2.0637499999999998mm,0.24694444444444438mm">
                    <w:txbxContent>
                      <w:p>
                        <w:pPr>
                          <w:pStyle w:val="0"/>
                          <w:rPr>
                            <w:rFonts w:hint="eastAsia" w:ascii="ＭＳ ゴシック" w:hAnsi="ＭＳ ゴシック" w:eastAsia="ＭＳ ゴシック"/>
                            <w:sz w:val="21"/>
                            <w:bdr w:val="single" w:color="auto" w:sz="4" w:space="0"/>
                          </w:rPr>
                        </w:pPr>
                        <w:r>
                          <w:rPr>
                            <w:rFonts w:hint="eastAsia" w:ascii="ＭＳ ゴシック" w:hAnsi="ＭＳ ゴシック" w:eastAsia="ＭＳ ゴシック"/>
                            <w:sz w:val="21"/>
                            <w:bdr w:val="single" w:color="auto" w:sz="4" w:space="0"/>
                          </w:rPr>
                          <w:t>訪問看護ステーション</w:t>
                        </w:r>
                      </w:p>
                    </w:txbxContent>
                  </v:textbox>
                  <v:imagedata o:title=""/>
                  <w10:wrap type="none" anchorx="text" anchory="text"/>
                </v:rect>
                <v:shape id="オブジェクト 0" style="height:195;width:555;top:13676;left:6190;position:absolute;" o:spid="_x0000_s1190" filled="f" stroked="t" strokecolor="#666666 [1936]" strokeweight="1pt" o:spt="32" type="#_x0000_t32">
                  <v:fill/>
                  <v:stroke filltype="solid"/>
                  <v:imagedata o:title=""/>
                  <w10:wrap type="none" anchorx="text" anchory="text"/>
                </v:shape>
                <v:shape id="オブジェクト 0" style="height:579;width:331;top:12965;left:7289;position:absolute;" o:spid="_x0000_s1191" filled="t" fillcolor="#ffffff [3201]" stroked="t" strokecolor="#ffd966 [1943]" strokeweight="1pt" o:spt="67" type="#_x0000_t67" adj="12000,5400">
                  <v:fill type="gradient" color2="#ffe699 [1303]" focus="100%"/>
                  <v:stroke filltype="solid"/>
                  <v:shadow on="t" color="#806000" opacity="32768f" offset="1pt,2pt" matrix="65536f,,,65536f,,"/>
                  <v:textbox style="layout-flow:horizontal;"/>
                  <v:imagedata o:title=""/>
                  <w10:wrap type="none" anchorx="text" anchory="text"/>
                </v:shape>
                <v:rect id="オブジェクト 0" style="height:465;width:1410;top:13021;left:7540;position:absolute;" o:spid="_x0000_s1192" filled="f" stroked="f" o:spt="1">
                  <v:fill/>
                  <v:textbox style="layout-flow:horizontal;" inset="2.0637499999999998mm,0.24694444444444438mm,2.0637499999999998mm,0.24694444444444438mm">
                    <w:txbxContent>
                      <w:p>
                        <w:pPr>
                          <w:pStyle w:val="0"/>
                          <w:rPr>
                            <w:rFonts w:hint="default"/>
                          </w:rPr>
                        </w:pPr>
                        <w:r>
                          <w:rPr>
                            <w:rFonts w:hint="eastAsia"/>
                          </w:rPr>
                          <w:t>退院・退所</w:t>
                        </w:r>
                      </w:p>
                    </w:txbxContent>
                  </v:textbox>
                  <v:imagedata o:title=""/>
                  <w10:wrap type="none" anchorx="text" anchory="text"/>
                </v:rect>
                <v:rect id="オブジェクト 0" style="height:570;width:3240;top:14951;left:2829;position:absolute;" o:spid="_x0000_s1193" filled="f" stroked="f" o:spt="1">
                  <v:fill/>
                  <v:textbox style="layout-flow:horizontal;" inset="2.0637499999999998mm,0.24694444444444438mm,2.0637499999999998mm,0.24694444444444438mm">
                    <w:txbxContent>
                      <w:p>
                        <w:pPr>
                          <w:pStyle w:val="0"/>
                          <w:spacing w:line="0" w:lineRule="atLeast"/>
                          <w:ind w:firstLine="373" w:firstLineChars="200"/>
                          <w:rPr>
                            <w:rFonts w:hint="default"/>
                            <w:sz w:val="18"/>
                          </w:rPr>
                        </w:pPr>
                        <w:r>
                          <w:rPr>
                            <w:rFonts w:hint="eastAsia"/>
                            <w:sz w:val="18"/>
                          </w:rPr>
                          <w:t>療養指導・通所、外来リハビリ</w:t>
                        </w:r>
                      </w:p>
                    </w:txbxContent>
                  </v:textbox>
                  <v:imagedata o:title=""/>
                  <w10:wrap type="none" anchorx="text" anchory="text"/>
                </v:rect>
                <v:rect id="オブジェクト 0" style="height:465;width:1475;top:13982;left:7131;position:absolute;" o:spid="_x0000_s1194" filled="f" stroked="f" o:spt="1">
                  <v:fill/>
                  <v:textbox style="layout-flow:horizontal;" inset="2.0637499999999998mm,0.24694444444444438mm,2.0637499999999998mm,0.24694444444444438mm">
                    <w:txbxContent>
                      <w:p>
                        <w:pPr>
                          <w:pStyle w:val="0"/>
                          <w:rPr>
                            <w:rFonts w:hint="default"/>
                            <w:sz w:val="18"/>
                          </w:rPr>
                        </w:pPr>
                        <w:r>
                          <w:rPr>
                            <w:rFonts w:hint="eastAsia"/>
                            <w:sz w:val="18"/>
                          </w:rPr>
                          <w:t>訪問介護など</w:t>
                        </w:r>
                      </w:p>
                    </w:txbxContent>
                  </v:textbox>
                  <v:imagedata o:title=""/>
                  <w10:wrap type="none" anchorx="text" anchory="text"/>
                </v:rect>
                <v:rect id="オブジェクト 0" style="height:700;width:2710;top:14696;left:5968;position:absolute;" o:spid="_x0000_s1195" filled="f" stroked="f" o:spt="1">
                  <v:fill/>
                  <v:textbox style="layout-flow:horizontal;" inset="2.0637499999999998mm,0.24694444444444438mm,2.0637499999999998mm,0.24694444444444438mm">
                    <w:txbxContent>
                      <w:p>
                        <w:pPr>
                          <w:pStyle w:val="0"/>
                          <w:spacing w:line="0" w:lineRule="atLeast"/>
                          <w:rPr>
                            <w:rFonts w:hint="default"/>
                            <w:sz w:val="18"/>
                          </w:rPr>
                        </w:pPr>
                        <w:r>
                          <w:rPr>
                            <w:rFonts w:hint="eastAsia"/>
                            <w:sz w:val="18"/>
                          </w:rPr>
                          <w:t>訪問看護・訪問リハビリ</w:t>
                        </w:r>
                      </w:p>
                    </w:txbxContent>
                  </v:textbox>
                  <v:imagedata o:title=""/>
                  <w10:wrap type="none" anchorx="text" anchory="text"/>
                </v:rect>
                <v:shape id="オブジェクト 0" style="height:208;width:682;flip:x;top:13761;left:3626;position:absolute;" o:spid="_x0000_s1196" filled="f" stroked="t" strokecolor="#666666 [1936]" strokeweight="1pt" o:spt="32" type="#_x0000_t32">
                  <v:fill/>
                  <v:stroke filltype="solid"/>
                  <v:imagedata o:title=""/>
                  <w10:wrap type="none" anchorx="text" anchory="text"/>
                </v:shape>
                <v:shape id="オブジェクト 0" style="height:601;width:392;flip:x;top:13831;left:4466;position:absolute;" o:spid="_x0000_s1197" filled="f" stroked="t" strokecolor="#666666 [1936]" strokeweight="1pt" o:spt="32" type="#_x0000_t32">
                  <v:fill/>
                  <v:stroke filltype="solid"/>
                  <v:imagedata o:title=""/>
                  <w10:wrap type="none" anchorx="text" anchory="text"/>
                </v:shape>
                <v:shape id="オブジェクト 0" style="height:599;width:387;top:13831;left:5581;position:absolute;" o:spid="_x0000_s1198" filled="f" stroked="t" strokecolor="#666666 [1936]" strokeweight="1pt" o:spt="32" type="#_x0000_t32">
                  <v:fill/>
                  <v:stroke filltype="solid"/>
                  <v:imagedata o:title=""/>
                  <w10:wrap type="none" anchorx="text" anchory="text"/>
                </v:shape>
                <v:shape id="オブジェクト 0" style="height:11;width:8616;top:15534;left:1366;position:absolute;" o:spid="_x0000_s1199" filled="f" stroked="t" strokecolor="#0070c0" strokeweight="3pt" o:spt="32" type="#_x0000_t32">
                  <v:fill/>
                  <v:stroke endcap="round" dashstyle="shortdot" filltype="solid"/>
                  <v:imagedata o:title=""/>
                  <w10:wrap type="none" anchorx="text" anchory="text"/>
                </v:shape>
                <v:rect id="オブジェクト 0" style="height:495;width:1880;top:13336;left:4308;position:absolute;" o:spid="_x0000_s1200" filled="t" fillcolor="#ffffff" stroked="t" strokecolor="#00b0f0" strokeweight="0.75pt" o:spt="1">
                  <v:fill/>
                  <v:stroke filltype="solid"/>
                  <v:shadow on="t" opacity="32768f" offset="6pt,6pt" origin=",0.5" matrix="65536f,,,65536f,,"/>
                  <v:textbox style="layout-flow:horizontal;" inset="2.0637499999999998mm,0.24694444444444438mm,2.0637499999999998mm,0.24694444444444438mm">
                    <w:txbxContent>
                      <w:p>
                        <w:pPr>
                          <w:pStyle w:val="0"/>
                          <w:rPr>
                            <w:rFonts w:hint="default"/>
                            <w:b w:val="1"/>
                          </w:rPr>
                        </w:pPr>
                        <w:r>
                          <w:rPr>
                            <w:rFonts w:hint="eastAsia"/>
                            <w:b w:val="1"/>
                          </w:rPr>
                          <w:t>在　宅　療　養</w:t>
                        </w:r>
                      </w:p>
                    </w:txbxContent>
                  </v:textbox>
                  <v:imagedata o:title=""/>
                  <w10:wrap type="none" anchorx="text" anchory="text"/>
                </v:rect>
                <v:rect id="オブジェクト 0" style="height:480;width:1530;top:8680;left:1886;position:absolute;" o:spid="_x0000_s1201" filled="t" fillcolor="#ffffff" stroked="t" strokecolor="#00b0f0" strokeweight="0.75pt" o:spt="1">
                  <v:fill/>
                  <v:stroke filltype="solid"/>
                  <v:shadow on="t" opacity="32768f" offset="6pt,6pt" origin=",0.5" matrix="65536f,,,65536f,,"/>
                  <v:textbox style="layout-flow:horizontal;" inset="2.0637499999999998mm,0.24694444444444438mm,2.0637499999999998mm,0.24694444444444438mm">
                    <w:txbxContent>
                      <w:p>
                        <w:pPr>
                          <w:pStyle w:val="0"/>
                          <w:jc w:val="center"/>
                          <w:rPr>
                            <w:rFonts w:hint="default"/>
                            <w:b w:val="1"/>
                          </w:rPr>
                        </w:pPr>
                        <w:r>
                          <w:rPr>
                            <w:rFonts w:hint="eastAsia"/>
                            <w:b w:val="1"/>
                          </w:rPr>
                          <w:t>回　復　期</w:t>
                        </w:r>
                      </w:p>
                    </w:txbxContent>
                  </v:textbox>
                  <v:imagedata o:title=""/>
                  <w10:wrap type="none" anchorx="text" anchory="text"/>
                </v:rect>
                <v:shape id="オブジェクト 0" style="height:1900;width:630;top:2657;left:6781;position:absolute;rotation:24;" o:spid="_x0000_s1202" filled="t" fillcolor="#ffffff [3201]" stroked="t" strokecolor="#ffd966 [1943]" strokeweight="1pt" o:spt="67" type="#_x0000_t67" adj="5314,5400">
                  <v:fill type="gradient" color2="#ffe699 [1303]" focus="100%"/>
                  <v:stroke filltype="solid"/>
                  <v:shadow on="t" color="#806000" opacity="32768f" offset="1pt,2pt" matrix="65536f,,,65536f,,"/>
                  <v:textbox style="layout-flow:horizontal;"/>
                  <v:imagedata o:title=""/>
                  <w10:wrap type="none" anchorx="text" anchory="text"/>
                </v:shape>
                <v:oval id="オブジェクト 0" style="height:747;width:1002;top:2101;left:7241;position:absolute;" o:spid="_x0000_s1203" filled="t" fillcolor="#ffffff [3201]" stroked="t" strokecolor="#a9d08e [1945]" strokeweight="1pt" o:spt="3">
                  <v:fill type="gradient" color2="#c6e0b4 [1305]" focus="100%"/>
                  <v:stroke filltype="solid"/>
                  <v:shadow on="t" color="#385724" opacity="32768f" offset="1pt,2pt" matrix="65536f,,,65536f,,"/>
                  <v:textbox style="layout-flow:horizontal;" inset="2.0637499999999998mm,0.24694444444444438mm,2.0637499999999998mm,0.24694444444444438mm">
                    <w:txbxContent>
                      <w:p>
                        <w:pPr>
                          <w:pStyle w:val="0"/>
                          <w:jc w:val="center"/>
                          <w:rPr>
                            <w:rFonts w:hint="default"/>
                          </w:rPr>
                        </w:pPr>
                        <w:r>
                          <w:rPr>
                            <w:rFonts w:hint="eastAsia"/>
                          </w:rPr>
                          <w:t>患者</w:t>
                        </w:r>
                      </w:p>
                    </w:txbxContent>
                  </v:textbox>
                  <v:imagedata o:title=""/>
                  <w10:wrap type="none" anchorx="text" anchory="text"/>
                </v:oval>
                <v:rect id="オブジェクト 0" style="height:510;width:1515;top:11063;left:1296;position:absolute;" o:spid="_x0000_s1204" filled="t" fillcolor="#ffffff" stroked="t" strokecolor="#00b0f0" strokeweight="0.75pt" o:spt="1">
                  <v:fill/>
                  <v:stroke filltype="solid"/>
                  <v:shadow on="t" opacity="32768f" offset="6pt,6pt" origin=",0.5" matrix="65536f,,,65536f,,"/>
                  <v:textbox style="layout-flow:horizontal;" inset="2.0637499999999998mm,0.24694444444444438mm,2.0637499999999998mm,0.24694444444444438mm">
                    <w:txbxContent>
                      <w:p>
                        <w:pPr>
                          <w:pStyle w:val="0"/>
                          <w:jc w:val="center"/>
                          <w:rPr>
                            <w:rFonts w:hint="default"/>
                            <w:b w:val="1"/>
                          </w:rPr>
                        </w:pPr>
                        <w:r>
                          <w:rPr>
                            <w:rFonts w:hint="eastAsia"/>
                            <w:b w:val="1"/>
                          </w:rPr>
                          <w:t>維　持　期</w:t>
                        </w:r>
                      </w:p>
                    </w:txbxContent>
                  </v:textbox>
                  <v:imagedata o:title=""/>
                  <w10:wrap type="none" anchorx="text" anchory="text"/>
                </v:rect>
                <w10:wrap type="none" anchorx="text" anchory="text"/>
              </v:group>
            </w:pict>
          </mc:Fallback>
        </mc:AlternateContent>
      </w:r>
    </w:p>
    <w:p>
      <w:pPr>
        <w:pStyle w:val="0"/>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r>
        <w:rPr>
          <w:rFonts w:hint="default" w:asciiTheme="minorEastAsia" w:hAnsiTheme="minorEastAsia"/>
          <w:color w:val="auto"/>
          <w:highlight w:val="none"/>
        </w:rPr>
        <mc:AlternateContent>
          <mc:Choice Requires="wps">
            <w:drawing>
              <wp:anchor simplePos="0" relativeHeight="2" behindDoc="0" locked="0" layoutInCell="1" hidden="0" allowOverlap="1">
                <wp:simplePos x="0" y="0"/>
                <wp:positionH relativeFrom="column">
                  <wp:posOffset>1553210</wp:posOffset>
                </wp:positionH>
                <wp:positionV relativeFrom="paragraph">
                  <wp:posOffset>10507345</wp:posOffset>
                </wp:positionV>
                <wp:extent cx="229870" cy="609600"/>
                <wp:effectExtent l="15240" t="15240" r="53340" b="57785"/>
                <wp:wrapNone/>
                <wp:docPr id="1205" name="オブジェクト 0"/>
                <a:graphic xmlns:a="http://schemas.openxmlformats.org/drawingml/2006/main">
                  <a:graphicData uri="http://schemas.microsoft.com/office/word/2010/wordprocessingShape">
                    <wps:wsp>
                      <wps:cNvPr id="1205" name="オブジェクト 0"/>
                      <wps:cNvSpPr>
                        <a:spLocks noChangeArrowheads="1"/>
                      </wps:cNvSpPr>
                      <wps:spPr>
                        <a:xfrm>
                          <a:off x="0" y="0"/>
                          <a:ext cx="229870" cy="609600"/>
                        </a:xfrm>
                        <a:prstGeom prst="downArrow">
                          <a:avLst>
                            <a:gd name="adj1" fmla="val 50000"/>
                            <a:gd name="adj2" fmla="val 66298"/>
                          </a:avLst>
                        </a:prstGeom>
                        <a:gradFill rotWithShape="0">
                          <a:gsLst>
                            <a:gs pos="0">
                              <a:schemeClr val="lt1"/>
                            </a:gs>
                            <a:gs pos="100000">
                              <a:schemeClr val="accent4">
                                <a:lumMod val="40000"/>
                                <a:lumOff val="60000"/>
                              </a:schemeClr>
                            </a:gs>
                          </a:gsLst>
                          <a:lin ang="5400000" scaled="1"/>
                          <a:tileRect/>
                        </a:gradFill>
                        <a:ln w="12700">
                          <a:solidFill>
                            <a:schemeClr val="accent4">
                              <a:lumMod val="60000"/>
                              <a:lumOff val="40000"/>
                            </a:schemeClr>
                          </a:solidFill>
                          <a:miter/>
                        </a:ln>
                        <a:effectLst>
                          <a:outerShdw dist="28398" dir="3806097" algn="ctr" rotWithShape="0">
                            <a:schemeClr val="accent4">
                              <a:lumMod val="50000"/>
                              <a:alpha val="50000"/>
                            </a:schemeClr>
                          </a:outerShdw>
                        </a:effectLst>
                      </wps:spPr>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オブジェクト 0" style="margin-top:827.35pt;mso-position-vertical-relative:text;mso-position-horizontal-relative:text;position:absolute;height:48pt;width:18.100000000000001pt;margin-left:122.3pt;z-index:2;" o:spid="_x0000_s1205" o:allowincell="t" o:allowoverlap="t" filled="t" fillcolor="#ffffff [3201]" stroked="t" strokecolor="#ffd966 [1943]" strokeweight="1pt" o:spt="67" type="#_x0000_t67" adj="7280,5400">
                <v:fill type="gradient" color2="#ffe699 [1303]" focus="100%"/>
                <v:stroke filltype="solid"/>
                <v:shadow on="t" color="#806000" opacity="32768f" offset="1pt,2pt" matrix="65536f,,,65536f,,"/>
                <v:textbox style="layout-flow:horizontal;"/>
                <v:imagedata o:title=""/>
                <w10:wrap type="none" anchorx="text" anchory="text"/>
              </v:shape>
            </w:pict>
          </mc:Fallback>
        </mc:AlternateContent>
      </w:r>
    </w:p>
    <w:p>
      <w:pPr>
        <w:pStyle w:val="0"/>
        <w:tabs>
          <w:tab w:val="left" w:leader="none" w:pos="7704"/>
        </w:tabs>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p>
    <w:p>
      <w:pPr>
        <w:pStyle w:val="0"/>
        <w:tabs>
          <w:tab w:val="left" w:leader="none" w:pos="7704"/>
        </w:tabs>
        <w:rPr>
          <w:rFonts w:hint="eastAsia" w:ascii="ＭＳ 明朝" w:hAnsi="ＭＳ 明朝" w:eastAsia="ＭＳ 明朝"/>
          <w:b w:val="1"/>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rPr>
          <w:rFonts w:hint="eastAsia" w:ascii="ＭＳ 明朝" w:hAnsi="ＭＳ 明朝" w:eastAsia="ＭＳ 明朝"/>
          <w:color w:val="auto"/>
          <w:highlight w:val="none"/>
        </w:rPr>
      </w:pPr>
    </w:p>
    <w:p>
      <w:pPr>
        <w:pStyle w:val="0"/>
        <w:spacing w:line="240" w:lineRule="auto"/>
        <w:rPr>
          <w:rFonts w:hint="eastAsia" w:ascii="ＭＳ 明朝" w:hAnsi="ＭＳ 明朝" w:eastAsia="ＭＳ 明朝"/>
          <w:b w:val="1"/>
          <w:color w:val="auto"/>
          <w:sz w:val="21"/>
          <w:highlight w:val="none"/>
        </w:rPr>
      </w:pPr>
      <w:r>
        <w:rPr>
          <w:rFonts w:hint="eastAsia" w:ascii="ＭＳ 明朝" w:hAnsi="ＭＳ 明朝" w:eastAsia="ＭＳ 明朝"/>
          <w:highlight w:val="none"/>
        </w:rPr>
        <w:br w:type="page"/>
      </w:r>
    </w:p>
    <w:p>
      <w:pPr>
        <w:pStyle w:val="0"/>
        <w:spacing w:line="240" w:lineRule="auto"/>
        <w:rPr>
          <w:rFonts w:hint="eastAsia" w:ascii="ＭＳ 明朝" w:hAnsi="ＭＳ 明朝" w:eastAsia="ＭＳ 明朝"/>
          <w:b w:val="1"/>
          <w:color w:val="auto"/>
          <w:sz w:val="21"/>
          <w:highlight w:val="none"/>
        </w:rPr>
      </w:pPr>
      <w:r>
        <w:rPr>
          <w:rFonts w:hint="eastAsia" w:ascii="ＭＳ 明朝" w:hAnsi="ＭＳ 明朝" w:eastAsia="ＭＳ 明朝"/>
          <w:b w:val="1"/>
          <w:color w:val="auto"/>
          <w:sz w:val="21"/>
          <w:highlight w:val="none"/>
        </w:rPr>
        <w:t>＜参考＞</w:t>
      </w:r>
      <w:r>
        <w:rPr>
          <w:rFonts w:hint="eastAsia" w:ascii="ＭＳ 明朝" w:hAnsi="ＭＳ 明朝" w:eastAsia="ＭＳ 明朝"/>
          <w:b w:val="1"/>
          <w:color w:val="auto"/>
          <w:sz w:val="21"/>
          <w:highlight w:val="none"/>
        </w:rPr>
        <w:t xml:space="preserve"> </w:t>
      </w:r>
      <w:r>
        <w:rPr>
          <w:rFonts w:hint="eastAsia" w:ascii="ＭＳ 明朝" w:hAnsi="ＭＳ 明朝" w:eastAsia="ＭＳ 明朝"/>
          <w:b w:val="1"/>
          <w:color w:val="auto"/>
          <w:sz w:val="21"/>
          <w:highlight w:val="none"/>
        </w:rPr>
        <w:t>医療機能別医療機関情報</w:t>
      </w:r>
    </w:p>
    <w:p>
      <w:pPr>
        <w:pStyle w:val="0"/>
        <w:spacing w:line="240" w:lineRule="auto"/>
        <w:ind w:firstLine="227" w:firstLineChars="100"/>
        <w:rPr>
          <w:rFonts w:hint="eastAsia" w:ascii="ＭＳ 明朝" w:hAnsi="ＭＳ 明朝" w:eastAsia="ＭＳ 明朝"/>
          <w:color w:val="auto"/>
          <w:highlight w:val="none"/>
        </w:rPr>
      </w:pPr>
    </w:p>
    <w:p>
      <w:pPr>
        <w:pStyle w:val="0"/>
        <w:spacing w:line="240" w:lineRule="auto"/>
        <w:ind w:firstLine="228" w:firstLineChars="100"/>
        <w:rPr>
          <w:rFonts w:hint="eastAsia" w:ascii="ＭＳ 明朝" w:hAnsi="ＭＳ 明朝" w:eastAsia="ＭＳ 明朝"/>
          <w:b w:val="1"/>
          <w:color w:val="auto"/>
          <w:highlight w:val="none"/>
        </w:rPr>
      </w:pPr>
      <w:r>
        <w:rPr>
          <w:rFonts w:hint="eastAsia" w:ascii="ＭＳ 明朝" w:hAnsi="ＭＳ 明朝" w:eastAsia="ＭＳ 明朝"/>
          <w:b w:val="1"/>
          <w:color w:val="auto"/>
          <w:highlight w:val="none"/>
        </w:rPr>
        <w:t>１　脳卒中センター</w:t>
      </w:r>
    </w:p>
    <w:p>
      <w:pPr>
        <w:pStyle w:val="0"/>
        <w:spacing w:line="240" w:lineRule="auto"/>
        <w:ind w:left="453" w:leftChars="200" w:firstLine="227" w:firstLineChars="100"/>
        <w:rPr>
          <w:rFonts w:hint="eastAsia" w:ascii="ＭＳ 明朝" w:hAnsi="ＭＳ 明朝" w:eastAsia="ＭＳ 明朝"/>
          <w:color w:val="auto"/>
          <w:highlight w:val="none"/>
        </w:rPr>
      </w:pPr>
      <w:r>
        <w:rPr>
          <w:rFonts w:hint="eastAsia" w:ascii="ＭＳ 明朝" w:hAnsi="ＭＳ 明朝" w:eastAsia="ＭＳ 明朝"/>
          <w:color w:val="auto"/>
          <w:highlight w:val="none"/>
        </w:rPr>
        <w:t>24</w:t>
      </w:r>
      <w:r>
        <w:rPr>
          <w:rFonts w:hint="eastAsia" w:ascii="ＭＳ 明朝" w:hAnsi="ＭＳ 明朝" w:eastAsia="ＭＳ 明朝"/>
          <w:color w:val="auto"/>
          <w:highlight w:val="none"/>
        </w:rPr>
        <w:t>時間</w:t>
      </w:r>
      <w:r>
        <w:rPr>
          <w:rFonts w:hint="eastAsia" w:ascii="ＭＳ 明朝" w:hAnsi="ＭＳ 明朝" w:eastAsia="ＭＳ 明朝"/>
          <w:color w:val="auto"/>
          <w:highlight w:val="none"/>
        </w:rPr>
        <w:t>365</w:t>
      </w:r>
      <w:r>
        <w:rPr>
          <w:rFonts w:hint="eastAsia" w:ascii="ＭＳ 明朝" w:hAnsi="ＭＳ 明朝" w:eastAsia="ＭＳ 明朝"/>
          <w:color w:val="auto"/>
          <w:highlight w:val="none"/>
        </w:rPr>
        <w:t>日、脳卒中の急性期患者の受入れ体制が整備されているとともに、緊急血栓溶解療法</w:t>
      </w:r>
      <w:r>
        <w:rPr>
          <w:rFonts w:hint="eastAsia" w:ascii="ＭＳ 明朝" w:hAnsi="ＭＳ 明朝" w:eastAsia="ＭＳ 明朝"/>
          <w:color w:val="auto"/>
          <w:sz w:val="20"/>
          <w:highlight w:val="none"/>
        </w:rPr>
        <w:t>（</w:t>
      </w:r>
      <w:r>
        <w:rPr>
          <w:rFonts w:hint="eastAsia" w:ascii="ＭＳ 明朝" w:hAnsi="ＭＳ 明朝" w:eastAsia="ＭＳ 明朝"/>
          <w:color w:val="auto"/>
          <w:sz w:val="20"/>
          <w:highlight w:val="none"/>
        </w:rPr>
        <w:t>t-PA</w:t>
      </w:r>
      <w:r>
        <w:rPr>
          <w:rFonts w:hint="eastAsia" w:ascii="ＭＳ 明朝" w:hAnsi="ＭＳ 明朝" w:eastAsia="ＭＳ 明朝"/>
          <w:color w:val="auto"/>
          <w:sz w:val="20"/>
          <w:highlight w:val="none"/>
        </w:rPr>
        <w:t>製剤治療）</w:t>
      </w:r>
      <w:r>
        <w:rPr>
          <w:rFonts w:hint="eastAsia" w:ascii="ＭＳ 明朝" w:hAnsi="ＭＳ 明朝" w:eastAsia="ＭＳ 明朝"/>
          <w:color w:val="auto"/>
          <w:highlight w:val="none"/>
        </w:rPr>
        <w:t>や緊急脳外科手術などの専門的な治療が可能な病院です。</w:t>
      </w:r>
    </w:p>
    <w:p>
      <w:pPr>
        <w:pStyle w:val="0"/>
        <w:spacing w:line="240" w:lineRule="auto"/>
        <w:ind w:left="453" w:leftChars="200" w:firstLine="227" w:firstLineChars="100"/>
        <w:rPr>
          <w:rFonts w:hint="eastAsia" w:ascii="ＭＳ 明朝" w:hAnsi="ＭＳ 明朝" w:eastAsia="ＭＳ 明朝"/>
          <w:color w:val="auto"/>
          <w:highlight w:val="none"/>
        </w:rPr>
      </w:pPr>
    </w:p>
    <w:p>
      <w:pPr>
        <w:pStyle w:val="0"/>
        <w:spacing w:line="240" w:lineRule="auto"/>
        <w:ind w:firstLine="415" w:firstLineChars="200"/>
        <w:rPr>
          <w:rFonts w:hint="eastAsia" w:ascii="ＭＳ 明朝" w:hAnsi="ＭＳ 明朝" w:eastAsia="ＭＳ 明朝"/>
          <w:b w:val="0"/>
          <w:color w:val="auto"/>
          <w:sz w:val="20"/>
          <w:highlight w:val="none"/>
        </w:rPr>
      </w:pPr>
      <w:r>
        <w:rPr>
          <w:rFonts w:hint="eastAsia" w:ascii="ＭＳ 明朝" w:hAnsi="ＭＳ 明朝" w:eastAsia="ＭＳ 明朝"/>
          <w:b w:val="0"/>
          <w:color w:val="auto"/>
          <w:sz w:val="20"/>
          <w:highlight w:val="none"/>
        </w:rPr>
        <w:t>【要件】</w:t>
      </w:r>
    </w:p>
    <w:p>
      <w:pPr>
        <w:pStyle w:val="0"/>
        <w:spacing w:line="240" w:lineRule="auto"/>
        <w:rPr>
          <w:rFonts w:hint="eastAsia" w:ascii="ＭＳ 明朝" w:hAnsi="ＭＳ 明朝" w:eastAsia="ＭＳ 明朝"/>
          <w:color w:val="auto"/>
          <w:kern w:val="0"/>
          <w:sz w:val="20"/>
          <w:highlight w:val="none"/>
        </w:rPr>
      </w:pPr>
      <w:r>
        <w:rPr>
          <w:rFonts w:hint="eastAsia" w:ascii="ＭＳ 明朝" w:hAnsi="ＭＳ 明朝" w:eastAsia="ＭＳ 明朝"/>
          <w:color w:val="auto"/>
          <w:sz w:val="20"/>
          <w:highlight w:val="none"/>
        </w:rPr>
        <w:t>　　</w:t>
      </w:r>
      <w:r>
        <w:rPr>
          <w:rFonts w:hint="eastAsia" w:ascii="ＭＳ 明朝" w:hAnsi="ＭＳ 明朝" w:eastAsia="ＭＳ 明朝"/>
          <w:color w:val="auto"/>
          <w:sz w:val="20"/>
          <w:highlight w:val="none"/>
        </w:rPr>
        <w:t>(1)</w:t>
      </w:r>
      <w:r>
        <w:rPr>
          <w:rFonts w:hint="eastAsia" w:ascii="ＭＳ 明朝" w:hAnsi="ＭＳ 明朝" w:eastAsia="ＭＳ 明朝"/>
          <w:color w:val="auto"/>
          <w:sz w:val="20"/>
          <w:highlight w:val="none"/>
        </w:rPr>
        <w:t>　</w:t>
      </w:r>
      <w:r>
        <w:rPr>
          <w:rFonts w:hint="eastAsia" w:ascii="ＭＳ 明朝" w:hAnsi="ＭＳ 明朝" w:eastAsia="ＭＳ 明朝"/>
          <w:color w:val="auto"/>
          <w:sz w:val="20"/>
          <w:highlight w:val="none"/>
        </w:rPr>
        <w:t>24</w:t>
      </w:r>
      <w:r>
        <w:rPr>
          <w:rFonts w:hint="eastAsia" w:ascii="ＭＳ 明朝" w:hAnsi="ＭＳ 明朝" w:eastAsia="ＭＳ 明朝"/>
          <w:color w:val="auto"/>
          <w:kern w:val="0"/>
          <w:sz w:val="20"/>
          <w:highlight w:val="none"/>
        </w:rPr>
        <w:t>時間</w:t>
      </w:r>
      <w:r>
        <w:rPr>
          <w:rFonts w:hint="eastAsia" w:ascii="ＭＳ 明朝" w:hAnsi="ＭＳ 明朝" w:eastAsia="ＭＳ 明朝"/>
          <w:color w:val="auto"/>
          <w:kern w:val="0"/>
          <w:sz w:val="20"/>
          <w:highlight w:val="none"/>
        </w:rPr>
        <w:t>365</w:t>
      </w:r>
      <w:r>
        <w:rPr>
          <w:rFonts w:hint="eastAsia" w:ascii="ＭＳ 明朝" w:hAnsi="ＭＳ 明朝" w:eastAsia="ＭＳ 明朝"/>
          <w:color w:val="auto"/>
          <w:kern w:val="0"/>
          <w:sz w:val="20"/>
          <w:highlight w:val="none"/>
        </w:rPr>
        <w:t>日、脳卒中の急性期患者の受入れが可能である。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(2)</w:t>
      </w:r>
      <w:r>
        <w:rPr>
          <w:rFonts w:hint="eastAsia" w:ascii="ＭＳ 明朝" w:hAnsi="ＭＳ 明朝" w:eastAsia="ＭＳ 明朝"/>
          <w:color w:val="auto"/>
          <w:kern w:val="0"/>
          <w:sz w:val="20"/>
          <w:highlight w:val="none"/>
        </w:rPr>
        <w:t>　常勤の脳神経外科医または神経内科医が３名以上いる。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(3)</w:t>
      </w:r>
      <w:r>
        <w:rPr>
          <w:rFonts w:hint="eastAsia" w:ascii="ＭＳ 明朝" w:hAnsi="ＭＳ 明朝" w:eastAsia="ＭＳ 明朝"/>
          <w:color w:val="auto"/>
          <w:kern w:val="0"/>
          <w:sz w:val="20"/>
          <w:highlight w:val="none"/>
        </w:rPr>
        <w:t>　診療報酬施設基準による脳血管疾患等リハビリテーション料Ⅰ又はⅡの届出があり、常</w:t>
      </w:r>
    </w:p>
    <w:p>
      <w:pPr>
        <w:pStyle w:val="0"/>
        <w:spacing w:line="240" w:lineRule="auto"/>
        <w:ind w:firstLine="930" w:firstLineChars="45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勤の理学療法士２人以上による急性期リハビリテーションを実施している。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(4)</w:t>
      </w:r>
      <w:r>
        <w:rPr>
          <w:rFonts w:hint="eastAsia" w:ascii="ＭＳ 明朝" w:hAnsi="ＭＳ 明朝" w:eastAsia="ＭＳ 明朝"/>
          <w:color w:val="auto"/>
          <w:kern w:val="0"/>
          <w:sz w:val="20"/>
          <w:highlight w:val="none"/>
        </w:rPr>
        <w:t>　ＣＴ及びＭＲＩを有する。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(5)</w:t>
      </w:r>
      <w:r>
        <w:rPr>
          <w:rFonts w:hint="eastAsia" w:ascii="ＭＳ 明朝" w:hAnsi="ＭＳ 明朝" w:eastAsia="ＭＳ 明朝"/>
          <w:color w:val="auto"/>
          <w:kern w:val="0"/>
          <w:sz w:val="20"/>
          <w:highlight w:val="none"/>
        </w:rPr>
        <w:t>　年間の脳卒中による入院患者数が</w:t>
      </w:r>
      <w:r>
        <w:rPr>
          <w:rFonts w:hint="eastAsia" w:ascii="ＭＳ 明朝" w:hAnsi="ＭＳ 明朝" w:eastAsia="ＭＳ 明朝"/>
          <w:color w:val="auto"/>
          <w:kern w:val="0"/>
          <w:sz w:val="20"/>
          <w:highlight w:val="none"/>
        </w:rPr>
        <w:t xml:space="preserve">50 </w:t>
      </w:r>
      <w:r>
        <w:rPr>
          <w:rFonts w:hint="eastAsia" w:ascii="ＭＳ 明朝" w:hAnsi="ＭＳ 明朝" w:eastAsia="ＭＳ 明朝"/>
          <w:color w:val="auto"/>
          <w:kern w:val="0"/>
          <w:sz w:val="20"/>
          <w:highlight w:val="none"/>
        </w:rPr>
        <w:t>症例以上である。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(6)</w:t>
      </w:r>
      <w:r>
        <w:rPr>
          <w:rFonts w:hint="eastAsia" w:ascii="ＭＳ 明朝" w:hAnsi="ＭＳ 明朝" w:eastAsia="ＭＳ 明朝"/>
          <w:color w:val="auto"/>
          <w:kern w:val="0"/>
          <w:sz w:val="20"/>
          <w:highlight w:val="none"/>
        </w:rPr>
        <w:t>　緊急</w:t>
      </w:r>
      <w:r>
        <w:rPr>
          <w:rFonts w:hint="eastAsia" w:ascii="ＭＳ 明朝" w:hAnsi="ＭＳ 明朝" w:eastAsia="ＭＳ 明朝"/>
          <w:color w:val="auto"/>
          <w:sz w:val="20"/>
          <w:highlight w:val="none"/>
        </w:rPr>
        <w:t>ｔ－ＰＡ</w:t>
      </w:r>
      <w:r>
        <w:rPr>
          <w:rFonts w:hint="eastAsia" w:ascii="ＭＳ 明朝" w:hAnsi="ＭＳ 明朝" w:eastAsia="ＭＳ 明朝"/>
          <w:color w:val="auto"/>
          <w:kern w:val="0"/>
          <w:sz w:val="20"/>
          <w:highlight w:val="none"/>
        </w:rPr>
        <w:t xml:space="preserve"> </w:t>
      </w:r>
      <w:r>
        <w:rPr>
          <w:rFonts w:hint="eastAsia" w:ascii="ＭＳ 明朝" w:hAnsi="ＭＳ 明朝" w:eastAsia="ＭＳ 明朝"/>
          <w:color w:val="auto"/>
          <w:kern w:val="0"/>
          <w:sz w:val="20"/>
          <w:highlight w:val="none"/>
        </w:rPr>
        <w:t>製剤治療及び緊急脳神経外科手術が実施可能である。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(7)</w:t>
      </w:r>
      <w:r>
        <w:rPr>
          <w:rFonts w:hint="eastAsia" w:ascii="ＭＳ 明朝" w:hAnsi="ＭＳ 明朝" w:eastAsia="ＭＳ 明朝"/>
          <w:color w:val="auto"/>
          <w:kern w:val="0"/>
          <w:sz w:val="20"/>
          <w:highlight w:val="none"/>
        </w:rPr>
        <w:t>　緊急血管内治療が実施可能である。</w:t>
      </w:r>
      <w:r>
        <w:rPr>
          <w:rFonts w:hint="eastAsia" w:ascii="ＭＳ 明朝" w:hAnsi="ＭＳ 明朝" w:eastAsia="ＭＳ 明朝"/>
          <w:color w:val="auto"/>
          <w:kern w:val="0"/>
          <w:sz w:val="20"/>
          <w:highlight w:val="none"/>
          <w:vertAlign w:val="superscript"/>
        </w:rPr>
        <w:t>※</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(8)</w:t>
      </w:r>
      <w:r>
        <w:rPr>
          <w:rFonts w:hint="eastAsia" w:ascii="ＭＳ 明朝" w:hAnsi="ＭＳ 明朝" w:eastAsia="ＭＳ 明朝"/>
          <w:color w:val="auto"/>
          <w:kern w:val="0"/>
          <w:sz w:val="20"/>
          <w:highlight w:val="none"/>
        </w:rPr>
        <w:t>　ＮＳＴ（栄養サポートチーム）、ＩＣＴ（感染制御チーム）などの活動を実施している。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(9)</w:t>
      </w:r>
      <w:r>
        <w:rPr>
          <w:rFonts w:hint="eastAsia" w:ascii="ＭＳ 明朝" w:hAnsi="ＭＳ 明朝" w:eastAsia="ＭＳ 明朝"/>
          <w:color w:val="auto"/>
          <w:kern w:val="0"/>
          <w:sz w:val="20"/>
          <w:highlight w:val="none"/>
        </w:rPr>
        <w:t>　連携による継続的なリハビリテーションを実施している。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 xml:space="preserve">(10) </w:t>
      </w:r>
      <w:r>
        <w:rPr>
          <w:rFonts w:hint="eastAsia" w:ascii="ＭＳ 明朝" w:hAnsi="ＭＳ 明朝" w:eastAsia="ＭＳ 明朝"/>
          <w:color w:val="auto"/>
          <w:kern w:val="0"/>
          <w:sz w:val="20"/>
          <w:highlight w:val="none"/>
        </w:rPr>
        <w:t>脳卒中データバンクへ参加している。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 xml:space="preserve">(11) </w:t>
      </w:r>
      <w:r>
        <w:rPr>
          <w:rFonts w:hint="eastAsia" w:ascii="ＭＳ 明朝" w:hAnsi="ＭＳ 明朝" w:eastAsia="ＭＳ 明朝"/>
          <w:color w:val="auto"/>
          <w:kern w:val="0"/>
          <w:sz w:val="20"/>
          <w:highlight w:val="none"/>
        </w:rPr>
        <w:t>県民・救急隊・かかりつけ医への教育や啓発活動を実施している。</w:t>
      </w:r>
    </w:p>
    <w:p>
      <w:pPr>
        <w:pStyle w:val="0"/>
        <w:spacing w:line="240" w:lineRule="auto"/>
        <w:ind w:firstLine="433" w:firstLineChars="200"/>
        <w:jc w:val="center"/>
        <w:rPr>
          <w:rFonts w:hint="eastAsia" w:ascii="ＭＳ 明朝" w:hAnsi="ＭＳ 明朝" w:eastAsia="ＭＳ 明朝"/>
          <w:color w:val="auto"/>
          <w:kern w:val="0"/>
          <w:sz w:val="21"/>
          <w:highlight w:val="none"/>
        </w:rPr>
      </w:pPr>
    </w:p>
    <w:p>
      <w:pPr>
        <w:pStyle w:val="0"/>
        <w:spacing w:line="240" w:lineRule="auto"/>
        <w:ind w:firstLine="433" w:firstLineChars="200"/>
        <w:jc w:val="center"/>
        <w:rPr>
          <w:rFonts w:hint="eastAsia" w:ascii="ＭＳ 明朝" w:hAnsi="ＭＳ 明朝" w:eastAsia="ＭＳ 明朝"/>
          <w:color w:val="auto"/>
          <w:kern w:val="0"/>
          <w:sz w:val="21"/>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6-2-36</w:t>
      </w:r>
      <w:r>
        <w:rPr>
          <w:rFonts w:hint="eastAsia" w:ascii="ＭＳ ゴシック" w:hAnsi="ＭＳ ゴシック" w:eastAsia="ＭＳ ゴシック"/>
          <w:color w:val="auto"/>
          <w:kern w:val="0"/>
          <w:sz w:val="22"/>
          <w:highlight w:val="none"/>
        </w:rPr>
        <w:t>）脳卒中センター</w:t>
      </w:r>
    </w:p>
    <w:tbl>
      <w:tblPr>
        <w:tblStyle w:val="44"/>
        <w:tblW w:w="8646" w:type="dxa"/>
        <w:jc w:val="left"/>
        <w:tblInd w:w="534" w:type="dxa"/>
        <w:tblLayout w:type="fixed"/>
        <w:tblLook w:firstRow="1" w:lastRow="0" w:firstColumn="1" w:lastColumn="0" w:noHBand="0" w:noVBand="1" w:val="04A0"/>
      </w:tblPr>
      <w:tblGrid>
        <w:gridCol w:w="1417"/>
        <w:gridCol w:w="7229"/>
      </w:tblGrid>
      <w:tr>
        <w:trPr/>
        <w:tc>
          <w:tcPr>
            <w:tcW w:w="1417"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保健医療圏</w:t>
            </w:r>
          </w:p>
        </w:tc>
        <w:tc>
          <w:tcPr>
            <w:tcW w:w="7229"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医　療　機　関</w:t>
            </w:r>
          </w:p>
        </w:tc>
      </w:tr>
      <w:tr>
        <w:trPr/>
        <w:tc>
          <w:tcPr>
            <w:tcW w:w="1417" w:type="dxa"/>
            <w:shd w:val="clear" w:color="auto" w:fill="DAEEF3"/>
            <w:vAlign w:val="center"/>
          </w:tcPr>
          <w:p>
            <w:pPr>
              <w:pStyle w:val="0"/>
              <w:jc w:val="center"/>
              <w:rPr>
                <w:rFonts w:hint="eastAsia" w:ascii="ＭＳ 明朝" w:hAnsi="ＭＳ 明朝" w:eastAsia="ＭＳ 明朝"/>
                <w:color w:val="auto"/>
                <w:highlight w:val="none"/>
                <w:u w:val="none" w:color="auto"/>
              </w:rPr>
            </w:pPr>
            <w:r>
              <w:rPr>
                <w:rFonts w:hint="eastAsia" w:ascii="ＭＳ 明朝" w:hAnsi="ＭＳ 明朝" w:eastAsia="ＭＳ 明朝"/>
                <w:color w:val="auto"/>
                <w:highlight w:val="none"/>
                <w:u w:val="none" w:color="auto"/>
              </w:rPr>
              <w:t>安芸</w:t>
            </w:r>
            <w:r>
              <w:rPr>
                <w:rFonts w:hint="eastAsia" w:ascii="ＭＳ 明朝" w:hAnsi="ＭＳ 明朝" w:eastAsia="ＭＳ 明朝"/>
                <w:color w:val="auto"/>
                <w:highlight w:val="none"/>
                <w:u w:val="none" w:color="auto"/>
              </w:rPr>
              <w:t>(1)</w:t>
            </w:r>
          </w:p>
        </w:tc>
        <w:tc>
          <w:tcPr>
            <w:tcW w:w="7229" w:type="dxa"/>
            <w:shd w:val="clear" w:color="auto" w:fill="auto"/>
            <w:vAlign w:val="center"/>
          </w:tcPr>
          <w:p>
            <w:pPr>
              <w:pStyle w:val="0"/>
              <w:rPr>
                <w:rFonts w:hint="eastAsia" w:ascii="ＭＳ 明朝" w:hAnsi="ＭＳ 明朝" w:eastAsia="ＭＳ 明朝"/>
                <w:color w:val="auto"/>
                <w:highlight w:val="none"/>
                <w:u w:val="none" w:color="auto"/>
              </w:rPr>
            </w:pPr>
            <w:r>
              <w:rPr>
                <w:rFonts w:hint="eastAsia" w:ascii="ＭＳ 明朝" w:hAnsi="ＭＳ 明朝" w:eastAsia="ＭＳ 明朝"/>
                <w:color w:val="auto"/>
                <w:sz w:val="20"/>
                <w:highlight w:val="none"/>
                <w:u w:val="none" w:color="auto"/>
              </w:rPr>
              <w:t>あき総合病院</w:t>
            </w:r>
          </w:p>
        </w:tc>
      </w:tr>
      <w:tr>
        <w:trPr/>
        <w:tc>
          <w:tcPr>
            <w:tcW w:w="1417"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r>
              <w:rPr>
                <w:rFonts w:hint="eastAsia" w:ascii="ＭＳ 明朝" w:hAnsi="ＭＳ 明朝" w:eastAsia="ＭＳ 明朝"/>
                <w:color w:val="auto"/>
                <w:sz w:val="20"/>
                <w:highlight w:val="none"/>
              </w:rPr>
              <w:t>(7)</w:t>
            </w:r>
          </w:p>
        </w:tc>
        <w:tc>
          <w:tcPr>
            <w:tcW w:w="7229" w:type="dxa"/>
            <w:vAlign w:val="top"/>
          </w:tcPr>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愛宕病院　　　　　　　　　　　　いずみの病院　　</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高知医療センター　　　　　　　　高知赤十字病院</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高知大学医学部附属病院　　　　　近森病院</w:t>
            </w:r>
          </w:p>
          <w:p>
            <w:pPr>
              <w:pStyle w:val="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もみのき病院</w:t>
            </w:r>
          </w:p>
        </w:tc>
      </w:tr>
      <w:tr>
        <w:trPr/>
        <w:tc>
          <w:tcPr>
            <w:tcW w:w="1417"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r>
              <w:rPr>
                <w:rFonts w:hint="eastAsia" w:ascii="ＭＳ 明朝" w:hAnsi="ＭＳ 明朝" w:eastAsia="ＭＳ 明朝"/>
                <w:color w:val="auto"/>
                <w:sz w:val="20"/>
                <w:highlight w:val="none"/>
              </w:rPr>
              <w:t>(1)</w:t>
            </w:r>
          </w:p>
        </w:tc>
        <w:tc>
          <w:tcPr>
            <w:tcW w:w="7229" w:type="dxa"/>
            <w:vAlign w:val="center"/>
          </w:tcPr>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幡多けんみん病院</w:t>
            </w:r>
          </w:p>
        </w:tc>
      </w:tr>
    </w:tbl>
    <w:p>
      <w:pPr>
        <w:pStyle w:val="0"/>
        <w:spacing w:line="0" w:lineRule="atLeast"/>
        <w:rPr>
          <w:rFonts w:hint="eastAsia" w:ascii="ＭＳ 明朝" w:hAnsi="ＭＳ 明朝" w:eastAsia="ＭＳ 明朝"/>
          <w:color w:val="auto"/>
          <w:sz w:val="16"/>
          <w:highlight w:val="none"/>
        </w:rPr>
      </w:pPr>
      <w:r>
        <w:rPr>
          <w:rFonts w:hint="eastAsia" w:ascii="ＭＳ 明朝" w:hAnsi="ＭＳ 明朝" w:eastAsia="ＭＳ 明朝"/>
          <w:color w:val="auto"/>
          <w:highlight w:val="none"/>
        </w:rPr>
        <w:t>　　　　　　　　　　　　　　　　　　　　　　　　　　</w:t>
      </w:r>
      <w:r>
        <w:rPr>
          <w:rFonts w:hint="eastAsia" w:ascii="ＭＳ 明朝" w:hAnsi="ＭＳ 明朝" w:eastAsia="ＭＳ 明朝"/>
          <w:color w:val="auto"/>
          <w:sz w:val="16"/>
          <w:highlight w:val="none"/>
        </w:rPr>
        <w:t>出典：令和４年高知県脳卒中患者調査</w:t>
      </w:r>
    </w:p>
    <w:p>
      <w:pPr>
        <w:pStyle w:val="0"/>
        <w:spacing w:line="240" w:lineRule="auto"/>
        <w:rPr>
          <w:rFonts w:hint="eastAsia" w:ascii="ＭＳ 明朝" w:hAnsi="ＭＳ 明朝" w:eastAsia="ＭＳ 明朝"/>
          <w:color w:val="auto"/>
          <w:sz w:val="20"/>
          <w:highlight w:val="none"/>
          <w:u w:val="none" w:color="auto"/>
        </w:rPr>
      </w:pPr>
      <w:r>
        <w:rPr>
          <w:rFonts w:hint="eastAsia" w:ascii="ＭＳ 明朝" w:hAnsi="ＭＳ 明朝" w:eastAsia="ＭＳ 明朝"/>
          <w:b w:val="1"/>
          <w:color w:val="auto"/>
          <w:highlight w:val="none"/>
        </w:rPr>
        <w:t>　</w:t>
      </w:r>
      <w:r>
        <w:rPr>
          <w:rFonts w:hint="eastAsia" w:ascii="ＭＳ 明朝" w:hAnsi="ＭＳ 明朝" w:eastAsia="ＭＳ 明朝"/>
          <w:b w:val="1"/>
          <w:color w:val="auto"/>
          <w:highlight w:val="none"/>
          <w:u w:val="none" w:color="auto"/>
        </w:rPr>
        <w:t>　</w:t>
      </w:r>
    </w:p>
    <w:p>
      <w:pPr>
        <w:pStyle w:val="0"/>
        <w:snapToGrid w:val="0"/>
        <w:spacing w:line="240" w:lineRule="auto"/>
        <w:ind w:left="680" w:leftChars="204" w:hanging="238" w:hangingChars="115"/>
        <w:rPr>
          <w:rFonts w:hint="eastAsia" w:ascii="ＭＳ 明朝" w:hAnsi="ＭＳ 明朝" w:eastAsia="ＭＳ 明朝"/>
          <w:color w:val="auto"/>
          <w:sz w:val="16"/>
          <w:highlight w:val="none"/>
          <w:u w:val="none" w:color="auto"/>
        </w:rPr>
      </w:pPr>
      <w:r>
        <w:rPr>
          <w:rFonts w:hint="eastAsia" w:ascii="ＭＳ 明朝" w:hAnsi="ＭＳ 明朝" w:eastAsia="ＭＳ 明朝"/>
          <w:color w:val="auto"/>
          <w:sz w:val="16"/>
          <w:highlight w:val="none"/>
          <w:u w:val="none" w:color="auto"/>
        </w:rPr>
        <w:t>※</w:t>
      </w:r>
      <w:r>
        <w:rPr>
          <w:rFonts w:hint="eastAsia" w:ascii="ＭＳ 明朝" w:hAnsi="ＭＳ 明朝" w:eastAsia="ＭＳ 明朝"/>
          <w:color w:val="auto"/>
          <w:sz w:val="16"/>
          <w:highlight w:val="none"/>
          <w:u w:val="none" w:color="auto"/>
        </w:rPr>
        <w:t xml:space="preserve"> </w:t>
      </w:r>
      <w:r>
        <w:rPr>
          <w:rFonts w:hint="eastAsia" w:ascii="ＭＳ 明朝" w:hAnsi="ＭＳ 明朝" w:eastAsia="ＭＳ 明朝"/>
          <w:color w:val="auto"/>
          <w:sz w:val="16"/>
          <w:highlight w:val="none"/>
          <w:u w:val="none" w:color="auto"/>
        </w:rPr>
        <w:t>要件（</w:t>
      </w:r>
      <w:r>
        <w:rPr>
          <w:rFonts w:hint="eastAsia" w:ascii="ＭＳ 明朝" w:hAnsi="ＭＳ 明朝" w:eastAsia="ＭＳ 明朝"/>
          <w:color w:val="auto"/>
          <w:sz w:val="16"/>
          <w:highlight w:val="none"/>
          <w:u w:val="none" w:color="auto"/>
        </w:rPr>
        <w:t>7</w:t>
      </w:r>
      <w:r>
        <w:rPr>
          <w:rFonts w:hint="eastAsia" w:ascii="ＭＳ 明朝" w:hAnsi="ＭＳ 明朝" w:eastAsia="ＭＳ 明朝"/>
          <w:color w:val="auto"/>
          <w:sz w:val="16"/>
          <w:highlight w:val="none"/>
          <w:u w:val="none" w:color="auto"/>
        </w:rPr>
        <w:t>）については、一部要件を満たしていない医療機関についても現在果たしている役割を考慮し、本計画策定時においては、脳卒中センターとして記載を行う。</w:t>
      </w:r>
    </w:p>
    <w:p>
      <w:pPr>
        <w:pStyle w:val="0"/>
        <w:spacing w:line="240" w:lineRule="auto"/>
        <w:ind w:left="453" w:leftChars="200" w:firstLine="207" w:firstLineChars="100"/>
        <w:rPr>
          <w:rFonts w:hint="eastAsia" w:ascii="ＭＳ 明朝" w:hAnsi="ＭＳ 明朝" w:eastAsia="ＭＳ 明朝"/>
          <w:color w:val="003EFF"/>
          <w:sz w:val="20"/>
          <w:highlight w:val="none"/>
          <w:u w:val="none" w:color="auto"/>
        </w:rPr>
      </w:pPr>
    </w:p>
    <w:p>
      <w:pPr>
        <w:pStyle w:val="0"/>
        <w:spacing w:before="160" w:beforeLines="50" w:beforeAutospacing="0" w:line="240" w:lineRule="auto"/>
        <w:ind w:firstLine="228" w:firstLineChars="100"/>
        <w:rPr>
          <w:rFonts w:hint="eastAsia" w:ascii="ＭＳ 明朝" w:hAnsi="ＭＳ 明朝" w:eastAsia="ＭＳ 明朝"/>
          <w:b w:val="1"/>
          <w:color w:val="auto"/>
          <w:highlight w:val="none"/>
        </w:rPr>
      </w:pPr>
      <w:r>
        <w:rPr>
          <w:rFonts w:hint="eastAsia" w:ascii="ＭＳ 明朝" w:hAnsi="ＭＳ 明朝" w:eastAsia="ＭＳ 明朝"/>
          <w:highlight w:val="none"/>
        </w:rPr>
        <w:br w:type="page"/>
      </w:r>
    </w:p>
    <w:p>
      <w:pPr>
        <w:pStyle w:val="0"/>
        <w:spacing w:before="160" w:beforeLines="50" w:beforeAutospacing="0" w:line="240" w:lineRule="auto"/>
        <w:ind w:firstLine="228" w:firstLineChars="100"/>
        <w:rPr>
          <w:rFonts w:hint="eastAsia" w:ascii="ＭＳ 明朝" w:hAnsi="ＭＳ 明朝" w:eastAsia="ＭＳ 明朝"/>
          <w:b w:val="1"/>
          <w:color w:val="auto"/>
          <w:highlight w:val="none"/>
        </w:rPr>
      </w:pPr>
      <w:r>
        <w:rPr>
          <w:rFonts w:hint="eastAsia" w:ascii="ＭＳ 明朝" w:hAnsi="ＭＳ 明朝" w:eastAsia="ＭＳ 明朝"/>
          <w:b w:val="1"/>
          <w:color w:val="auto"/>
          <w:highlight w:val="none"/>
        </w:rPr>
        <w:t>２　脳卒中支援病院</w:t>
      </w:r>
    </w:p>
    <w:p>
      <w:pPr>
        <w:pStyle w:val="0"/>
        <w:spacing w:line="240" w:lineRule="auto"/>
        <w:ind w:left="455" w:leftChars="210" w:firstLine="197" w:firstLineChars="91"/>
        <w:rPr>
          <w:rFonts w:hint="eastAsia" w:ascii="ＭＳ 明朝" w:hAnsi="ＭＳ 明朝" w:eastAsia="ＭＳ 明朝"/>
          <w:color w:val="auto"/>
          <w:kern w:val="0"/>
          <w:highlight w:val="none"/>
        </w:rPr>
      </w:pPr>
      <w:r>
        <w:rPr>
          <w:rFonts w:hint="eastAsia" w:ascii="ＭＳ 明朝" w:hAnsi="ＭＳ 明朝" w:eastAsia="ＭＳ 明朝"/>
          <w:color w:val="auto"/>
          <w:kern w:val="0"/>
          <w:highlight w:val="none"/>
        </w:rPr>
        <w:t>脳卒中センターと連携し、脳卒中の急性期患者を受け入れる地域の医療機関で、脳卒中患者への初期処置、全身状態安定後の治療及び急性期のリハビリテーションなど、比較的症状の軽い患者の処置などを行います。</w:t>
      </w:r>
    </w:p>
    <w:p>
      <w:pPr>
        <w:pStyle w:val="0"/>
        <w:spacing w:line="240" w:lineRule="auto"/>
        <w:ind w:left="453" w:leftChars="200"/>
        <w:rPr>
          <w:rFonts w:hint="eastAsia" w:ascii="ＭＳ 明朝" w:hAnsi="ＭＳ 明朝" w:eastAsia="ＭＳ 明朝"/>
          <w:color w:val="auto"/>
          <w:kern w:val="0"/>
          <w:highlight w:val="none"/>
        </w:rPr>
      </w:pPr>
    </w:p>
    <w:p>
      <w:pPr>
        <w:pStyle w:val="0"/>
        <w:spacing w:line="240" w:lineRule="auto"/>
        <w:ind w:firstLine="413" w:firstLineChars="200"/>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【要件】</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sz w:val="20"/>
          <w:highlight w:val="none"/>
        </w:rPr>
        <w:t>(1)</w:t>
      </w:r>
      <w:r>
        <w:rPr>
          <w:rFonts w:hint="eastAsia" w:ascii="ＭＳ 明朝" w:hAnsi="ＭＳ 明朝" w:eastAsia="ＭＳ 明朝"/>
          <w:color w:val="auto"/>
          <w:sz w:val="20"/>
          <w:highlight w:val="none"/>
        </w:rPr>
        <w:t>　</w:t>
      </w:r>
      <w:r>
        <w:rPr>
          <w:rFonts w:hint="eastAsia" w:ascii="ＭＳ 明朝" w:hAnsi="ＭＳ 明朝" w:eastAsia="ＭＳ 明朝"/>
          <w:color w:val="auto"/>
          <w:kern w:val="0"/>
          <w:sz w:val="20"/>
          <w:highlight w:val="none"/>
        </w:rPr>
        <w:t>脳卒中の急性期患者を受け入れ可能である。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(2)</w:t>
      </w:r>
      <w:r>
        <w:rPr>
          <w:rFonts w:hint="eastAsia" w:ascii="ＭＳ 明朝" w:hAnsi="ＭＳ 明朝" w:eastAsia="ＭＳ 明朝"/>
          <w:color w:val="auto"/>
          <w:kern w:val="0"/>
          <w:sz w:val="20"/>
          <w:highlight w:val="none"/>
        </w:rPr>
        <w:t>　ＣＴを有する。</w:t>
      </w:r>
    </w:p>
    <w:p>
      <w:pPr>
        <w:pStyle w:val="0"/>
        <w:spacing w:line="240" w:lineRule="auto"/>
        <w:ind w:firstLine="413" w:firstLineChars="200"/>
        <w:rPr>
          <w:rFonts w:hint="eastAsia" w:ascii="ＭＳ 明朝" w:hAnsi="ＭＳ 明朝" w:eastAsia="ＭＳ 明朝"/>
          <w:color w:val="auto"/>
          <w:kern w:val="0"/>
          <w:sz w:val="20"/>
          <w:highlight w:val="none"/>
        </w:rPr>
      </w:pPr>
      <w:r>
        <w:rPr>
          <w:rFonts w:hint="eastAsia" w:ascii="ＭＳ 明朝" w:hAnsi="ＭＳ 明朝" w:eastAsia="ＭＳ 明朝"/>
          <w:color w:val="auto"/>
          <w:kern w:val="0"/>
          <w:sz w:val="20"/>
          <w:highlight w:val="none"/>
        </w:rPr>
        <w:t>(3)</w:t>
      </w:r>
      <w:r>
        <w:rPr>
          <w:rFonts w:hint="eastAsia" w:ascii="ＭＳ 明朝" w:hAnsi="ＭＳ 明朝" w:eastAsia="ＭＳ 明朝"/>
          <w:color w:val="auto"/>
          <w:kern w:val="0"/>
          <w:sz w:val="20"/>
          <w:highlight w:val="none"/>
        </w:rPr>
        <w:t>　脳卒中センターなどが開催する脳卒中急性期医療に関する研修会に参加している。</w:t>
      </w:r>
    </w:p>
    <w:p>
      <w:pPr>
        <w:pStyle w:val="0"/>
        <w:ind w:firstLine="433" w:firstLineChars="200"/>
        <w:jc w:val="center"/>
        <w:rPr>
          <w:rFonts w:hint="eastAsia" w:ascii="ＭＳ 明朝" w:hAnsi="ＭＳ 明朝" w:eastAsia="ＭＳ 明朝"/>
          <w:color w:val="auto"/>
          <w:kern w:val="0"/>
          <w:sz w:val="21"/>
          <w:highlight w:val="none"/>
        </w:rPr>
      </w:pPr>
    </w:p>
    <w:p>
      <w:pPr>
        <w:pStyle w:val="0"/>
        <w:ind w:firstLine="433" w:firstLineChars="200"/>
        <w:jc w:val="center"/>
        <w:rPr>
          <w:rFonts w:hint="eastAsia" w:ascii="ＭＳ 明朝" w:hAnsi="ＭＳ 明朝" w:eastAsia="ＭＳ 明朝"/>
          <w:color w:val="auto"/>
          <w:kern w:val="0"/>
          <w:sz w:val="21"/>
          <w:highlight w:val="none"/>
        </w:rPr>
      </w:pPr>
      <w:r>
        <w:rPr>
          <w:rFonts w:hint="eastAsia" w:ascii="ＭＳ ゴシック" w:hAnsi="ＭＳ ゴシック" w:eastAsia="ＭＳ ゴシック"/>
          <w:color w:val="auto"/>
          <w:kern w:val="0"/>
          <w:sz w:val="22"/>
          <w:highlight w:val="none"/>
        </w:rPr>
        <w:t>（図表</w:t>
      </w:r>
      <w:r>
        <w:rPr>
          <w:rFonts w:hint="eastAsia" w:ascii="ＭＳ ゴシック" w:hAnsi="ＭＳ ゴシック" w:eastAsia="ＭＳ ゴシック"/>
          <w:color w:val="auto"/>
          <w:kern w:val="0"/>
          <w:sz w:val="22"/>
          <w:highlight w:val="none"/>
        </w:rPr>
        <w:t>6-2-37</w:t>
      </w:r>
      <w:r>
        <w:rPr>
          <w:rFonts w:hint="eastAsia" w:ascii="ＭＳ ゴシック" w:hAnsi="ＭＳ ゴシック" w:eastAsia="ＭＳ ゴシック"/>
          <w:color w:val="auto"/>
          <w:kern w:val="0"/>
          <w:sz w:val="22"/>
          <w:highlight w:val="none"/>
        </w:rPr>
        <w:t>）脳卒中支援病院</w:t>
      </w:r>
    </w:p>
    <w:tbl>
      <w:tblPr>
        <w:tblStyle w:val="44"/>
        <w:tblW w:w="8646" w:type="dxa"/>
        <w:jc w:val="left"/>
        <w:tblInd w:w="534" w:type="dxa"/>
        <w:tblLayout w:type="fixed"/>
        <w:tblLook w:firstRow="1" w:lastRow="0" w:firstColumn="1" w:lastColumn="0" w:noHBand="0" w:noVBand="1" w:val="04A0"/>
      </w:tblPr>
      <w:tblGrid>
        <w:gridCol w:w="1275"/>
        <w:gridCol w:w="7371"/>
      </w:tblGrid>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保健医療圏</w:t>
            </w:r>
          </w:p>
        </w:tc>
        <w:tc>
          <w:tcPr>
            <w:tcW w:w="7371"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医　療　機　関</w:t>
            </w:r>
          </w:p>
        </w:tc>
      </w:tr>
      <w:tr>
        <w:trPr>
          <w:trHeight w:val="454" w:hRule="atLeast"/>
        </w:trPr>
        <w:tc>
          <w:tcPr>
            <w:tcW w:w="1275" w:type="dxa"/>
            <w:shd w:val="clear" w:color="auto" w:fill="DAEEF3"/>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安芸</w:t>
            </w:r>
            <w:r>
              <w:rPr>
                <w:rFonts w:hint="eastAsia" w:ascii="ＭＳ 明朝" w:hAnsi="ＭＳ 明朝" w:eastAsia="ＭＳ 明朝"/>
                <w:color w:val="auto"/>
                <w:sz w:val="20"/>
                <w:highlight w:val="none"/>
                <w:u w:val="none" w:color="auto"/>
              </w:rPr>
              <w:t>(2)</w:t>
            </w:r>
          </w:p>
        </w:tc>
        <w:tc>
          <w:tcPr>
            <w:tcW w:w="7371" w:type="dxa"/>
            <w:vAlign w:val="center"/>
          </w:tcPr>
          <w:p>
            <w:pPr>
              <w:pStyle w:val="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田野病院　　森澤病院</w:t>
            </w:r>
          </w:p>
        </w:tc>
      </w:tr>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r>
              <w:rPr>
                <w:rFonts w:hint="eastAsia" w:ascii="ＭＳ 明朝" w:hAnsi="ＭＳ 明朝" w:eastAsia="ＭＳ 明朝"/>
                <w:color w:val="auto"/>
                <w:sz w:val="20"/>
                <w:highlight w:val="none"/>
              </w:rPr>
              <w:t>(11)</w:t>
            </w:r>
          </w:p>
        </w:tc>
        <w:tc>
          <w:tcPr>
            <w:tcW w:w="7371" w:type="dxa"/>
            <w:vAlign w:val="center"/>
          </w:tcPr>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高知脳神経外科病院　　内田脳神経外科　　高知生協病院　　図南病院　　</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細木病院　　野市中央病院　　</w:t>
            </w:r>
            <w:r>
              <w:rPr>
                <w:rFonts w:hint="eastAsia" w:ascii="ＭＳ 明朝" w:hAnsi="ＭＳ 明朝" w:eastAsia="ＭＳ 明朝"/>
                <w:color w:val="auto"/>
                <w:sz w:val="20"/>
                <w:highlight w:val="none"/>
              </w:rPr>
              <w:t>JA</w:t>
            </w:r>
            <w:r>
              <w:rPr>
                <w:rFonts w:hint="eastAsia" w:ascii="ＭＳ 明朝" w:hAnsi="ＭＳ 明朝" w:eastAsia="ＭＳ 明朝"/>
                <w:color w:val="auto"/>
                <w:sz w:val="20"/>
                <w:highlight w:val="none"/>
              </w:rPr>
              <w:t>高知病院　　南国中央病院</w:t>
            </w:r>
          </w:p>
          <w:p>
            <w:pPr>
              <w:pStyle w:val="0"/>
              <w:ind w:firstLineChars="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嶺北中央病院　　土佐市民病院　　北島病院</w:t>
            </w:r>
          </w:p>
        </w:tc>
      </w:tr>
      <w:tr>
        <w:trPr>
          <w:trHeight w:val="470" w:hRule="atLeast"/>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高幡</w:t>
            </w:r>
            <w:r>
              <w:rPr>
                <w:rFonts w:hint="eastAsia" w:ascii="ＭＳ 明朝" w:hAnsi="ＭＳ 明朝" w:eastAsia="ＭＳ 明朝"/>
                <w:color w:val="auto"/>
                <w:sz w:val="20"/>
                <w:highlight w:val="none"/>
              </w:rPr>
              <w:t>(3)</w:t>
            </w:r>
          </w:p>
        </w:tc>
        <w:tc>
          <w:tcPr>
            <w:tcW w:w="7371" w:type="dxa"/>
            <w:vAlign w:val="center"/>
          </w:tcPr>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須崎くろしお病院　　梼原病院　　くぼかわ病院</w:t>
            </w:r>
          </w:p>
        </w:tc>
      </w:tr>
      <w:tr>
        <w:trPr>
          <w:trHeight w:val="454" w:hRule="atLeast"/>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幡多</w:t>
            </w:r>
            <w:r>
              <w:rPr>
                <w:rFonts w:hint="eastAsia" w:ascii="ＭＳ 明朝" w:hAnsi="ＭＳ 明朝" w:eastAsia="ＭＳ 明朝"/>
                <w:color w:val="auto"/>
                <w:sz w:val="20"/>
                <w:highlight w:val="none"/>
              </w:rPr>
              <w:t>(3)</w:t>
            </w:r>
          </w:p>
        </w:tc>
        <w:tc>
          <w:tcPr>
            <w:tcW w:w="7371" w:type="dxa"/>
            <w:vAlign w:val="center"/>
          </w:tcPr>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四万十市立市民病院　　竹本病院　　渭南病院</w:t>
            </w:r>
          </w:p>
        </w:tc>
      </w:tr>
    </w:tbl>
    <w:p>
      <w:pPr>
        <w:pStyle w:val="0"/>
        <w:spacing w:line="0" w:lineRule="atLeast"/>
        <w:ind w:firstLine="6003" w:firstLineChars="3600"/>
        <w:rPr>
          <w:rFonts w:hint="eastAsia" w:ascii="ＭＳ 明朝" w:hAnsi="ＭＳ 明朝" w:eastAsia="ＭＳ 明朝"/>
          <w:color w:val="auto"/>
          <w:sz w:val="16"/>
          <w:highlight w:val="none"/>
        </w:rPr>
      </w:pP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令和４年</w:t>
      </w:r>
      <w:r>
        <w:rPr>
          <w:rFonts w:hint="eastAsia" w:ascii="ＭＳ 明朝" w:hAnsi="ＭＳ 明朝" w:eastAsia="ＭＳ 明朝"/>
          <w:color w:val="auto"/>
          <w:sz w:val="16"/>
          <w:highlight w:val="none"/>
        </w:rPr>
        <w:t>高知県脳卒中患者調査</w:t>
      </w:r>
    </w:p>
    <w:p>
      <w:pPr>
        <w:pStyle w:val="0"/>
        <w:spacing w:line="0" w:lineRule="atLeast"/>
        <w:ind w:firstLine="6003" w:firstLineChars="3600"/>
        <w:rPr>
          <w:rFonts w:hint="eastAsia" w:ascii="ＭＳ 明朝" w:hAnsi="ＭＳ 明朝" w:eastAsia="ＭＳ 明朝"/>
          <w:color w:val="auto"/>
          <w:sz w:val="16"/>
          <w:highlight w:val="none"/>
        </w:rPr>
      </w:pPr>
    </w:p>
    <w:p>
      <w:pPr>
        <w:pStyle w:val="0"/>
        <w:spacing w:before="160" w:beforeLines="50" w:beforeAutospacing="0" w:line="240" w:lineRule="auto"/>
        <w:ind w:firstLine="228" w:firstLineChars="100"/>
        <w:rPr>
          <w:rFonts w:hint="eastAsia" w:ascii="ＭＳ 明朝" w:hAnsi="ＭＳ 明朝" w:eastAsia="ＭＳ 明朝"/>
          <w:b w:val="1"/>
          <w:color w:val="auto"/>
          <w:highlight w:val="none"/>
        </w:rPr>
      </w:pPr>
      <w:r>
        <w:rPr>
          <w:rFonts w:hint="eastAsia" w:ascii="ＭＳ 明朝" w:hAnsi="ＭＳ 明朝" w:eastAsia="ＭＳ 明朝"/>
          <w:b w:val="1"/>
          <w:color w:val="auto"/>
          <w:highlight w:val="none"/>
        </w:rPr>
        <w:t>３　回復期、維持期のリハビリテーションの機能を有する医療機関</w:t>
      </w:r>
    </w:p>
    <w:p>
      <w:pPr>
        <w:pStyle w:val="0"/>
        <w:spacing w:line="240" w:lineRule="auto"/>
        <w:ind w:left="569" w:hanging="569" w:hangingChars="250"/>
        <w:rPr>
          <w:rFonts w:hint="eastAsia" w:ascii="ＭＳ 明朝" w:hAnsi="ＭＳ 明朝" w:eastAsia="ＭＳ 明朝"/>
          <w:color w:val="auto"/>
          <w:highlight w:val="none"/>
        </w:rPr>
      </w:pPr>
      <w:r>
        <w:rPr>
          <w:rFonts w:hint="eastAsia" w:ascii="ＭＳ 明朝" w:hAnsi="ＭＳ 明朝" w:eastAsia="ＭＳ 明朝"/>
          <w:b w:val="1"/>
          <w:color w:val="auto"/>
          <w:highlight w:val="none"/>
        </w:rPr>
        <w:t xml:space="preserve">    </w:t>
      </w:r>
      <w:r>
        <w:rPr>
          <w:rFonts w:hint="eastAsia" w:ascii="ＭＳ 明朝" w:hAnsi="ＭＳ 明朝" w:eastAsia="ＭＳ 明朝"/>
          <w:b w:val="1"/>
          <w:color w:val="auto"/>
          <w:highlight w:val="none"/>
        </w:rPr>
        <w:t>　</w:t>
      </w:r>
      <w:r>
        <w:rPr>
          <w:rFonts w:hint="eastAsia" w:ascii="ＭＳ 明朝" w:hAnsi="ＭＳ 明朝" w:eastAsia="ＭＳ 明朝"/>
          <w:color w:val="auto"/>
          <w:highlight w:val="none"/>
        </w:rPr>
        <w:t>回復期のリハビリテーション、回復した機能や残存した機能を活用し、生活機能</w:t>
      </w:r>
    </w:p>
    <w:p>
      <w:pPr>
        <w:pStyle w:val="0"/>
        <w:spacing w:line="240" w:lineRule="auto"/>
        <w:ind w:left="566" w:leftChars="200" w:hanging="113" w:hangingChars="50"/>
        <w:rPr>
          <w:rFonts w:hint="eastAsia" w:ascii="ＭＳ 明朝" w:hAnsi="ＭＳ 明朝" w:eastAsia="ＭＳ 明朝"/>
          <w:color w:val="auto"/>
          <w:highlight w:val="none"/>
        </w:rPr>
      </w:pPr>
      <w:r>
        <w:rPr>
          <w:rFonts w:hint="eastAsia" w:ascii="ＭＳ 明朝" w:hAnsi="ＭＳ 明朝" w:eastAsia="ＭＳ 明朝"/>
          <w:color w:val="auto"/>
          <w:highlight w:val="none"/>
        </w:rPr>
        <w:t>維持・向上を目指した維持期のリハビリテーションを行います。</w:t>
      </w:r>
    </w:p>
    <w:p>
      <w:pPr>
        <w:pStyle w:val="0"/>
        <w:spacing w:before="160" w:beforeLines="50" w:beforeAutospacing="0" w:line="240" w:lineRule="auto"/>
        <w:jc w:val="center"/>
        <w:rPr>
          <w:rFonts w:hint="eastAsia" w:ascii="ＭＳ 明朝" w:hAnsi="ＭＳ 明朝" w:eastAsia="ＭＳ 明朝"/>
          <w:color w:val="auto"/>
          <w:sz w:val="21"/>
          <w:highlight w:val="none"/>
        </w:rPr>
      </w:pPr>
      <w:r>
        <w:rPr>
          <w:rFonts w:hint="eastAsia" w:ascii="ＭＳ ゴシック" w:hAnsi="ＭＳ ゴシック" w:eastAsia="ＭＳ ゴシック"/>
          <w:color w:val="auto"/>
          <w:sz w:val="22"/>
          <w:highlight w:val="none"/>
        </w:rPr>
        <w:t>（図表</w:t>
      </w:r>
      <w:r>
        <w:rPr>
          <w:rFonts w:hint="eastAsia" w:ascii="ＭＳ ゴシック" w:hAnsi="ＭＳ ゴシック" w:eastAsia="ＭＳ ゴシック"/>
          <w:color w:val="auto"/>
          <w:sz w:val="22"/>
          <w:highlight w:val="none"/>
        </w:rPr>
        <w:t>6-2-38</w:t>
      </w:r>
      <w:r>
        <w:rPr>
          <w:rFonts w:hint="eastAsia" w:ascii="ＭＳ ゴシック" w:hAnsi="ＭＳ ゴシック" w:eastAsia="ＭＳ ゴシック"/>
          <w:color w:val="auto"/>
          <w:sz w:val="22"/>
          <w:highlight w:val="none"/>
        </w:rPr>
        <w:t>）脳血管疾患等リハビリテーション料の届出がある医療機関</w:t>
      </w:r>
    </w:p>
    <w:tbl>
      <w:tblPr>
        <w:tblStyle w:val="44"/>
        <w:tblW w:w="8541" w:type="dxa"/>
        <w:jc w:val="left"/>
        <w:tblInd w:w="534" w:type="dxa"/>
        <w:tblLayout w:type="fixed"/>
        <w:tblLook w:firstRow="1" w:lastRow="0" w:firstColumn="1" w:lastColumn="0" w:noHBand="0" w:noVBand="1" w:val="04A0"/>
      </w:tblPr>
      <w:tblGrid>
        <w:gridCol w:w="1275"/>
        <w:gridCol w:w="7266"/>
      </w:tblGrid>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保健医療圏</w:t>
            </w:r>
          </w:p>
        </w:tc>
        <w:tc>
          <w:tcPr>
            <w:tcW w:w="7266"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医　療　機　関</w:t>
            </w:r>
          </w:p>
        </w:tc>
      </w:tr>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安芸</w:t>
            </w:r>
            <w:r>
              <w:rPr>
                <w:rFonts w:hint="eastAsia" w:ascii="ＭＳ 明朝" w:hAnsi="ＭＳ 明朝" w:eastAsia="ＭＳ 明朝"/>
                <w:color w:val="auto"/>
                <w:sz w:val="20"/>
                <w:highlight w:val="none"/>
                <w:u w:val="none" w:color="auto"/>
              </w:rPr>
              <w:t>(8)</w:t>
            </w:r>
          </w:p>
        </w:tc>
        <w:tc>
          <w:tcPr>
            <w:tcW w:w="7266" w:type="dxa"/>
            <w:vAlign w:val="center"/>
          </w:tcPr>
          <w:p>
            <w:pPr>
              <w:pStyle w:val="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あき総合病院　　芸西病院　　田野病院　　森澤病院　　はまうづ医院</w:t>
            </w:r>
          </w:p>
          <w:p>
            <w:pPr>
              <w:pStyle w:val="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室戸中央病院　　芸西オルソクリニック　　室戸診療所</w:t>
            </w:r>
          </w:p>
        </w:tc>
      </w:tr>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中央</w:t>
            </w:r>
            <w:r>
              <w:rPr>
                <w:rFonts w:hint="eastAsia" w:ascii="ＭＳ 明朝" w:hAnsi="ＭＳ 明朝" w:eastAsia="ＭＳ 明朝"/>
                <w:color w:val="auto"/>
                <w:sz w:val="20"/>
                <w:highlight w:val="none"/>
              </w:rPr>
              <w:t>(90)</w:t>
            </w:r>
          </w:p>
        </w:tc>
        <w:tc>
          <w:tcPr>
            <w:tcW w:w="7266" w:type="dxa"/>
            <w:vAlign w:val="center"/>
          </w:tcPr>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国吉病院　　岡村病院　　近森病院　　野並会高知病院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だいいちリハビリテーション病院　　高知記念病院　　平田病院　　南病院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潮江高橋病院　　長浜病院　　川村病院　　高知厚生病院　　土佐田村病院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上町病院　　海里マリン病院　　図南病院　　愛宕病院　　朝倉病院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高知整形・脳外科病院　　高知城東病院　　高知西病院　　細木病院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三愛病院　　愛宕病院分院　　岡林病院　　田中整形外科病院　　横浜病院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久病院　　高知総合リハビリテーション病院　　高知生協病院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内田脳神経外科　　山村病院　　高知脳神経外科病院　　木村病院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島津病院　　島本病院　　もみのき病院　　田村内科整形外科病院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中ノ橋病院　　もりもと整形外科・内科　　梅ノ辻クリニック</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いずみの病院　　高知高須病院　　クリニックひろと　　高知医療センター</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うしおえ太陽クリニック　　永井病院　　すこやかな杜　療育福祉センター</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みなみの風診療所　　中内整形外科クリニック　　きんろう病院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近森リハビリテーション病院　　近森オルソリハビリテーション病院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竹下病院　　島崎クリニック　　高知赤十字病院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ともざわ整形外科・リウマチクリニック　　北村病院　　南国病院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藤原病院　　南国中央病院　　ＪＡ高知病院　　南国厚生病院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土佐市民病院　　白菊園病院　　井上病院　　川田整形外科</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ひろせ整形外科リハビリテーションクリニック　　野市中央病院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野市整形外科医院　　香長中央病院　　同仁病院　　岩河整形外科</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香北病院　　前田メディカルクリニック　　嶺北中央病院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大杉中央病院　　早明浦病院　　さくら病院　　仁淀病院　　大崎診療所</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高北国民健康保険病院　　山﨑外科・整形外科病院　　清和病院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北島病院　　前田病院　　山﨑病院　　国立病院機構高知病院</w:t>
            </w:r>
          </w:p>
          <w:p>
            <w:pPr>
              <w:pStyle w:val="0"/>
              <w:jc w:val="both"/>
              <w:rPr>
                <w:rFonts w:hint="eastAsia" w:ascii="ＭＳ 明朝" w:hAnsi="ＭＳ 明朝" w:eastAsia="ＭＳ 明朝"/>
                <w:color w:val="auto"/>
                <w:sz w:val="20"/>
                <w:highlight w:val="none"/>
              </w:rPr>
            </w:pPr>
            <w:r>
              <w:rPr>
                <w:rFonts w:hint="eastAsia" w:ascii="ＭＳ 明朝" w:hAnsi="ＭＳ 明朝" w:eastAsia="ＭＳ 明朝"/>
                <w:color w:val="auto"/>
                <w:sz w:val="20"/>
                <w:highlight w:val="none"/>
              </w:rPr>
              <w:t>高知大学医学部附属病院</w:t>
            </w:r>
          </w:p>
        </w:tc>
      </w:tr>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高幡</w:t>
            </w:r>
            <w:r>
              <w:rPr>
                <w:rFonts w:hint="eastAsia" w:ascii="ＭＳ 明朝" w:hAnsi="ＭＳ 明朝" w:eastAsia="ＭＳ 明朝"/>
                <w:color w:val="auto"/>
                <w:sz w:val="20"/>
                <w:highlight w:val="none"/>
                <w:u w:val="none" w:color="auto"/>
              </w:rPr>
              <w:t>(7)</w:t>
            </w:r>
          </w:p>
        </w:tc>
        <w:tc>
          <w:tcPr>
            <w:tcW w:w="7266" w:type="dxa"/>
            <w:vAlign w:val="center"/>
          </w:tcPr>
          <w:p>
            <w:pPr>
              <w:pStyle w:val="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ネオリゾートちひろ病院　　高陵病院　　須崎くろしお病院</w:t>
            </w:r>
          </w:p>
          <w:p>
            <w:pPr>
              <w:pStyle w:val="0"/>
              <w:jc w:val="both"/>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大西病院　　くぼかわ病院　　梼原病院　　大正診療所</w:t>
            </w:r>
          </w:p>
        </w:tc>
      </w:tr>
      <w:tr>
        <w:trPr/>
        <w:tc>
          <w:tcPr>
            <w:tcW w:w="1275" w:type="dxa"/>
            <w:shd w:val="clear" w:color="auto" w:fill="DAEEF3"/>
            <w:vAlign w:val="center"/>
          </w:tcPr>
          <w:p>
            <w:pPr>
              <w:pStyle w:val="0"/>
              <w:jc w:val="center"/>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幡多</w:t>
            </w:r>
            <w:r>
              <w:rPr>
                <w:rFonts w:hint="eastAsia" w:ascii="ＭＳ 明朝" w:hAnsi="ＭＳ 明朝" w:eastAsia="ＭＳ 明朝"/>
                <w:color w:val="auto"/>
                <w:sz w:val="20"/>
                <w:highlight w:val="none"/>
                <w:u w:val="none" w:color="auto"/>
              </w:rPr>
              <w:t>(16)</w:t>
            </w:r>
          </w:p>
        </w:tc>
        <w:tc>
          <w:tcPr>
            <w:tcW w:w="7266" w:type="dxa"/>
            <w:vAlign w:val="center"/>
          </w:tcPr>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中村病院　　木俵病院　　中村クリニック　　森下病院</w:t>
            </w:r>
          </w:p>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四万十市立市民病院　　西土佐診療所　　竹本病院　　幡多クリニック</w:t>
            </w:r>
          </w:p>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渭南病院　　松谷病院　　足摺病院　　聖ケ丘病院　　大井田病院</w:t>
            </w:r>
          </w:p>
          <w:p>
            <w:pPr>
              <w:pStyle w:val="0"/>
              <w:rPr>
                <w:rFonts w:hint="eastAsia" w:ascii="ＭＳ 明朝" w:hAnsi="ＭＳ 明朝" w:eastAsia="ＭＳ 明朝"/>
                <w:color w:val="auto"/>
                <w:sz w:val="20"/>
                <w:highlight w:val="none"/>
                <w:u w:val="none" w:color="auto"/>
              </w:rPr>
            </w:pPr>
            <w:r>
              <w:rPr>
                <w:rFonts w:hint="eastAsia" w:ascii="ＭＳ 明朝" w:hAnsi="ＭＳ 明朝" w:eastAsia="ＭＳ 明朝"/>
                <w:color w:val="auto"/>
                <w:sz w:val="20"/>
                <w:highlight w:val="none"/>
                <w:u w:val="none" w:color="auto"/>
              </w:rPr>
              <w:t>筒井病院　　幡多けんみん病院　　大月病院</w:t>
            </w:r>
          </w:p>
        </w:tc>
      </w:tr>
    </w:tbl>
    <w:p>
      <w:pPr>
        <w:pStyle w:val="0"/>
        <w:spacing w:line="0" w:lineRule="atLeast"/>
        <w:ind w:firstLine="373" w:firstLineChars="200"/>
        <w:jc w:val="right"/>
        <w:rPr>
          <w:rFonts w:hint="default" w:asciiTheme="minorEastAsia" w:hAnsiTheme="minorEastAsia"/>
          <w:color w:val="auto"/>
          <w:sz w:val="18"/>
          <w:highlight w:val="none"/>
        </w:rPr>
      </w:pPr>
      <w:r>
        <w:rPr>
          <w:rFonts w:hint="eastAsia" w:ascii="ＭＳ 明朝" w:hAnsi="ＭＳ 明朝" w:eastAsia="ＭＳ 明朝"/>
          <w:color w:val="auto"/>
          <w:sz w:val="16"/>
          <w:highlight w:val="none"/>
        </w:rPr>
        <w:t>出典：</w:t>
      </w:r>
      <w:r>
        <w:rPr>
          <w:rFonts w:hint="eastAsia" w:ascii="ＭＳ 明朝" w:hAnsi="ＭＳ 明朝" w:eastAsia="ＭＳ 明朝"/>
          <w:color w:val="auto"/>
          <w:sz w:val="16"/>
          <w:highlight w:val="none"/>
          <w:u w:val="none" w:color="auto"/>
        </w:rPr>
        <w:t>四国厚生支局　施設基準の届出受理状況（令和５年</w:t>
      </w:r>
      <w:r>
        <w:rPr>
          <w:rFonts w:hint="eastAsia" w:ascii="ＭＳ 明朝" w:hAnsi="ＭＳ 明朝" w:eastAsia="ＭＳ 明朝"/>
          <w:color w:val="auto"/>
          <w:sz w:val="16"/>
          <w:highlight w:val="none"/>
          <w:u w:val="none" w:color="auto"/>
        </w:rPr>
        <w:t>10</w:t>
      </w:r>
      <w:r>
        <w:rPr>
          <w:rFonts w:hint="eastAsia" w:ascii="ＭＳ 明朝" w:hAnsi="ＭＳ 明朝" w:eastAsia="ＭＳ 明朝"/>
          <w:color w:val="auto"/>
          <w:sz w:val="16"/>
          <w:highlight w:val="none"/>
          <w:u w:val="none" w:color="auto"/>
        </w:rPr>
        <w:t>月現在）</w:t>
      </w:r>
    </w:p>
    <w:p>
      <w:pPr>
        <w:pStyle w:val="0"/>
        <w:rPr>
          <w:rFonts w:hint="default" w:asciiTheme="minorEastAsia" w:hAnsiTheme="minorEastAsia"/>
          <w:color w:val="auto"/>
          <w:highlight w:val="none"/>
        </w:rPr>
      </w:pPr>
    </w:p>
    <w:p>
      <w:pPr>
        <w:pStyle w:val="0"/>
        <w:snapToGrid w:val="0"/>
        <w:spacing w:after="160" w:afterLines="50" w:afterAutospacing="0"/>
        <w:rPr>
          <w:rFonts w:hint="eastAsia"/>
          <w:highlight w:val="none"/>
        </w:rPr>
      </w:pPr>
    </w:p>
    <w:sectPr>
      <w:footerReference r:id="rId5" w:type="default"/>
      <w:pgSz w:w="11906" w:h="16838"/>
      <w:pgMar w:top="1418" w:right="1418" w:bottom="1418" w:left="1418" w:header="567" w:footer="720" w:gutter="0"/>
      <w:pgNumType w:fmt="numberInDash" w:start="119"/>
      <w:cols w:space="720"/>
      <w:noEndnote w:val="1"/>
      <w:textDirection w:val="lrTb"/>
      <w:docGrid w:type="linesAndChars" w:linePitch="341" w:charSpace="20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- 120 -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oNotTrackFormatting/>
  <w:defaultTabStop w:val="720"/>
  <w:hyphenationZone w:val="0"/>
  <w:doNotHyphenateCaps/>
  <w:defaultTableStyle w:val="45"/>
  <w:drawingGridHorizontalSpacing w:val="220"/>
  <w:drawingGridVerticalSpacing w:val="170"/>
  <w:displayVerticalDrawingGridEvery w:val="2"/>
  <w:doNotShadeFormData/>
  <w:characterSpacingControl w:val="compressPunctuationAndJapaneseKana"/>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2" type="connector" idref="#_x0000_s1199">
          <o:proxy start="" idref="#_x0000_s0" connectloc="-1"/>
          <o:proxy end="" idref="#_x0000_s0" connectloc="-1"/>
        </o:r>
        <o:r id="V:Rule24" type="connector" idref="#_x0000_s1196">
          <o:proxy start="" idref="#_x0000_s0" connectloc="-1"/>
          <o:proxy end="" idref="#_x0000_s0" connectloc="-1"/>
        </o:r>
        <o:r id="V:Rule64" type="connector" idref="#_x0000_s1190">
          <o:proxy start="" idref="#_x0000_s0" connectloc="-1"/>
          <o:proxy end="" idref="#_x0000_s0" connectloc="-1"/>
        </o:r>
        <o:r id="V:Rule90" type="connector" idref="#_x0000_s1170">
          <o:proxy start="" idref="#_x0000_s0" connectloc="-1"/>
          <o:proxy end="" idref="#_x0000_s0" connectloc="-1"/>
        </o:r>
        <o:r id="V:Rule112" type="connector" idref="#_x0000_s1167">
          <o:proxy start="" idref="#_x0000_s0" connectloc="-1"/>
          <o:proxy end="" idref="#_x0000_s0" connectloc="-1"/>
        </o:r>
        <o:r id="V:Rule130" type="connector" idref="#_x0000_s1198">
          <o:proxy start="" idref="#_x0000_s0" connectloc="-1"/>
          <o:proxy end="" idref="#_x0000_s0" connectloc="-1"/>
        </o:r>
        <o:r id="V:Rule216" type="connector" idref="#_x0000_s1169">
          <o:proxy start="" idref="#_x0000_s0" connectloc="-1"/>
          <o:proxy end="" idref="#_x0000_s0" connectloc="-1"/>
        </o:r>
        <o:r id="V:Rule256" type="connector" idref="#_x0000_s1197">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chart" Target="charts/chart1.xml" /><Relationship Id="rId7" Type="http://schemas.openxmlformats.org/officeDocument/2006/relationships/image" Target="media/image1.png" /><Relationship Id="rId8" Type="http://schemas.openxmlformats.org/officeDocument/2006/relationships/chart" Target="charts/chart2.xml" /><Relationship Id="rId9" Type="http://schemas.openxmlformats.org/officeDocument/2006/relationships/chart" Target="charts/chart3.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chart" Target="charts/chart4.xml" /><Relationship Id="rId13" Type="http://schemas.openxmlformats.org/officeDocument/2006/relationships/image" Target="media/image4.png" /><Relationship Id="rId14" Type="http://schemas.openxmlformats.org/officeDocument/2006/relationships/chart" Target="charts/chart5.xml" /><Relationship Id="rId15" Type="http://schemas.openxmlformats.org/officeDocument/2006/relationships/image" Target="media/image5.png" /><Relationship Id="rId16" Type="http://schemas.openxmlformats.org/officeDocument/2006/relationships/chart" Target="charts/chart6.xml" /><Relationship Id="rId17" Type="http://schemas.openxmlformats.org/officeDocument/2006/relationships/image" Target="media/image6.png" /><Relationship Id="rId18" Type="http://schemas.openxmlformats.org/officeDocument/2006/relationships/chart" Target="charts/chart7.xml" /><Relationship Id="rId19" Type="http://schemas.openxmlformats.org/officeDocument/2006/relationships/image" Target="media/image7.png" /><Relationship Id="rId20" Type="http://schemas.openxmlformats.org/officeDocument/2006/relationships/chart" Target="charts/chart8.xml" /><Relationship Id="rId21" Type="http://schemas.openxmlformats.org/officeDocument/2006/relationships/chart" Target="charts/chart9.xml" /><Relationship Id="rId22" Type="http://schemas.openxmlformats.org/officeDocument/2006/relationships/image" Target="media/image8.emf" /><Relationship Id="rId23" Type="http://schemas.openxmlformats.org/officeDocument/2006/relationships/image" Target="media/image9.png" /><Relationship Id="rId24" Type="http://schemas.openxmlformats.org/officeDocument/2006/relationships/image" Target="media/image10.png" /><Relationship Id="rId25" Type="http://schemas.openxmlformats.org/officeDocument/2006/relationships/chart" Target="charts/chart10.xml" /><Relationship Id="rId26" Type="http://schemas.openxmlformats.org/officeDocument/2006/relationships/image" Target="media/image11.png" /><Relationship Id="rId27" Type="http://schemas.openxmlformats.org/officeDocument/2006/relationships/chart" Target="charts/chart11.xml" /><Relationship Id="rId28" Type="http://schemas.openxmlformats.org/officeDocument/2006/relationships/chart" Target="charts/chart12.xml" /><Relationship Id="rId29" Type="http://schemas.openxmlformats.org/officeDocument/2006/relationships/image" Target="media/image12.png" /><Relationship Id="rId30" Type="http://schemas.openxmlformats.org/officeDocument/2006/relationships/image" Target="media/image13.png" /><Relationship Id="rId31" Type="http://schemas.openxmlformats.org/officeDocument/2006/relationships/image" Target="media/image14.gif" /><Relationship Id="rId32" Type="http://schemas.openxmlformats.org/officeDocument/2006/relationships/image" Target="media/image15.gif" /><Relationship Id="rId33" Type="http://schemas.openxmlformats.org/officeDocument/2006/relationships/chart" Target="charts/chart13.xml" /><Relationship Id="rId34" Type="http://schemas.openxmlformats.org/officeDocument/2006/relationships/image" Target="media/image16.png" /><Relationship Id="rId35" Type="http://schemas.openxmlformats.org/officeDocument/2006/relationships/chart" Target="charts/chart14.xml" /><Relationship Id="rId36" Type="http://schemas.openxmlformats.org/officeDocument/2006/relationships/image" Target="media/image17.png" /><Relationship Id="rId37" Type="http://schemas.openxmlformats.org/officeDocument/2006/relationships/chart" Target="charts/chart15.xml" /><Relationship Id="rId38" Type="http://schemas.openxmlformats.org/officeDocument/2006/relationships/image" Target="media/image18.png" /><Relationship Id="rId39" Type="http://schemas.openxmlformats.org/officeDocument/2006/relationships/chart" Target="charts/chart16.xml" /><Relationship Id="rId40" Type="http://schemas.openxmlformats.org/officeDocument/2006/relationships/chart" Target="charts/chart17.xml" /><Relationship Id="rId41" Type="http://schemas.openxmlformats.org/officeDocument/2006/relationships/chart" Target="charts/chart18.xml" /><Relationship Id="rId42" Type="http://schemas.openxmlformats.org/officeDocument/2006/relationships/image" Target="media/image19.png" /><Relationship Id="rId43" Type="http://schemas.openxmlformats.org/officeDocument/2006/relationships/image" Target="media/image20.png" /><Relationship Id="rId44" Type="http://schemas.openxmlformats.org/officeDocument/2006/relationships/chart" Target="charts/chart19.xml" /><Relationship Id="rId45" Type="http://schemas.openxmlformats.org/officeDocument/2006/relationships/image" Target="media/image21.png" /><Relationship Id="rId46" Type="http://schemas.openxmlformats.org/officeDocument/2006/relationships/chart" Target="charts/chart20.xml" /><Relationship Id="rId47" Type="http://schemas.openxmlformats.org/officeDocument/2006/relationships/chart" Target="charts/chart21.xml" /><Relationship Id="rId48" Type="http://schemas.openxmlformats.org/officeDocument/2006/relationships/image" Target="media/image22.png" /><Relationship Id="rId49" Type="http://schemas.openxmlformats.org/officeDocument/2006/relationships/image" Target="media/image23.png" /><Relationship Id="rId50" Type="http://schemas.openxmlformats.org/officeDocument/2006/relationships/image" Target="media/image24.png" /><Relationship Id="rId51" Type="http://schemas.openxmlformats.org/officeDocument/2006/relationships/chart" Target="charts/chart22.xml" /><Relationship Id="rId52" Type="http://schemas.openxmlformats.org/officeDocument/2006/relationships/image" Target="media/image25.png" /><Relationship Id="rId53" Type="http://schemas.openxmlformats.org/officeDocument/2006/relationships/chart" Target="charts/chart23.xml" /><Relationship Id="rId54" Type="http://schemas.openxmlformats.org/officeDocument/2006/relationships/image" Target="media/image26.png" /><Relationship Id="rId55" Type="http://schemas.openxmlformats.org/officeDocument/2006/relationships/image" Target="media/image27.png" /><Relationship Id="rId56" Type="http://schemas.microsoft.com/office/2011/relationships/commentsExtended" Target="commentsExtended.xml" /></Relationships>
</file>

<file path=word/charts/_rels/chart1.xml.rels><?xml version="1.0" encoding="UTF-8"?><Relationships xmlns="http://schemas.openxmlformats.org/package/2006/relationships"><Relationship Id="rId1" Type="http://schemas.openxmlformats.org/officeDocument/2006/relationships/package" Target="../embeddings/Microsoft_Office_Excel_______3.xlsx" /><Relationship Id="rId2" Type="http://schemas.openxmlformats.org/officeDocument/2006/relationships/chartUserShapes" Target="../drawings/drawing2.xml" /><Relationship Id="rId3" Type="http://schemas.openxmlformats.org/officeDocument/2006/relationships/themeOverride" Target="../theme/themeOverride1.xml" /></Relationships>
</file>

<file path=word/charts/_rels/chart2.xml.rels><?xml version="1.0" encoding="UTF-8"?><Relationships xmlns="http://schemas.openxmlformats.org/package/2006/relationships"><Relationship Id="rId1" Type="http://schemas.openxmlformats.org/officeDocument/2006/relationships/package" Target="../embeddings/JUSTCalc_Worksheet1.xlsx" /><Relationship Id="rId2" Type="http://schemas.openxmlformats.org/officeDocument/2006/relationships/chartUserShapes" Target="../drawings/drawing1.xml" /></Relationships>
</file>

<file path=word/charts/_rels/chart3.xml.rels><?xml version="1.0" encoding="UTF-8"?><Relationships xmlns="http://schemas.openxmlformats.org/package/2006/relationships"><Relationship Id="rId1" Type="http://schemas.openxmlformats.org/officeDocument/2006/relationships/package" Target="../embeddings/JUSTCalc_Worksheet2.xlsx" /><Relationship Id="rId2" Type="http://schemas.openxmlformats.org/officeDocument/2006/relationships/chartUserShapes" Target="../drawings/drawing3.xml" /></Relationships>
</file>

<file path=word/charts/_rels/chart4.xml.rels><?xml version="1.0" encoding="UTF-8"?><Relationships xmlns="http://schemas.openxmlformats.org/package/2006/relationships"><Relationship Id="rId1" Type="http://schemas.openxmlformats.org/officeDocument/2006/relationships/package" Target="../embeddings/Microsoft_Office_Excel_______6.xlsx" /><Relationship Id="rId2" Type="http://schemas.openxmlformats.org/officeDocument/2006/relationships/chartUserShapes" Target="../drawings/drawing4.xml" /></Relationships>
</file>

<file path=word/charts/_rels/chart5.xml.rels><?xml version="1.0" encoding="UTF-8"?><Relationships xmlns="http://schemas.openxmlformats.org/package/2006/relationships"><Relationship Id="rId1" Type="http://schemas.openxmlformats.org/officeDocument/2006/relationships/package" Target="../embeddings/Microsoft_Excel_Worksheet4.xlsx" /></Relationships>
</file>

<file path=word/charts/_rels/chart6.xml.rels><?xml version="1.0" encoding="UTF-8"?><Relationships xmlns="http://schemas.openxmlformats.org/package/2006/relationships"><Relationship Id="rId1" Type="http://schemas.openxmlformats.org/officeDocument/2006/relationships/package" Target="../embeddings/JUSTCalc_Worksheet10.xlsx" /><Relationship Id="rId2" Type="http://schemas.openxmlformats.org/officeDocument/2006/relationships/themeOverride" Target="../theme/themeOverride2.xml" /><Relationship Id="rId3" Type="http://schemas.microsoft.com/office/2011/relationships/chartColorStyle" Target="colors1.xml" /><Relationship Id="rId4" Type="http://schemas.microsoft.com/office/2011/relationships/chartStyle" Target="style1.xml" /></Relationships>
</file>

<file path=word/charts/_rels/chart7.xml.rels><?xml version="1.0" encoding="UTF-8"?><Relationships xmlns="http://schemas.openxmlformats.org/package/2006/relationships"><Relationship Id="rId1" Type="http://schemas.openxmlformats.org/officeDocument/2006/relationships/package" Target="../embeddings/JUSTCalc_Worksheet16.xlsx" /><Relationship Id="rId2" Type="http://schemas.microsoft.com/office/2011/relationships/chartColorStyle" Target="colors2.xml" /><Relationship Id="rId3" Type="http://schemas.microsoft.com/office/2011/relationships/chartStyle" Target="style2.xml" /></Relationships>
</file>

<file path=word/charts/_rels/chart8.xml.rels><?xml version="1.0" encoding="UTF-8"?><Relationships xmlns="http://schemas.openxmlformats.org/package/2006/relationships"><Relationship Id="rId1" Type="http://schemas.openxmlformats.org/officeDocument/2006/relationships/oleObject" Target="file:///\\nas2023\intra\131601\10%20&#22320;&#22495;&#20445;&#20581;&#25285;&#24403;\64%20&#39640;&#34880;&#22311;&#23550;&#31574;\00%20&#9675;de-ta\&#9733;&#34880;&#22311;&#12464;&#12521;&#12501;(H22~)&#21332;&#20250;&#65291;&#22269;&#20445;.xlsx" TargetMode="External" /><Relationship Id="rId2" Type="http://schemas.microsoft.com/office/2011/relationships/chartColorStyle" Target="colors3.xml" /><Relationship Id="rId3" Type="http://schemas.microsoft.com/office/2011/relationships/chartStyle" Target="style3.xml" /></Relationships>
</file>

<file path=word/charts/_rels/chart9.xml.rels><?xml version="1.0" encoding="UTF-8"?><Relationships xmlns="http://schemas.openxmlformats.org/package/2006/relationships"><Relationship Id="rId1" Type="http://schemas.openxmlformats.org/officeDocument/2006/relationships/oleObject" Target="file:///\\nas2023\intra\131601\10%20&#22320;&#22495;&#20445;&#20581;&#25285;&#24403;\64%20&#39640;&#34880;&#22311;&#23550;&#31574;\00%20&#9675;de-ta\&#9733;&#34880;&#22311;&#12464;&#12521;&#12501;(H22~)&#21332;&#20250;&#65291;&#22269;&#20445;.xlsx" TargetMode="External" /><Relationship Id="rId2" Type="http://schemas.microsoft.com/office/2011/relationships/chartColorStyle" Target="colors4.xml" /><Relationship Id="rId3" Type="http://schemas.microsoft.com/office/2011/relationships/chartStyle" Target="style4.xml" /></Relationships>
</file>

<file path=word/charts/_rels/chart10.xml.rels><?xml version="1.0" encoding="UTF-8"?><Relationships xmlns="http://schemas.openxmlformats.org/package/2006/relationships"><Relationship Id="rId1" Type="http://schemas.openxmlformats.org/officeDocument/2006/relationships/package" Target="../embeddings/JUST_Calc____(xlsx)11.xlsx" /></Relationships>
</file>

<file path=word/charts/_rels/chart11.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openxmlformats.org/officeDocument/2006/relationships/themeOverride" Target="../theme/themeOverride3.xml" /><Relationship Id="rId3" Type="http://schemas.microsoft.com/office/2011/relationships/chartColorStyle" Target="colors5.xml" /><Relationship Id="rId4" Type="http://schemas.microsoft.com/office/2011/relationships/chartStyle" Target="style5.xml" /></Relationships>
</file>

<file path=word/charts/_rels/chart12.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openxmlformats.org/officeDocument/2006/relationships/themeOverride" Target="../theme/themeOverride4.xml" /><Relationship Id="rId3" Type="http://schemas.microsoft.com/office/2011/relationships/chartColorStyle" Target="colors6.xml" /><Relationship Id="rId4" Type="http://schemas.microsoft.com/office/2011/relationships/chartStyle" Target="style6.xml" /></Relationships>
</file>

<file path=word/charts/_rels/chart13.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06&#12305;&#33075;&#21330;&#20013;&#24739;&#32773;&#23455;&#24907;&#35519;&#26619;.xlsx" TargetMode="External" /><Relationship Id="rId2" Type="http://schemas.openxmlformats.org/officeDocument/2006/relationships/themeOverride" Target="../theme/themeOverride5.xml" /><Relationship Id="rId3" Type="http://schemas.microsoft.com/office/2011/relationships/chartColorStyle" Target="colors7.xml" /><Relationship Id="rId4" Type="http://schemas.microsoft.com/office/2011/relationships/chartStyle" Target="style7.xml" /></Relationships>
</file>

<file path=word/charts/_rels/chart14.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openxmlformats.org/officeDocument/2006/relationships/themeOverride" Target="../theme/themeOverride6.xml" /><Relationship Id="rId3" Type="http://schemas.microsoft.com/office/2011/relationships/chartColorStyle" Target="colors8.xml" /><Relationship Id="rId4" Type="http://schemas.microsoft.com/office/2011/relationships/chartStyle" Target="style8.xml" /></Relationships>
</file>

<file path=word/charts/_rels/chart15.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microsoft.com/office/2011/relationships/chartColorStyle" Target="colors9.xml" /><Relationship Id="rId3" Type="http://schemas.microsoft.com/office/2011/relationships/chartStyle" Target="style9.xml" /></Relationships>
</file>

<file path=word/charts/_rels/chart16.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12487;&#12540;&#12479;\&#12304;&#12487;&#12540;&#12479;02&#12305;&#27515;&#20129;.xlsx" TargetMode="External" /><Relationship Id="rId2" Type="http://schemas.openxmlformats.org/officeDocument/2006/relationships/themeOverride" Target="../theme/themeOverride7.xml" /><Relationship Id="rId3" Type="http://schemas.microsoft.com/office/2011/relationships/chartColorStyle" Target="colors10.xml" /><Relationship Id="rId4" Type="http://schemas.microsoft.com/office/2011/relationships/chartStyle" Target="style10.xml" /></Relationships>
</file>

<file path=word/charts/_rels/chart17.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11&#12305;&#21463;&#30274;&#29575;.xlsx" TargetMode="External" /><Relationship Id="rId2" Type="http://schemas.openxmlformats.org/officeDocument/2006/relationships/themeOverride" Target="../theme/themeOverride8.xml" /><Relationship Id="rId3" Type="http://schemas.microsoft.com/office/2011/relationships/chartColorStyle" Target="colors11.xml" /><Relationship Id="rId4" Type="http://schemas.microsoft.com/office/2011/relationships/chartStyle" Target="style11.xml" /></Relationships>
</file>

<file path=word/charts/_rels/chart18.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11&#12305;&#21463;&#30274;&#29575;.xlsx" TargetMode="External" /><Relationship Id="rId2" Type="http://schemas.openxmlformats.org/officeDocument/2006/relationships/themeOverride" Target="../theme/themeOverride9.xml" /><Relationship Id="rId3" Type="http://schemas.microsoft.com/office/2011/relationships/chartColorStyle" Target="colors12.xml" /><Relationship Id="rId4" Type="http://schemas.microsoft.com/office/2011/relationships/chartStyle" Target="style12.xml" /></Relationships>
</file>

<file path=word/charts/_rels/chart19.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microsoft.com/office/2011/relationships/chartColorStyle" Target="colors13.xml" /><Relationship Id="rId3" Type="http://schemas.microsoft.com/office/2011/relationships/chartStyle" Target="style13.xml" /></Relationships>
</file>

<file path=word/charts/_rels/chart20.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08&#12305;&#25644;&#36865;&#38306;&#36899;.xlsx" TargetMode="External" /><Relationship Id="rId2" Type="http://schemas.openxmlformats.org/officeDocument/2006/relationships/chartUserShapes" Target="../drawings/drawing5.xml" /><Relationship Id="rId3" Type="http://schemas.openxmlformats.org/officeDocument/2006/relationships/themeOverride" Target="../theme/themeOverride10.xml" /><Relationship Id="rId4" Type="http://schemas.microsoft.com/office/2011/relationships/chartColorStyle" Target="colors14.xml" /><Relationship Id="rId5" Type="http://schemas.microsoft.com/office/2011/relationships/chartStyle" Target="style14.xml" /></Relationships>
</file>

<file path=word/charts/_rels/chart21.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08&#12305;&#25644;&#36865;&#38306;&#36899;.xlsx" TargetMode="External" /><Relationship Id="rId2" Type="http://schemas.openxmlformats.org/officeDocument/2006/relationships/chartUserShapes" Target="../drawings/drawing6.xml" /><Relationship Id="rId3" Type="http://schemas.openxmlformats.org/officeDocument/2006/relationships/themeOverride" Target="../theme/themeOverride11.xml" /><Relationship Id="rId4" Type="http://schemas.microsoft.com/office/2011/relationships/chartColorStyle" Target="colors15.xml" /><Relationship Id="rId5" Type="http://schemas.microsoft.com/office/2011/relationships/chartStyle" Target="style15.xml" /></Relationships>
</file>

<file path=word/charts/_rels/chart22.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12304;&#12487;&#12540;&#12479;06&#12305;&#33075;&#21330;&#20013;&#24739;&#32773;&#23455;&#24907;&#35519;&#26619;.xlsx" TargetMode="External" /><Relationship Id="rId2" Type="http://schemas.openxmlformats.org/officeDocument/2006/relationships/themeOverride" Target="../theme/themeOverride12.xml" /><Relationship Id="rId3" Type="http://schemas.microsoft.com/office/2011/relationships/chartColorStyle" Target="colors16.xml" /><Relationship Id="rId4" Type="http://schemas.microsoft.com/office/2011/relationships/chartStyle" Target="style16.xml" /></Relationships>
</file>

<file path=word/charts/_rels/chart23.xml.rels><?xml version="1.0" encoding="UTF-8"?><Relationships xmlns="http://schemas.openxmlformats.org/package/2006/relationships"><Relationship Id="rId1" Type="http://schemas.openxmlformats.org/officeDocument/2006/relationships/oleObject" Target="file:///\\nas2023\intra\131601\10%20&#22320;&#22495;&#20445;&#20581;&#25285;&#24403;\68%20&#24490;&#29872;&#22120;&#30149;&#23550;&#31574;\R&#65301;\02_&#24490;&#29872;&#22120;&#30149;&#23550;&#31574;&#25512;&#36914;&#35336;&#30011;\03_&#12487;&#12540;&#12479;\&#30446;&#27161;&#20516;\&#12304;&#12487;&#12540;&#12479;06&#12305;&#33075;&#21330;&#20013;&#24739;&#32773;&#23455;&#24907;&#35519;&#26619;.xlsx" TargetMode="External" /><Relationship Id="rId2" Type="http://schemas.openxmlformats.org/officeDocument/2006/relationships/themeOverride" Target="../theme/themeOverride13.xml" /><Relationship Id="rId3" Type="http://schemas.microsoft.com/office/2011/relationships/chartColorStyle" Target="colors17.xml" /><Relationship Id="rId4" Type="http://schemas.microsoft.com/office/2011/relationships/chartStyle" Target="style17.xml" /></Relationships>
</file>

<file path=word/charts/chart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6547085201794"/>
          <c:y val="0.14285714285714285"/>
          <c:w val="0.71076233183856508"/>
          <c:h val="0.67980295566502458"/>
        </c:manualLayout>
      </c:layout>
      <c:lineChart>
        <c:grouping val="standard"/>
        <c:varyColors val="0"/>
        <c:ser>
          <c:idx val="0"/>
          <c:order val="0"/>
          <c:tx>
            <c:strRef>
              <c:f>=Sheet1!$B$1</c:f>
              <c:strCache>
                <c:ptCount val="1"/>
                <c:pt idx="0">
                  <c:v>男女計</c:v>
                </c:pt>
              </c:strCache>
            </c:strRef>
          </c:tx>
          <c:spPr>
            <a:ln>
              <a:solidFill>
                <a:schemeClr val="accent6"/>
              </a:solidFill>
            </a:ln>
          </c:spPr>
          <c:marker>
            <c:spPr>
              <a:solidFill>
                <a:schemeClr val="accent6"/>
              </a:solidFill>
              <a:ln>
                <a:solidFill>
                  <a:schemeClr val="accent6"/>
                </a:solidFill>
              </a:ln>
            </c:spPr>
          </c:marker>
          <c:dPt>
            <c:idx val="0"/>
            <c:invertIfNegative val="0"/>
            <c:marker>
              <c:spPr>
                <a:solidFill>
                  <a:schemeClr val="accent6"/>
                </a:solidFill>
                <a:ln>
                  <a:solidFill>
                    <a:schemeClr val="accent6"/>
                  </a:solidFill>
                </a:ln>
              </c:spPr>
            </c:marker>
            <c:bubble3D val="0"/>
            <c:spPr>
              <a:ln>
                <a:solidFill>
                  <a:schemeClr val="accent6"/>
                </a:solidFill>
              </a:ln>
            </c:spPr>
          </c:dPt>
          <c:dPt>
            <c:idx val="1"/>
            <c:invertIfNegative val="0"/>
            <c:marker>
              <c:spPr>
                <a:solidFill>
                  <a:schemeClr val="accent6"/>
                </a:solidFill>
                <a:ln>
                  <a:solidFill>
                    <a:schemeClr val="accent6"/>
                  </a:solidFill>
                </a:ln>
              </c:spPr>
            </c:marker>
            <c:bubble3D val="0"/>
            <c:spPr>
              <a:ln>
                <a:solidFill>
                  <a:schemeClr val="accent6"/>
                </a:solidFill>
              </a:ln>
            </c:spPr>
          </c:dPt>
          <c:dPt>
            <c:idx val="2"/>
            <c:invertIfNegative val="0"/>
            <c:marker>
              <c:spPr>
                <a:solidFill>
                  <a:schemeClr val="accent6"/>
                </a:solidFill>
                <a:ln>
                  <a:solidFill>
                    <a:schemeClr val="accent6"/>
                  </a:solidFill>
                </a:ln>
              </c:spPr>
            </c:marker>
            <c:bubble3D val="0"/>
            <c:spPr>
              <a:ln>
                <a:solidFill>
                  <a:schemeClr val="accent6"/>
                </a:solidFill>
              </a:ln>
            </c:spPr>
          </c:dPt>
          <c:dLbls>
            <c:dLbl>
              <c:idx val="0"/>
              <c:layout>
                <c:manualLayout>
                  <c:x val="-9.0932329111035035e-002"/>
                  <c:y val="-6.7448483833137882e-003"/>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1"/>
              <c:layout>
                <c:manualLayout>
                  <c:x val="-0.10976317798849169"/>
                  <c:y val="-5.1414846506042167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2"/>
              <c:layout>
                <c:manualLayout>
                  <c:x val="-2.7386312659423723e-003"/>
                  <c:y val="-1.3323120694128891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=Sheet1!$B$2:$B$4</c:f>
              <c:numCache>
                <c:formatCode>General</c:formatCode>
                <c:ptCount val="3"/>
                <c:pt idx="0">
                  <c:v>9.6999999999999993</c:v>
                </c:pt>
                <c:pt idx="1">
                  <c:v>8.8000000000000007</c:v>
                </c:pt>
                <c:pt idx="2" formatCode="0.0_ ">
                  <c:v>9</c:v>
                </c:pt>
              </c:numCache>
            </c:numRef>
          </c:val>
          <c:smooth val="0"/>
        </c:ser>
        <c:ser>
          <c:idx val="1"/>
          <c:order val="1"/>
          <c:tx>
            <c:strRef>
              <c:f>=Sheet1!$C$1</c:f>
              <c:strCache>
                <c:ptCount val="1"/>
                <c:pt idx="0">
                  <c:v>男性</c:v>
                </c:pt>
              </c:strCache>
            </c:strRef>
          </c:tx>
          <c:spPr>
            <a:ln>
              <a:solidFill>
                <a:schemeClr val="accent1"/>
              </a:solidFill>
            </a:ln>
          </c:spPr>
          <c:marker>
            <c:spPr>
              <a:solidFill>
                <a:schemeClr val="accent1"/>
              </a:solidFill>
              <a:ln>
                <a:solidFill>
                  <a:schemeClr val="accent1"/>
                </a:solidFill>
              </a:ln>
            </c:spPr>
          </c:marker>
          <c:dPt>
            <c:idx val="0"/>
            <c:invertIfNegative val="0"/>
            <c:marker>
              <c:spPr>
                <a:solidFill>
                  <a:schemeClr val="accent1"/>
                </a:solidFill>
                <a:ln>
                  <a:solidFill>
                    <a:schemeClr val="accent1"/>
                  </a:solidFill>
                </a:ln>
              </c:spPr>
            </c:marker>
            <c:bubble3D val="0"/>
            <c:spPr>
              <a:ln>
                <a:solidFill>
                  <a:schemeClr val="accent1"/>
                </a:solidFill>
              </a:ln>
            </c:spPr>
          </c:dPt>
          <c:dPt>
            <c:idx val="1"/>
            <c:invertIfNegative val="0"/>
            <c:marker>
              <c:spPr>
                <a:solidFill>
                  <a:schemeClr val="accent1"/>
                </a:solidFill>
                <a:ln>
                  <a:solidFill>
                    <a:schemeClr val="accent1"/>
                  </a:solidFill>
                </a:ln>
              </c:spPr>
            </c:marker>
            <c:bubble3D val="0"/>
            <c:spPr>
              <a:ln>
                <a:solidFill>
                  <a:schemeClr val="accent1"/>
                </a:solidFill>
              </a:ln>
            </c:spPr>
          </c:dPt>
          <c:dPt>
            <c:idx val="2"/>
            <c:invertIfNegative val="0"/>
            <c:marker>
              <c:spPr>
                <a:solidFill>
                  <a:schemeClr val="accent1"/>
                </a:solidFill>
                <a:ln>
                  <a:solidFill>
                    <a:schemeClr val="accent1"/>
                  </a:solidFill>
                </a:ln>
              </c:spPr>
            </c:marker>
            <c:bubble3D val="0"/>
            <c:spPr>
              <a:ln>
                <a:solidFill>
                  <a:schemeClr val="accent1"/>
                </a:solidFill>
              </a:ln>
            </c:spPr>
          </c:dPt>
          <c:dLbls>
            <c:dLbl>
              <c:idx val="0"/>
              <c:layout>
                <c:manualLayout>
                  <c:x val="-9.9586591488810244e-002"/>
                  <c:y val="-5.2540719057269362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1"/>
              <c:layout>
                <c:manualLayout>
                  <c:x val="-1.6597765248135419e-002"/>
                  <c:y val="-4.5034902049088103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2"/>
              <c:layout>
                <c:manualLayout>
                  <c:x val="-7.4689943616607399e-002"/>
                  <c:y val="-9.0069804098176207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dLblPos val="r"/>
            <c:showLegendKey val="0"/>
            <c:showVal val="1"/>
            <c:showCatName val="0"/>
            <c:showSerName val="0"/>
            <c:showPercent val="0"/>
            <c:showBubbleSize val="0"/>
          </c:dLbls>
          <c:cat>
            <c:strRef>
              <c:f>=Sheet1!$A$2:$A$4</c:f>
              <c:strCache>
                <c:ptCount val="3"/>
                <c:pt idx="0">
                  <c:v>H23</c:v>
                </c:pt>
                <c:pt idx="1">
                  <c:v>H28</c:v>
                </c:pt>
                <c:pt idx="2">
                  <c:v>R4</c:v>
                </c:pt>
              </c:strCache>
            </c:strRef>
          </c:cat>
          <c:val>
            <c:numRef>
              <c:f>=Sheet1!$C$2:$C$4</c:f>
              <c:numCache>
                <c:formatCode>General</c:formatCode>
                <c:ptCount val="3"/>
                <c:pt idx="0">
                  <c:v>10.4</c:v>
                </c:pt>
                <c:pt idx="1">
                  <c:v>9.3000000000000007</c:v>
                </c:pt>
                <c:pt idx="2">
                  <c:v>9.6999999999999993</c:v>
                </c:pt>
              </c:numCache>
            </c:numRef>
          </c:val>
          <c:smooth val="0"/>
        </c:ser>
        <c:ser>
          <c:idx val="2"/>
          <c:order val="2"/>
          <c:tx>
            <c:strRef>
              <c:f>=Sheet1!$D$1</c:f>
              <c:strCache>
                <c:ptCount val="1"/>
                <c:pt idx="0">
                  <c:v>女性</c:v>
                </c:pt>
              </c:strCache>
            </c:strRef>
          </c:tx>
          <c:spPr>
            <a:ln>
              <a:solidFill>
                <a:srgbClr val="FFA6A6"/>
              </a:solidFill>
            </a:ln>
          </c:spPr>
          <c:marker>
            <c:spPr>
              <a:solidFill>
                <a:srgbClr val="FFA6A6"/>
              </a:solidFill>
              <a:ln>
                <a:solidFill>
                  <a:srgbClr val="FFA6A6"/>
                </a:solidFill>
              </a:ln>
            </c:spPr>
          </c:marker>
          <c:dPt>
            <c:idx val="2"/>
            <c:invertIfNegative val="0"/>
            <c:marker>
              <c:spPr>
                <a:solidFill>
                  <a:srgbClr val="FFA6A6"/>
                </a:solidFill>
                <a:ln>
                  <a:solidFill>
                    <a:srgbClr val="FFA6A6"/>
                  </a:solidFill>
                </a:ln>
              </c:spPr>
            </c:marker>
            <c:bubble3D val="0"/>
            <c:spPr>
              <a:ln>
                <a:solidFill>
                  <a:srgbClr val="FFA6A6"/>
                </a:solidFill>
              </a:ln>
            </c:spPr>
          </c:dPt>
          <c:dLbls>
            <c:dLbl>
              <c:idx val="2"/>
              <c:layout>
                <c:manualLayout>
                  <c:x val="-8.581486329485307e-004"/>
                  <c:y val="5.1414846506042167e-002"/>
                </c:manualLayout>
              </c:layout>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dLblPos val="b"/>
            <c:showLegendKey val="0"/>
            <c:showVal val="1"/>
            <c:showCatName val="0"/>
            <c:showSerName val="0"/>
            <c:showPercent val="0"/>
            <c:showBubbleSize val="0"/>
          </c:dLbls>
          <c:cat>
            <c:strRef>
              <c:f>=Sheet1!$A$2:$A$4</c:f>
              <c:strCache>
                <c:ptCount val="3"/>
                <c:pt idx="0">
                  <c:v>H23</c:v>
                </c:pt>
                <c:pt idx="1">
                  <c:v>H28</c:v>
                </c:pt>
                <c:pt idx="2">
                  <c:v>R4</c:v>
                </c:pt>
              </c:strCache>
            </c:strRef>
          </c:cat>
          <c:val>
            <c:numRef>
              <c:f>=Sheet1!$D$2:$D$4</c:f>
              <c:numCache>
                <c:formatCode>General</c:formatCode>
                <c:ptCount val="3"/>
                <c:pt idx="0">
                  <c:v>9.1</c:v>
                </c:pt>
                <c:pt idx="1">
                  <c:v>8.4</c:v>
                </c:pt>
                <c:pt idx="2">
                  <c:v>8.4</c:v>
                </c:pt>
              </c:numCache>
            </c:numRef>
          </c:val>
          <c:smooth val="0"/>
        </c:ser>
        <c:dLbls>
          <c:txPr>
            <a:bodyPr rot="0" horzOverflow="overflow" anchor="ctr" anchorCtr="1"/>
            <a:lstStyle/>
            <a:p>
              <a:pPr algn="ctr" rtl="0">
                <a:defRPr sz="1000">
                  <a:solidFill>
                    <a:schemeClr val="tx1"/>
                  </a:solidFill>
                </a:defRPr>
              </a:pPr>
              <a:endParaRPr lang="ja-JP" altLang="en-US">
                <a:latin typeface="ＭＳ ゴシック"/>
                <a:ea typeface="ＭＳ ゴシック"/>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0"/>
        <c:majorTickMark val="in"/>
        <c:minorTickMark val="none"/>
        <c:tickLblPos val="nextTo"/>
        <c:txPr>
          <a:bodyPr horzOverflow="overflow" anchor="ctr" anchorCtr="1"/>
          <a:lstStyle/>
          <a:p>
            <a:pPr algn="ctr" rtl="0">
              <a:defRPr kumimoji="0" sz="1000" kern="1200">
                <a:solidFill>
                  <a:schemeClr val="tx1"/>
                </a:solidFill>
              </a:defRPr>
            </a:pPr>
            <a:endParaRPr lang="ja-JP" altLang="en-US">
              <a:latin typeface="ＭＳ ゴシック"/>
              <a:ea typeface="ＭＳ ゴシック"/>
            </a:endParaRPr>
          </a:p>
        </c:txPr>
        <c:crossAx val="2"/>
        <c:crosses val="autoZero"/>
        <c:auto val="1"/>
        <c:lblAlgn val="ctr"/>
        <c:lblOffset val="100"/>
        <c:noMultiLvlLbl val="0"/>
      </c:catAx>
      <c:valAx>
        <c:axId val="2"/>
        <c:scaling>
          <c:orientation val="minMax"/>
          <c:max val="12"/>
          <c:min val="7"/>
        </c:scaling>
        <c:delete val="0"/>
        <c:axPos val="l"/>
        <c:majorGridlines/>
        <c:numFmt formatCode="0" sourceLinked="0"/>
        <c:majorTickMark val="in"/>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1"/>
        <c:crosses val="autoZero"/>
        <c:crossBetween val="between"/>
        <c:majorUnit val="1"/>
      </c:valAx>
    </c:plotArea>
    <c:legend>
      <c:legendPos val="r"/>
      <c:layout>
        <c:manualLayout>
          <c:xMode val="edge"/>
          <c:yMode val="edge"/>
          <c:x val="0.83784219001610305"/>
          <c:y val="0.37055837563451777"/>
          <c:w val="0.16425120772946861"/>
          <c:h val="0.27918781725888325"/>
        </c:manualLayout>
      </c:layout>
      <c:overlay val="0"/>
      <c:txPr>
        <a:bodyPr horzOverflow="overflow" anchor="ctr" anchorCtr="1"/>
        <a:lstStyle/>
        <a:p>
          <a:pPr algn="l" rtl="0">
            <a:defRPr kumimoji="0" sz="800" kern="1200">
              <a:solidFill>
                <a:schemeClr val="tx1"/>
              </a:solidFill>
            </a:defRPr>
          </a:pPr>
          <a:endParaRPr lang="ja-JP" altLang="en-US">
            <a:latin typeface="ＭＳ ゴシック"/>
            <a:ea typeface="ＭＳ ゴシック"/>
          </a:endParaRPr>
        </a:p>
      </c:txPr>
    </c:legend>
    <c:plotVisOnly val="1"/>
    <c:dispBlanksAs val="gap"/>
    <c:showDLblsOverMax val="0"/>
  </c:chart>
  <c:spPr>
    <a:ln>
      <a:noFill/>
    </a:ln>
  </c:spPr>
  <c:txPr>
    <a:bodyPr horzOverflow="overflow" anchor="ctr" anchorCtr="1"/>
    <a:lstStyle/>
    <a:p>
      <a:pPr algn="ctr" rtl="0">
        <a:defRPr lang="ja-JP" altLang="en-US" sz="1000">
          <a:solidFill>
            <a:schemeClr val="tx1"/>
          </a:solidFill>
          <a:latin typeface="ＭＳ ゴシック"/>
          <a:ea typeface="ＭＳ ゴシック"/>
        </a:defRPr>
      </a:pPr>
      <a:endParaRPr lang="ja-JP" altLang="en-US">
        <a:latin typeface="ＭＳ ゴシック"/>
        <a:ea typeface="ＭＳ ゴシック"/>
      </a:endParaRPr>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horzOverflow="overflow" anchor="t" anchorCtr="1"/>
          <a:lstStyle/>
          <a:p>
            <a:pPr algn="ctr" rtl="0">
              <a:defRPr sz="1260" i="0" u="none" strike="noStrike" baseline="0">
                <a:solidFill>
                  <a:schemeClr val="tx1"/>
                </a:solidFill>
              </a:defRPr>
            </a:pPr>
            <a:r>
              <a:rPr kumimoji="0" lang="ja-JP" altLang="en-US" sz="1050" b="0" i="0" u="none" strike="noStrike" kern="1200" baseline="0">
                <a:solidFill>
                  <a:schemeClr val="tx1"/>
                </a:solidFill>
                <a:latin typeface="ＭＳ ゴシック"/>
                <a:ea typeface="ＭＳ ゴシック"/>
              </a:rPr>
              <a:t>男性（20-64歳）</a:t>
            </a:r>
            <a:endParaRPr kumimoji="0" lang="ja-JP" altLang="en-US" sz="1050" b="0" i="0" u="none" strike="noStrike" kern="1200" baseline="0">
              <a:solidFill>
                <a:schemeClr val="tx1"/>
              </a:solidFill>
              <a:latin typeface="ＭＳ ゴシック"/>
              <a:ea typeface="ＭＳ ゴシック"/>
            </a:endParaRPr>
          </a:p>
        </c:rich>
      </c:tx>
      <c:layout>
        <c:manualLayout>
          <c:xMode val="edge"/>
          <c:yMode val="edge"/>
          <c:x val="0.35856556819286478"/>
          <c:y val="7.6338861897581947e-003"/>
        </c:manualLayout>
      </c:layout>
      <c:overlay val="0"/>
    </c:title>
    <c:autoTitleDeleted val="0"/>
    <c:plotArea>
      <c:layout>
        <c:manualLayout>
          <c:layoutTarget val="inner"/>
          <c:xMode val="edge"/>
          <c:yMode val="edge"/>
          <c:x val="0.17131474103585656"/>
          <c:y val="0.27480916030534358"/>
          <c:w val="0.7649402390438248"/>
          <c:h val="0.52671755725190839"/>
        </c:manualLayout>
      </c:layout>
      <c:barChart>
        <c:barDir val="col"/>
        <c:grouping val="clustered"/>
        <c:varyColors val="0"/>
        <c:ser>
          <c:idx val="0"/>
          <c:order val="0"/>
          <c:tx>
            <c:strRef>
              <c:f>=Sheet1!$B$1</c:f>
              <c:strCache>
                <c:ptCount val="1"/>
                <c:pt idx="0">
                  <c:v>系列 1</c:v>
                </c:pt>
              </c:strCache>
            </c:strRef>
          </c:tx>
          <c:spPr>
            <a:solidFill>
              <a:srgbClr val="86BFE7"/>
            </a:solidFill>
          </c:spPr>
          <c:invertIfNegative val="0"/>
          <c:dPt>
            <c:idx val="0"/>
            <c:invertIfNegative val="0"/>
            <c:bubble3D val="0"/>
          </c:dPt>
          <c:dLbls>
            <c:dLbl>
              <c:idx val="0"/>
              <c:layout>
                <c:manualLayout>
                  <c:x val="-2.1888299819096319e-003"/>
                  <c:y val="1.0547645274910583e-003"/>
                </c:manualLayout>
              </c:layout>
              <c:numFmt formatCode="#,##0_ " sourceLinked="0"/>
              <c:txPr>
                <a:bodyPr lIns="36576" tIns="18288" rIns="36576" bIns="18288"/>
                <a:lstStyle/>
                <a:p>
                  <a:pPr>
                    <a:defRPr kumimoji="0" sz="900" kern="12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numFmt formatCode="#,##0_ " sourceLinked="0"/>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s>
          <c:cat>
            <c:strRef>
              <c:f>=Sheet1!$A$2:$A$3</c:f>
              <c:strCache>
                <c:ptCount val="2"/>
                <c:pt idx="0">
                  <c:v>全国</c:v>
                </c:pt>
                <c:pt idx="1">
                  <c:v>高知県</c:v>
                </c:pt>
              </c:strCache>
            </c:strRef>
          </c:cat>
          <c:val>
            <c:numRef>
              <c:f>=Sheet1!$B$2:$B$3</c:f>
              <c:numCache>
                <c:formatCode>General</c:formatCode>
                <c:ptCount val="2"/>
                <c:pt idx="0">
                  <c:v>7779</c:v>
                </c:pt>
                <c:pt idx="1">
                  <c:v>5647</c:v>
                </c:pt>
              </c:numCache>
            </c:numRef>
          </c:val>
        </c:ser>
        <c:dLbls>
          <c:txPr>
            <a:bodyPr rot="0" horzOverflow="overflow" anchor="ctr" anchorCtr="1"/>
            <a:lstStyle/>
            <a:p>
              <a:pPr algn="ctr" rtl="0">
                <a:defRPr sz="1050">
                  <a:solidFill>
                    <a:schemeClr val="tx1"/>
                  </a:solidFill>
                </a:defRPr>
              </a:pPr>
              <a:endParaRPr lang="ja-JP" altLang="en-US" sz="1050">
                <a:latin typeface="ＭＳ ゴシック"/>
                <a:ea typeface="ＭＳ ゴシック"/>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General" sourceLinked="1"/>
        <c:majorTickMark val="out"/>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2"/>
        <c:crosses val="autoZero"/>
        <c:auto val="1"/>
        <c:lblAlgn val="ctr"/>
        <c:lblOffset val="100"/>
        <c:noMultiLvlLbl val="0"/>
      </c:catAx>
      <c:valAx>
        <c:axId val="2"/>
        <c:scaling>
          <c:orientation val="minMax"/>
          <c:max val="8000"/>
          <c:min val="5000"/>
        </c:scaling>
        <c:delete val="0"/>
        <c:axPos val="l"/>
        <c:majorGridlines/>
        <c:numFmt formatCode="#,##0_ " sourceLinked="0"/>
        <c:majorTickMark val="out"/>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1"/>
        <c:crosses val="autoZero"/>
        <c:crossBetween val="between"/>
        <c:majorUnit val="1000"/>
      </c:valAx>
    </c:plotArea>
    <c:plotVisOnly val="1"/>
    <c:dispBlanksAs val="gap"/>
    <c:showDLblsOverMax val="0"/>
  </c:chart>
  <c:spPr>
    <a:ln>
      <a:noFill/>
    </a:ln>
  </c:spPr>
  <c:txPr>
    <a:bodyPr horzOverflow="overflow" anchor="ctr" anchorCtr="1"/>
    <a:lstStyle/>
    <a:p>
      <a:pPr algn="ctr" rtl="0">
        <a:defRPr lang="ja-JP" altLang="en-US" sz="1050">
          <a:solidFill>
            <a:schemeClr val="tx1"/>
          </a:solidFill>
          <a:latin typeface="ＭＳ ゴシック"/>
          <a:ea typeface="ＭＳ ゴシック"/>
        </a:defRPr>
      </a:pPr>
      <a:endParaRPr lang="ja-JP" altLang="en-US" sz="1050">
        <a:latin typeface="ＭＳ ゴシック"/>
        <a:ea typeface="ＭＳ ゴシック"/>
      </a:endParaRPr>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horzOverflow="overflow" anchor="t" anchorCtr="1"/>
          <a:lstStyle/>
          <a:p>
            <a:pPr algn="ctr" rtl="0">
              <a:defRPr sz="1200" i="0" u="none" strike="noStrike" baseline="0">
                <a:solidFill>
                  <a:schemeClr val="tx1"/>
                </a:solidFill>
              </a:defRPr>
            </a:pPr>
            <a:r>
              <a:rPr kumimoji="0" lang="ja-JP" altLang="en-US" sz="1050" b="0" i="0" u="none" strike="noStrike" kern="1200" baseline="0">
                <a:solidFill>
                  <a:schemeClr val="tx1"/>
                </a:solidFill>
                <a:latin typeface="ＭＳ ゴシック"/>
                <a:ea typeface="ＭＳ ゴシック"/>
              </a:rPr>
              <a:t>女性（20-64歳）</a:t>
            </a:r>
            <a:endParaRPr kumimoji="0" lang="ja-JP" altLang="en-US" sz="1050" b="0" i="0" u="none" strike="noStrike" kern="1200" baseline="0">
              <a:solidFill>
                <a:schemeClr val="tx1"/>
              </a:solidFill>
              <a:latin typeface="ＭＳ ゴシック"/>
              <a:ea typeface="ＭＳ ゴシック"/>
            </a:endParaRPr>
          </a:p>
        </c:rich>
      </c:tx>
      <c:layout>
        <c:manualLayout>
          <c:xMode val="edge"/>
          <c:yMode val="edge"/>
          <c:x val="0.32549038111809059"/>
          <c:y val="0"/>
        </c:manualLayout>
      </c:layout>
      <c:overlay val="0"/>
    </c:title>
    <c:autoTitleDeleted val="0"/>
    <c:plotArea>
      <c:layout>
        <c:manualLayout>
          <c:layoutTarget val="inner"/>
          <c:xMode val="edge"/>
          <c:yMode val="edge"/>
          <c:x val="0.18431372549019609"/>
          <c:y val="0.23622047244094488"/>
          <c:w val="0.76470588235294112"/>
          <c:h val="0.55905511811023612"/>
        </c:manualLayout>
      </c:layout>
      <c:barChart>
        <c:barDir val="col"/>
        <c:grouping val="clustered"/>
        <c:varyColors val="0"/>
        <c:ser>
          <c:idx val="0"/>
          <c:order val="0"/>
          <c:tx>
            <c:strRef>
              <c:f>=Sheet1!$B$1</c:f>
              <c:strCache>
                <c:ptCount val="1"/>
                <c:pt idx="0">
                  <c:v>系列 1</c:v>
                </c:pt>
              </c:strCache>
            </c:strRef>
          </c:tx>
          <c:spPr>
            <a:solidFill>
              <a:srgbClr val="FFA6A6"/>
            </a:solidFill>
          </c:spPr>
          <c:invertIfNegative val="0"/>
          <c:dLbls>
            <c:numFmt formatCode="#,##0_ " sourceLinked="0"/>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s>
          <c:cat>
            <c:strRef>
              <c:f>=Sheet1!$A$2:$A$3</c:f>
              <c:strCache>
                <c:ptCount val="2"/>
                <c:pt idx="0">
                  <c:v>全国</c:v>
                </c:pt>
                <c:pt idx="1">
                  <c:v>高知県</c:v>
                </c:pt>
              </c:strCache>
            </c:strRef>
          </c:cat>
          <c:val>
            <c:numRef>
              <c:f>=Sheet1!$B$2:$B$3</c:f>
              <c:numCache>
                <c:formatCode>General</c:formatCode>
                <c:ptCount val="2"/>
                <c:pt idx="0">
                  <c:v>6776</c:v>
                </c:pt>
                <c:pt idx="1">
                  <c:v>5840</c:v>
                </c:pt>
              </c:numCache>
            </c:numRef>
          </c:val>
        </c:ser>
        <c:dLbls>
          <c:txPr>
            <a:bodyPr rot="0" horzOverflow="overflow" anchor="ctr" anchorCtr="1"/>
            <a:lstStyle/>
            <a:p>
              <a:pPr algn="ctr" rtl="0">
                <a:defRPr sz="1000">
                  <a:solidFill>
                    <a:schemeClr val="tx1"/>
                  </a:solidFill>
                </a:defRPr>
              </a:pPr>
              <a:endParaRPr lang="ja-JP" altLang="en-US" sz="1000">
                <a:latin typeface="ＭＳ ゴシック"/>
                <a:ea typeface="ＭＳ ゴシック"/>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General" sourceLinked="1"/>
        <c:majorTickMark val="out"/>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2"/>
        <c:crosses val="autoZero"/>
        <c:auto val="1"/>
        <c:lblAlgn val="ctr"/>
        <c:lblOffset val="100"/>
        <c:noMultiLvlLbl val="0"/>
      </c:catAx>
      <c:valAx>
        <c:axId val="2"/>
        <c:scaling>
          <c:orientation val="minMax"/>
          <c:max val="8000"/>
          <c:min val="5000"/>
        </c:scaling>
        <c:delete val="0"/>
        <c:axPos val="l"/>
        <c:majorGridlines/>
        <c:numFmt formatCode="#,##0_ " sourceLinked="0"/>
        <c:majorTickMark val="out"/>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1"/>
        <c:crosses val="autoZero"/>
        <c:crossBetween val="between"/>
        <c:majorUnit val="1000"/>
      </c:valAx>
    </c:plotArea>
    <c:plotVisOnly val="1"/>
    <c:dispBlanksAs val="gap"/>
    <c:showDLblsOverMax val="0"/>
  </c:chart>
  <c:spPr>
    <a:ln>
      <a:noFill/>
    </a:ln>
  </c:spPr>
  <c:txPr>
    <a:bodyPr horzOverflow="overflow" anchor="ctr" anchorCtr="1"/>
    <a:lstStyle/>
    <a:p>
      <a:pPr algn="ctr" rtl="0">
        <a:defRPr lang="ja-JP" altLang="en-US" sz="1000">
          <a:solidFill>
            <a:schemeClr val="tx1"/>
          </a:solidFill>
          <a:latin typeface="ＭＳ ゴシック"/>
          <a:ea typeface="ＭＳ ゴシック"/>
        </a:defRPr>
      </a:pPr>
      <a:endParaRPr lang="ja-JP" altLang="en-US" sz="1000">
        <a:latin typeface="ＭＳ ゴシック"/>
        <a:ea typeface="ＭＳ ゴシック"/>
      </a:endParaRPr>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043545693151997e-002"/>
          <c:y val="0.10526315789473684"/>
          <c:w val="0.69768372703412085"/>
          <c:h val="0.72514619883040932"/>
        </c:manualLayout>
      </c:layout>
      <c:lineChart>
        <c:grouping val="standard"/>
        <c:varyColors val="0"/>
        <c:ser>
          <c:idx val="0"/>
          <c:order val="0"/>
          <c:tx>
            <c:strRef>
              <c:f>=Sheet1!$B$1</c:f>
              <c:strCache>
                <c:ptCount val="1"/>
                <c:pt idx="0">
                  <c:v>男性</c:v>
                </c:pt>
              </c:strCache>
            </c:strRef>
          </c:tx>
          <c:spPr>
            <a:ln w="19050">
              <a:solidFill>
                <a:srgbClr val="00B0F0"/>
              </a:solidFill>
            </a:ln>
          </c:spPr>
          <c:marker>
            <c:spPr>
              <a:solidFill>
                <a:srgbClr val="00B0F0"/>
              </a:solidFill>
              <a:ln>
                <a:noFill/>
              </a:ln>
            </c:spPr>
          </c:marker>
          <c:dPt>
            <c:idx val="0"/>
            <c:invertIfNegative val="0"/>
            <c:marker/>
            <c:bubble3D val="0"/>
            <c:spPr>
              <a:ln w="19050">
                <a:solidFill>
                  <a:srgbClr val="00B0F0"/>
                </a:solidFill>
              </a:ln>
            </c:spPr>
          </c:dPt>
          <c:dPt>
            <c:idx val="1"/>
            <c:invertIfNegative val="0"/>
            <c:marker/>
            <c:bubble3D val="0"/>
            <c:spPr>
              <a:ln w="19050">
                <a:solidFill>
                  <a:srgbClr val="00B0F0"/>
                </a:solidFill>
              </a:ln>
            </c:spPr>
          </c:dPt>
          <c:dPt>
            <c:idx val="2"/>
            <c:invertIfNegative val="0"/>
            <c:marker/>
            <c:bubble3D val="0"/>
            <c:spPr>
              <a:ln w="19050">
                <a:solidFill>
                  <a:srgbClr val="00B0F0"/>
                </a:solidFill>
              </a:ln>
            </c:spPr>
          </c:dPt>
          <c:dLbls>
            <c:dLbl>
              <c:idx val="0"/>
              <c:layout>
                <c:manualLayout>
                  <c:x val="-0.13443756249305633"/>
                  <c:y val="-2.3188564568512393e-003"/>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dLbl>
              <c:idx val="1"/>
              <c:layout>
                <c:manualLayout>
                  <c:x val="-7.205655203642676e-002"/>
                  <c:y val="-6.9243818206934662e-002"/>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dLbl>
              <c:idx val="2"/>
              <c:layout>
                <c:manualLayout>
                  <c:x val="-1.450644372847461e-002"/>
                  <c:y val="7.3430454466955914e-003"/>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spPr>
              <a:noFill/>
              <a:ln>
                <a:noFill/>
              </a:ln>
              <a:effectLst/>
            </c:spPr>
            <c:txPr>
              <a:bodyPr rot="0" horzOverflow="overflow" anchor="ctr" anchorCtr="1"/>
              <a:lstStyle/>
              <a:p>
                <a:pPr algn="ctr" rtl="0">
                  <a:defRPr sz="900">
                    <a:solidFill>
                      <a:schemeClr val="tx1"/>
                    </a:solidFill>
                  </a:defRPr>
                </a:pPr>
                <a:endParaRPr lang="ja-JP" altLang="en-US">
                  <a:latin typeface="ＭＳ ゴシック"/>
                  <a:ea typeface="ＭＳ ゴシック"/>
                </a:endParaRPr>
              </a:p>
            </c:txPr>
            <c:dLblPos val="t"/>
            <c:showLegendKey val="0"/>
            <c:showVal val="1"/>
            <c:showCatName val="0"/>
            <c:showSerName val="0"/>
            <c:showPercent val="0"/>
            <c:showBubbleSize val="0"/>
          </c:dLbls>
          <c:cat>
            <c:strRef>
              <c:f>=Sheet1!$A$3:$A$5</c:f>
              <c:strCache>
                <c:ptCount val="3"/>
                <c:pt idx="0">
                  <c:v>H23</c:v>
                </c:pt>
                <c:pt idx="1">
                  <c:v>H28</c:v>
                </c:pt>
                <c:pt idx="2">
                  <c:v>R4</c:v>
                </c:pt>
              </c:strCache>
            </c:strRef>
          </c:cat>
          <c:val>
            <c:numRef>
              <c:f>=Sheet1!$B$3:$B$5</c:f>
              <c:numCache>
                <c:formatCode>General</c:formatCode>
                <c:ptCount val="3"/>
                <c:pt idx="0">
                  <c:v>17.5</c:v>
                </c:pt>
                <c:pt idx="1">
                  <c:v>16.399999999999999</c:v>
                </c:pt>
                <c:pt idx="2">
                  <c:v>16.8</c:v>
                </c:pt>
              </c:numCache>
            </c:numRef>
          </c:val>
          <c:smooth val="0"/>
        </c:ser>
        <c:ser>
          <c:idx val="1"/>
          <c:order val="1"/>
          <c:tx>
            <c:strRef>
              <c:f>=Sheet1!$C$1</c:f>
              <c:strCache>
                <c:ptCount val="1"/>
                <c:pt idx="0">
                  <c:v>女性</c:v>
                </c:pt>
              </c:strCache>
            </c:strRef>
          </c:tx>
          <c:spPr>
            <a:ln w="19050">
              <a:solidFill>
                <a:srgbClr val="FF7C80"/>
              </a:solidFill>
            </a:ln>
          </c:spPr>
          <c:marker>
            <c:spPr>
              <a:solidFill>
                <a:srgbClr val="FF7C80"/>
              </a:solidFill>
              <a:ln>
                <a:noFill/>
              </a:ln>
            </c:spPr>
          </c:marker>
          <c:dPt>
            <c:idx val="0"/>
            <c:invertIfNegative val="0"/>
            <c:marker/>
            <c:bubble3D val="0"/>
            <c:spPr>
              <a:ln w="19050">
                <a:solidFill>
                  <a:srgbClr val="FF7C80"/>
                </a:solidFill>
              </a:ln>
            </c:spPr>
          </c:dPt>
          <c:dPt>
            <c:idx val="1"/>
            <c:invertIfNegative val="0"/>
            <c:marker/>
            <c:bubble3D val="0"/>
            <c:spPr>
              <a:ln w="19050">
                <a:solidFill>
                  <a:srgbClr val="FF7C80"/>
                </a:solidFill>
              </a:ln>
            </c:spPr>
          </c:dPt>
          <c:dPt>
            <c:idx val="2"/>
            <c:invertIfNegative val="0"/>
            <c:marker/>
            <c:bubble3D val="0"/>
            <c:spPr>
              <a:ln w="19050">
                <a:solidFill>
                  <a:srgbClr val="FF7C80"/>
                </a:solidFill>
              </a:ln>
            </c:spPr>
          </c:dPt>
          <c:dLbls>
            <c:dLbl>
              <c:idx val="0"/>
              <c:layout>
                <c:manualLayout>
                  <c:x val="-8.8581546494834268e-002"/>
                  <c:y val="6.9082598610359841e-002"/>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dLbl>
              <c:idx val="1"/>
              <c:layout>
                <c:manualLayout>
                  <c:x val="-7.4516720364404777e-003"/>
                  <c:y val="6.9082598610359841e-002"/>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dLbl>
              <c:idx val="2"/>
              <c:layout>
                <c:manualLayout>
                  <c:x val="-1.450644372847461e-002"/>
                  <c:y val="8.8406402417454247e-002"/>
                </c:manualLayout>
              </c:layout>
              <c:spPr>
                <a:noFill/>
                <a:ln>
                  <a:noFill/>
                </a:ln>
                <a:effectLst/>
              </c:spPr>
              <c:txPr>
                <a:bodyPr/>
                <a:lstStyle/>
                <a:p>
                  <a:pPr>
                    <a:defRPr sz="900">
                      <a:solidFill>
                        <a:schemeClr val="tx1"/>
                      </a:solidFill>
                    </a:defRPr>
                  </a:pPr>
                  <a:endParaRPr lang="ja-JP" altLang="en-US">
                    <a:latin typeface="ＭＳ ゴシック"/>
                    <a:ea typeface="ＭＳ ゴシック"/>
                  </a:endParaRPr>
                </a:p>
              </c:txPr>
              <c:showLegendKey val="0"/>
              <c:showVal val="1"/>
              <c:showCatName val="0"/>
              <c:showSerName val="0"/>
              <c:showPercent val="0"/>
              <c:showBubbleSize val="0"/>
            </c:dLbl>
            <c:spPr>
              <a:noFill/>
              <a:ln>
                <a:noFill/>
              </a:ln>
              <a:effectLst/>
            </c:spPr>
            <c:txPr>
              <a:bodyPr rot="0" horzOverflow="overflow" anchor="ctr" anchorCtr="1"/>
              <a:lstStyle/>
              <a:p>
                <a:pPr algn="ctr" rtl="0">
                  <a:defRPr sz="900">
                    <a:solidFill>
                      <a:schemeClr val="tx1"/>
                    </a:solidFill>
                  </a:defRPr>
                </a:pPr>
                <a:endParaRPr lang="ja-JP" altLang="en-US">
                  <a:latin typeface="ＭＳ ゴシック"/>
                  <a:ea typeface="ＭＳ ゴシック"/>
                </a:endParaRPr>
              </a:p>
            </c:txPr>
            <c:dLblPos val="t"/>
            <c:showLegendKey val="0"/>
            <c:showVal val="1"/>
            <c:showCatName val="0"/>
            <c:showSerName val="0"/>
            <c:showPercent val="0"/>
            <c:showBubbleSize val="0"/>
          </c:dLbls>
          <c:cat>
            <c:strRef>
              <c:f>=Sheet1!$A$3:$A$5</c:f>
              <c:strCache>
                <c:ptCount val="3"/>
                <c:pt idx="0">
                  <c:v>H23</c:v>
                </c:pt>
                <c:pt idx="1">
                  <c:v>H28</c:v>
                </c:pt>
                <c:pt idx="2">
                  <c:v>R4</c:v>
                </c:pt>
              </c:strCache>
            </c:strRef>
          </c:cat>
          <c:val>
            <c:numRef>
              <c:f>=Sheet1!$C$3:$C$5</c:f>
              <c:numCache>
                <c:formatCode>General</c:formatCode>
                <c:ptCount val="3"/>
                <c:pt idx="0">
                  <c:v>8.1999999999999993</c:v>
                </c:pt>
                <c:pt idx="1">
                  <c:v>9.3000000000000007</c:v>
                </c:pt>
                <c:pt idx="2">
                  <c:v>9.6</c:v>
                </c:pt>
              </c:numCache>
            </c:numRef>
          </c:val>
          <c:smooth val="0"/>
        </c:ser>
        <c:dLbls>
          <c:txPr>
            <a:bodyPr rot="0" horzOverflow="overflow" anchor="ctr" anchorCtr="1"/>
            <a:lstStyle/>
            <a:p>
              <a:pPr algn="ctr" rtl="0">
                <a:defRPr sz="1050">
                  <a:solidFill>
                    <a:schemeClr val="tx1"/>
                  </a:solidFill>
                </a:defRPr>
              </a:pPr>
              <a:endParaRPr lang="ja-JP" altLang="en-US">
                <a:latin typeface="ＭＳ ゴシック"/>
                <a:ea typeface="ＭＳ ゴシック"/>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0"/>
        <c:majorTickMark val="in"/>
        <c:minorTickMark val="none"/>
        <c:tickLblPos val="nextTo"/>
        <c:txPr>
          <a:bodyPr horzOverflow="overflow" anchor="ctr" anchorCtr="1"/>
          <a:lstStyle/>
          <a:p>
            <a:pPr algn="ctr" rtl="0">
              <a:defRPr sz="1000">
                <a:solidFill>
                  <a:schemeClr val="tx1"/>
                </a:solidFill>
              </a:defRPr>
            </a:pPr>
            <a:endParaRPr lang="ja-JP" altLang="en-US">
              <a:latin typeface="ＭＳ ゴシック"/>
              <a:ea typeface="ＭＳ ゴシック"/>
            </a:endParaRPr>
          </a:p>
        </c:txPr>
        <c:crossAx val="2"/>
        <c:crosses val="autoZero"/>
        <c:auto val="1"/>
        <c:lblAlgn val="ctr"/>
        <c:lblOffset val="100"/>
        <c:noMultiLvlLbl val="0"/>
      </c:catAx>
      <c:valAx>
        <c:axId val="2"/>
        <c:scaling>
          <c:orientation val="minMax"/>
          <c:max val="20"/>
          <c:min val="0"/>
        </c:scaling>
        <c:delete val="0"/>
        <c:axPos val="l"/>
        <c:majorGridlines/>
        <c:numFmt formatCode="General" sourceLinked="1"/>
        <c:majorTickMark val="in"/>
        <c:minorTickMark val="none"/>
        <c:tickLblPos val="nextTo"/>
        <c:txPr>
          <a:bodyPr horzOverflow="overflow" anchor="ctr" anchorCtr="1"/>
          <a:lstStyle/>
          <a:p>
            <a:pPr algn="ctr" rtl="0">
              <a:defRPr sz="1000">
                <a:solidFill>
                  <a:schemeClr val="tx1"/>
                </a:solidFill>
              </a:defRPr>
            </a:pPr>
            <a:endParaRPr lang="ja-JP" altLang="en-US">
              <a:latin typeface="ＭＳ ゴシック"/>
              <a:ea typeface="ＭＳ ゴシック"/>
            </a:endParaRPr>
          </a:p>
        </c:txPr>
        <c:crossAx val="1"/>
        <c:crosses val="autoZero"/>
        <c:crossBetween val="between"/>
        <c:majorUnit val="10"/>
      </c:valAx>
    </c:plotArea>
    <c:legend>
      <c:legendPos val="r"/>
      <c:legendEntry>
        <c:idx val="0"/>
        <c:txPr>
          <a:bodyPr horzOverflow="overflow" anchor="ctr" anchorCtr="1"/>
          <a:lstStyle/>
          <a:p>
            <a:pPr algn="l" rtl="0">
              <a:defRPr kumimoji="0" sz="800" kern="1200">
                <a:solidFill>
                  <a:schemeClr val="tx1"/>
                </a:solidFill>
              </a:defRPr>
            </a:pPr>
            <a:endParaRPr lang="ja-JP" altLang="en-US">
              <a:latin typeface="ＭＳ ゴシック"/>
              <a:ea typeface="ＭＳ ゴシック"/>
            </a:endParaRPr>
          </a:p>
        </c:txPr>
      </c:legendEntry>
      <c:legendEntry>
        <c:idx val="1"/>
        <c:txPr>
          <a:bodyPr horzOverflow="overflow" anchor="ctr" anchorCtr="1"/>
          <a:lstStyle/>
          <a:p>
            <a:pPr algn="l" rtl="0">
              <a:defRPr kumimoji="0" sz="800" kern="1200">
                <a:solidFill>
                  <a:schemeClr val="tx1"/>
                </a:solidFill>
              </a:defRPr>
            </a:pPr>
            <a:endParaRPr lang="ja-JP" altLang="en-US">
              <a:latin typeface="ＭＳ ゴシック"/>
              <a:ea typeface="ＭＳ ゴシック"/>
            </a:endParaRPr>
          </a:p>
        </c:txPr>
      </c:legendEntry>
      <c:layout>
        <c:manualLayout>
          <c:xMode val="edge"/>
          <c:yMode val="edge"/>
          <c:x val="0.8144927536231884"/>
          <c:y val="0.33628318584070799"/>
          <c:w val="0.18260869565217391"/>
          <c:h val="0.17699115044247787"/>
        </c:manualLayout>
      </c:layout>
      <c:overlay val="0"/>
      <c:txPr>
        <a:bodyPr horzOverflow="overflow" anchor="ctr" anchorCtr="1"/>
        <a:lstStyle/>
        <a:p>
          <a:pPr algn="l" rtl="0">
            <a:defRPr sz="900">
              <a:solidFill>
                <a:schemeClr val="tx1"/>
              </a:solidFill>
            </a:defRPr>
          </a:pPr>
          <a:endParaRPr lang="ja-JP" altLang="en-US">
            <a:latin typeface="ＭＳ ゴシック"/>
            <a:ea typeface="ＭＳ ゴシック"/>
          </a:endParaRPr>
        </a:p>
      </c:txPr>
    </c:legend>
    <c:plotVisOnly val="1"/>
    <c:dispBlanksAs val="gap"/>
    <c:showDLblsOverMax val="0"/>
  </c:chart>
  <c:spPr>
    <a:noFill/>
    <a:ln w="12700" cap="flat" cmpd="sng">
      <a:noFill/>
      <a:prstDash val="solid"/>
      <a:round/>
      <a:headEnd type="none" w="med" len="med"/>
      <a:tailEnd type="none" w="med" len="med"/>
    </a:ln>
  </c:spPr>
  <c:txPr>
    <a:bodyPr horzOverflow="overflow" anchor="ctr" anchorCtr="1"/>
    <a:lstStyle/>
    <a:p>
      <a:pPr algn="ctr" rtl="0">
        <a:defRPr lang="ja-JP" altLang="en-US" sz="1050">
          <a:solidFill>
            <a:schemeClr val="tx1"/>
          </a:solidFill>
          <a:latin typeface="ＭＳ ゴシック"/>
          <a:ea typeface="ＭＳ ゴシック"/>
        </a:defRPr>
      </a:pPr>
      <a:endParaRPr lang="ja-JP" altLang="en-US">
        <a:latin typeface="ＭＳ ゴシック"/>
        <a:ea typeface="ＭＳ ゴシック"/>
      </a:endParaRPr>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5.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3448275862069"/>
          <c:y val="7.407407407407407e-002"/>
          <c:w val="0.81379310344827582"/>
          <c:h val="0.65608465608465605"/>
        </c:manualLayout>
      </c:layout>
      <c:lineChart>
        <c:grouping val="standard"/>
        <c:varyColors val="0"/>
        <c:ser>
          <c:idx val="2"/>
          <c:order val="0"/>
          <c:tx>
            <c:strRef>
              <c:f>=Sheet1!$B$1</c:f>
              <c:strCache>
                <c:ptCount val="1"/>
                <c:pt idx="0">
                  <c:v>男性</c:v>
                </c:pt>
              </c:strCache>
            </c:strRef>
          </c:tx>
          <c:spPr>
            <a:ln w="19050">
              <a:solidFill>
                <a:srgbClr val="00B0F0"/>
              </a:solidFill>
            </a:ln>
          </c:spPr>
          <c:marker>
            <c:symbol val="diamond"/>
            <c:size val="5"/>
            <c:spPr>
              <a:solidFill>
                <a:srgbClr val="00B0F0"/>
              </a:solidFill>
              <a:ln>
                <a:noFill/>
              </a:ln>
            </c:spPr>
          </c:marker>
          <c:dPt>
            <c:idx val="0"/>
            <c:invertIfNegative val="0"/>
            <c:marker>
              <c:symbol val="diamond"/>
              <c:size val="5"/>
            </c:marker>
            <c:bubble3D val="0"/>
            <c:spPr>
              <a:ln w="19050">
                <a:solidFill>
                  <a:srgbClr val="00B0F0"/>
                </a:solidFill>
              </a:ln>
            </c:spPr>
          </c:dPt>
          <c:dPt>
            <c:idx val="1"/>
            <c:invertIfNegative val="0"/>
            <c:marker>
              <c:symbol val="diamond"/>
              <c:size val="5"/>
            </c:marker>
            <c:bubble3D val="0"/>
            <c:spPr>
              <a:ln w="19050">
                <a:solidFill>
                  <a:srgbClr val="00B0F0"/>
                </a:solidFill>
              </a:ln>
            </c:spPr>
          </c:dPt>
          <c:dLbls>
            <c:dLbl>
              <c:idx val="0"/>
              <c:layout/>
              <c:spPr>
                <a:noFill/>
                <a:ln>
                  <a:noFill/>
                </a:ln>
                <a:effectLst/>
              </c:spPr>
              <c:txPr>
                <a:bodyPr/>
                <a:lstStyle/>
                <a:p>
                  <a:pPr>
                    <a:defRPr kumimoji="0" sz="900" kern="1200">
                      <a:solidFill>
                        <a:schemeClr val="tx1"/>
                      </a:solidFill>
                    </a:defRPr>
                  </a:pPr>
                  <a:endParaRPr lang="ja-JP" altLang="en-US" sz="900">
                    <a:latin typeface="ＭＳ ゴシック"/>
                    <a:ea typeface="ＭＳ ゴシック"/>
                  </a:endParaRPr>
                </a:p>
              </c:txPr>
              <c:dLblPos val="t"/>
              <c:showLegendKey val="0"/>
              <c:showVal val="1"/>
              <c:showCatName val="0"/>
              <c:showSerName val="0"/>
              <c:showPercent val="0"/>
              <c:showBubbleSize val="0"/>
            </c:dLbl>
            <c:dLbl>
              <c:idx val="1"/>
              <c:layout/>
              <c:spPr>
                <a:noFill/>
                <a:ln>
                  <a:noFill/>
                </a:ln>
                <a:effectLst/>
              </c:spPr>
              <c:txPr>
                <a:bodyPr/>
                <a:lstStyle/>
                <a:p>
                  <a:pPr>
                    <a:defRPr kumimoji="0" sz="900" kern="1200">
                      <a:solidFill>
                        <a:schemeClr val="tx1"/>
                      </a:solidFill>
                    </a:defRPr>
                  </a:pPr>
                  <a:endParaRPr lang="ja-JP" altLang="en-US" sz="900">
                    <a:latin typeface="ＭＳ ゴシック"/>
                    <a:ea typeface="ＭＳ ゴシック"/>
                  </a:endParaRPr>
                </a:p>
              </c:txPr>
              <c:dLblPos val="t"/>
              <c:showLegendKey val="0"/>
              <c:showVal val="1"/>
              <c:showCatName val="0"/>
              <c:showSerName val="0"/>
              <c:showPercent val="0"/>
              <c:showBubbleSize val="0"/>
            </c:dLbl>
            <c:spPr>
              <a:noFill/>
              <a:ln>
                <a:noFill/>
              </a:ln>
              <a:effectLst/>
            </c:spPr>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=Sheet1!$B$2:$B$4</c:f>
              <c:numCache>
                <c:formatCode>0.0</c:formatCode>
                <c:ptCount val="3"/>
                <c:pt idx="0">
                  <c:v>32.1</c:v>
                </c:pt>
                <c:pt idx="1">
                  <c:v>28.6</c:v>
                </c:pt>
                <c:pt idx="2" formatCode="0.0_ ">
                  <c:v>27</c:v>
                </c:pt>
              </c:numCache>
            </c:numRef>
          </c:val>
          <c:smooth val="0"/>
        </c:ser>
        <c:ser>
          <c:idx val="3"/>
          <c:order val="1"/>
          <c:tx>
            <c:strRef>
              <c:f>=Sheet1!$C$1</c:f>
              <c:strCache>
                <c:ptCount val="1"/>
                <c:pt idx="0">
                  <c:v>女性</c:v>
                </c:pt>
              </c:strCache>
            </c:strRef>
          </c:tx>
          <c:spPr>
            <a:ln w="19050">
              <a:solidFill>
                <a:srgbClr val="FF7C80"/>
              </a:solidFill>
            </a:ln>
          </c:spPr>
          <c:marker>
            <c:symbol val="square"/>
            <c:size val="5"/>
            <c:spPr>
              <a:solidFill>
                <a:srgbClr val="FF7C80"/>
              </a:solidFill>
              <a:ln>
                <a:noFill/>
              </a:ln>
            </c:spPr>
          </c:marker>
          <c:dPt>
            <c:idx val="0"/>
            <c:invertIfNegative val="0"/>
            <c:marker>
              <c:symbol val="square"/>
              <c:size val="5"/>
            </c:marker>
            <c:bubble3D val="0"/>
            <c:spPr>
              <a:ln w="19050">
                <a:solidFill>
                  <a:srgbClr val="FF7C80"/>
                </a:solidFill>
              </a:ln>
            </c:spPr>
          </c:dPt>
          <c:dPt>
            <c:idx val="1"/>
            <c:invertIfNegative val="0"/>
            <c:marker>
              <c:symbol val="square"/>
              <c:size val="5"/>
            </c:marker>
            <c:bubble3D val="0"/>
            <c:spPr>
              <a:ln w="19050">
                <a:solidFill>
                  <a:srgbClr val="FF7C80"/>
                </a:solidFill>
              </a:ln>
            </c:spPr>
          </c:dPt>
          <c:dPt>
            <c:idx val="2"/>
            <c:invertIfNegative val="0"/>
            <c:marker>
              <c:symbol val="square"/>
              <c:size val="5"/>
            </c:marker>
            <c:bubble3D val="0"/>
            <c:spPr>
              <a:ln w="19050">
                <a:solidFill>
                  <a:srgbClr val="FF7C80"/>
                </a:solidFill>
              </a:ln>
            </c:spPr>
          </c:dPt>
          <c:dPt>
            <c:idx val="3"/>
            <c:invertIfNegative val="0"/>
            <c:marker>
              <c:symbol val="square"/>
              <c:size val="5"/>
            </c:marker>
            <c:bubble3D val="0"/>
          </c:dPt>
          <c:dLbls>
            <c:dLbl>
              <c:idx val="0"/>
              <c:layout>
                <c:manualLayout>
                  <c:x val="-0.10573418175126634"/>
                  <c:y val="-7.8697934497318267e-002"/>
                </c:manualLayout>
              </c:layout>
              <c:spPr>
                <a:noFill/>
                <a:ln>
                  <a:noFill/>
                </a:ln>
                <a:effectLst/>
              </c:spPr>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1"/>
              <c:layout>
                <c:manualLayout>
                  <c:x val="-5.3967754997150473e-002"/>
                  <c:y val="-8.6475234426675637e-002"/>
                </c:manualLayout>
              </c:layout>
              <c:spPr>
                <a:noFill/>
                <a:ln>
                  <a:noFill/>
                </a:ln>
                <a:effectLst/>
              </c:spPr>
              <c:txPr>
                <a:bodyPr/>
                <a:lstStyle/>
                <a:p>
                  <a:pPr>
                    <a:defRPr kumimoji="0" sz="900" kern="1200">
                      <a:solidFill>
                        <a:schemeClr val="tx1"/>
                      </a:solidFill>
                    </a:defRPr>
                  </a:pPr>
                  <a:endParaRPr lang="ja-JP" altLang="en-US" sz="900">
                    <a:latin typeface="ＭＳ ゴシック"/>
                    <a:ea typeface="ＭＳ ゴシック"/>
                  </a:endParaRPr>
                </a:p>
              </c:txPr>
              <c:showLegendKey val="0"/>
              <c:showVal val="1"/>
              <c:showCatName val="0"/>
              <c:showSerName val="0"/>
              <c:showPercent val="0"/>
              <c:showBubbleSize val="0"/>
            </c:dLbl>
            <c:dLbl>
              <c:idx val="2"/>
              <c:layout/>
              <c:spPr>
                <a:noFill/>
                <a:ln>
                  <a:noFill/>
                </a:ln>
                <a:effectLst/>
              </c:spPr>
              <c:txPr>
                <a:bodyPr/>
                <a:lstStyle/>
                <a:p>
                  <a:pPr>
                    <a:defRPr kumimoji="0" sz="900" kern="1200">
                      <a:solidFill>
                        <a:schemeClr val="tx1"/>
                      </a:solidFill>
                    </a:defRPr>
                  </a:pPr>
                  <a:endParaRPr lang="ja-JP" altLang="en-US" sz="900">
                    <a:latin typeface="ＭＳ ゴシック"/>
                    <a:ea typeface="ＭＳ ゴシック"/>
                  </a:endParaRPr>
                </a:p>
              </c:txPr>
              <c:dLblPos val="t"/>
              <c:showLegendKey val="0"/>
              <c:showVal val="1"/>
              <c:showCatName val="0"/>
              <c:showSerName val="0"/>
              <c:showPercent val="0"/>
              <c:showBubbleSize val="0"/>
            </c:dLbl>
            <c:dLbl>
              <c:idx val="3"/>
              <c:layout/>
              <c:spPr>
                <a:noFill/>
                <a:ln>
                  <a:noFill/>
                </a:ln>
                <a:effectLst/>
              </c:spPr>
              <c:txPr>
                <a:bodyPr lIns="36576" tIns="18288" rIns="36576" bIns="18288"/>
                <a:lstStyle/>
                <a:p>
                  <a:pPr>
                    <a:defRPr kumimoji="0" sz="900" kern="1200">
                      <a:solidFill>
                        <a:schemeClr val="tx1"/>
                      </a:solidFill>
                    </a:defRPr>
                  </a:pPr>
                  <a:endParaRPr lang="ja-JP" altLang="en-US">
                    <a:latin typeface="ＭＳ ゴシック"/>
                    <a:ea typeface="ＭＳ ゴシック"/>
                  </a:endParaRPr>
                </a:p>
              </c:txPr>
              <c:dLblPos val="t"/>
              <c:showLegendKey val="0"/>
              <c:showVal val="1"/>
              <c:showCatName val="0"/>
              <c:showSerName val="0"/>
              <c:showPercent val="0"/>
              <c:showBubbleSize val="0"/>
            </c:dLbl>
            <c:spPr>
              <a:noFill/>
              <a:ln>
                <a:noFill/>
              </a:ln>
              <a:effectLst/>
            </c:spPr>
            <c:txPr>
              <a:bodyPr rot="0" horzOverflow="overflow" lIns="36576" tIns="18288" rIns="36576" bIns="18288" anchor="ctr" anchorCtr="1"/>
              <a:lstStyle/>
              <a:p>
                <a:pPr algn="ctr" rtl="0">
                  <a:defRPr kumimoji="0" sz="900" kern="1200">
                    <a:solidFill>
                      <a:schemeClr val="tx1"/>
                    </a:solidFill>
                  </a:defRPr>
                </a:pPr>
                <a:endParaRPr lang="ja-JP" altLang="en-US">
                  <a:latin typeface="ＭＳ ゴシック"/>
                  <a:ea typeface="ＭＳ ゴシック"/>
                </a:endParaRPr>
              </a:p>
            </c:txPr>
            <c:dLblPos val="l"/>
            <c:showLegendKey val="0"/>
            <c:showVal val="1"/>
            <c:showCatName val="0"/>
            <c:showSerName val="0"/>
            <c:showPercent val="0"/>
            <c:showBubbleSize val="0"/>
          </c:dLbls>
          <c:cat>
            <c:strRef>
              <c:f>=Sheet1!$A$2:$A$4</c:f>
              <c:strCache>
                <c:ptCount val="3"/>
                <c:pt idx="0">
                  <c:v>H23</c:v>
                </c:pt>
                <c:pt idx="1">
                  <c:v>H28</c:v>
                </c:pt>
                <c:pt idx="2">
                  <c:v>R4</c:v>
                </c:pt>
              </c:strCache>
            </c:strRef>
          </c:cat>
          <c:val>
            <c:numRef>
              <c:f>=Sheet1!$C$2:$C$4</c:f>
              <c:numCache>
                <c:formatCode>0.0</c:formatCode>
                <c:ptCount val="3"/>
                <c:pt idx="0">
                  <c:v>9.1999999999999993</c:v>
                </c:pt>
                <c:pt idx="1">
                  <c:v>7.4</c:v>
                </c:pt>
                <c:pt idx="2" formatCode="General">
                  <c:v>6.4</c:v>
                </c:pt>
              </c:numCache>
            </c:numRef>
          </c:val>
          <c:smooth val="0"/>
        </c:ser>
        <c:dLbls>
          <c:txPr>
            <a:bodyPr rot="0" horzOverflow="overflow" anchor="ctr" anchorCtr="1"/>
            <a:lstStyle/>
            <a:p>
              <a:pPr algn="ctr" rtl="0">
                <a:defRPr sz="2000">
                  <a:solidFill>
                    <a:schemeClr val="tx1"/>
                  </a:solidFill>
                </a:defRPr>
              </a:pPr>
              <a:endParaRPr lang="ja-JP" altLang="en-US">
                <a:latin typeface="ＭＳ ゴシック"/>
                <a:ea typeface="ＭＳ ゴシック"/>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0"/>
        <c:majorTickMark val="in"/>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2"/>
        <c:crosses val="autoZero"/>
        <c:auto val="1"/>
        <c:lblAlgn val="ctr"/>
        <c:lblOffset val="100"/>
        <c:noMultiLvlLbl val="0"/>
      </c:catAx>
      <c:valAx>
        <c:axId val="2"/>
        <c:scaling>
          <c:orientation val="minMax"/>
          <c:max val="40"/>
          <c:min val="0"/>
        </c:scaling>
        <c:delete val="0"/>
        <c:axPos val="l"/>
        <c:majorGridlines/>
        <c:numFmt formatCode="0" sourceLinked="0"/>
        <c:majorTickMark val="in"/>
        <c:minorTickMark val="none"/>
        <c:tickLblPos val="nextTo"/>
        <c:txPr>
          <a:bodyPr horzOverflow="overflow" anchor="ctr" anchorCtr="1"/>
          <a:lstStyle/>
          <a:p>
            <a:pPr algn="ctr" rtl="0">
              <a:defRPr kumimoji="0" sz="900" kern="1200">
                <a:solidFill>
                  <a:schemeClr val="tx1"/>
                </a:solidFill>
              </a:defRPr>
            </a:pPr>
            <a:endParaRPr lang="ja-JP" altLang="en-US">
              <a:latin typeface="ＭＳ ゴシック"/>
              <a:ea typeface="ＭＳ ゴシック"/>
            </a:endParaRPr>
          </a:p>
        </c:txPr>
        <c:crossAx val="1"/>
        <c:crosses val="autoZero"/>
        <c:crossBetween val="between"/>
        <c:majorUnit val="10"/>
      </c:valAx>
    </c:plotArea>
    <c:legend>
      <c:legendPos val="b"/>
      <c:layout>
        <c:manualLayout>
          <c:xMode val="edge"/>
          <c:yMode val="edge"/>
          <c:x val="0.30344827586206896"/>
          <c:y val="0.87301587301587291"/>
          <c:w val="0.41379310344827591"/>
          <c:h val="9.5238095238095233e-002"/>
        </c:manualLayout>
      </c:layout>
      <c:overlay val="0"/>
      <c:txPr>
        <a:bodyPr horzOverflow="overflow" anchor="ctr" anchorCtr="1"/>
        <a:lstStyle/>
        <a:p>
          <a:pPr algn="l" rtl="0">
            <a:defRPr kumimoji="0" sz="800" kern="1200">
              <a:solidFill>
                <a:schemeClr val="tx1"/>
              </a:solidFill>
            </a:defRPr>
          </a:pPr>
          <a:endParaRPr lang="ja-JP" altLang="en-US">
            <a:latin typeface="ＭＳ ゴシック"/>
            <a:ea typeface="ＭＳ ゴシック"/>
          </a:endParaRPr>
        </a:p>
      </c:txPr>
    </c:legend>
    <c:plotVisOnly val="1"/>
    <c:dispBlanksAs val="gap"/>
    <c:showDLblsOverMax val="0"/>
  </c:chart>
  <c:spPr>
    <a:solidFill>
      <a:schemeClr val="lt1"/>
    </a:solidFill>
    <a:ln w="12700" cap="flat" cmpd="sng" algn="ctr">
      <a:noFill/>
      <a:prstDash val="solid"/>
      <a:miter lim="800000"/>
    </a:ln>
  </c:spPr>
  <c:txPr>
    <a:bodyPr horzOverflow="overflow" anchor="ctr" anchorCtr="1"/>
    <a:lstStyle/>
    <a:p>
      <a:pPr algn="ctr" rtl="0">
        <a:defRPr lang="ja-JP" altLang="en-US" sz="2000">
          <a:solidFill>
            <a:schemeClr val="tx1"/>
          </a:solidFill>
          <a:latin typeface="ＭＳ ゴシック"/>
          <a:ea typeface="ＭＳ ゴシック"/>
        </a:defRPr>
      </a:pPr>
      <a:endParaRPr lang="ja-JP" altLang="en-US">
        <a:latin typeface="ＭＳ ゴシック"/>
        <a:ea typeface="ＭＳ ゴシック"/>
      </a:endParaRPr>
    </a:p>
  </c:txPr>
  <c:externalData r:id="rId1">
    <c:autoUpdate val="0"/>
  </c:externalData>
  <c:extLst>
    <c:ext xmlns:c14="http://schemas.microsoft.com/office/drawing/2007/8/2/chart" uri="{781A3756-C4B2-4CAC-9D66-4F8BD8637D16}"/>
  </c:extLst>
</c:chartSpace>
</file>

<file path=word/charts/chart6.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4063047285464099e-002"/>
          <c:y val="5.6140350877192984e-002"/>
          <c:w val="0.90718038528896672"/>
          <c:h val="0.72631578947368414"/>
        </c:manualLayout>
      </c:layout>
      <c:barChart>
        <c:barDir val="col"/>
        <c:grouping val="clustered"/>
        <c:varyColors val="0"/>
        <c:ser>
          <c:idx val="0"/>
          <c:order val="0"/>
          <c:tx>
            <c:strRef>
              <c:f>=Sheet1!$B$1</c:f>
              <c:strCache>
                <c:ptCount val="1"/>
                <c:pt idx="0">
                  <c:v>国</c:v>
                </c:pt>
              </c:strCache>
            </c:strRef>
          </c:tx>
          <c:spPr>
            <a:solidFill>
              <a:srgbClr val="93CEDD"/>
            </a:solidFill>
            <a:ln>
              <a:noFill/>
            </a:ln>
            <a:effectLst/>
          </c:spPr>
          <c:invertIfNegative val="0"/>
          <c:dPt>
            <c:idx val="0"/>
            <c:invertIfNegative val="0"/>
            <c:bubble3D val="0"/>
            <c:spPr>
              <a:solidFill>
                <a:srgbClr val="93CEDD"/>
              </a:solidFill>
              <a:ln>
                <a:noFill/>
              </a:ln>
              <a:effectLst/>
            </c:spPr>
          </c:dPt>
          <c:dPt>
            <c:idx val="3"/>
            <c:invertIfNegative val="0"/>
            <c:bubble3D val="0"/>
            <c:spPr>
              <a:solidFill>
                <a:srgbClr val="93CEDD"/>
              </a:solidFill>
              <a:ln>
                <a:noFill/>
              </a:ln>
              <a:effectLst/>
            </c:spPr>
          </c:dPt>
          <c:dPt>
            <c:idx val="6"/>
            <c:invertIfNegative val="0"/>
            <c:bubble3D val="0"/>
            <c:spPr>
              <a:solidFill>
                <a:srgbClr val="93CEDD"/>
              </a:solidFill>
              <a:ln>
                <a:noFill/>
              </a:ln>
              <a:effectLst/>
            </c:spPr>
          </c:dPt>
          <c:dPt>
            <c:idx val="8"/>
            <c:invertIfNegative val="0"/>
            <c:bubble3D val="0"/>
            <c:spPr>
              <a:solidFill>
                <a:srgbClr val="93CEDD"/>
              </a:solidFill>
              <a:ln>
                <a:noFill/>
              </a:ln>
              <a:effectLst/>
            </c:spPr>
          </c:dPt>
          <c:dPt>
            <c:idx val="9"/>
            <c:invertIfNegative val="0"/>
            <c:bubble3D val="0"/>
            <c:spPr>
              <a:solidFill>
                <a:srgbClr val="93CEDD"/>
              </a:solidFill>
              <a:ln>
                <a:noFill/>
              </a:ln>
              <a:effectLst/>
            </c:spPr>
          </c:dPt>
          <c:dPt>
            <c:idx val="11"/>
            <c:invertIfNegative val="0"/>
            <c:bubble3D val="0"/>
            <c:spPr>
              <a:solidFill>
                <a:srgbClr val="93CEDD"/>
              </a:solidFill>
              <a:ln>
                <a:noFill/>
              </a:ln>
              <a:effectLst/>
            </c:spPr>
          </c:dPt>
          <c:dPt>
            <c:idx val="12"/>
            <c:invertIfNegative val="0"/>
            <c:bubble3D val="0"/>
            <c:spPr>
              <a:solidFill>
                <a:srgbClr val="93CEDD"/>
              </a:solidFill>
              <a:ln>
                <a:no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dLblPos val="outEnd"/>
              <c:showLegendKey val="0"/>
              <c:showVal val="1"/>
              <c:showCatName val="0"/>
              <c:showSerName val="0"/>
              <c:showPercent val="0"/>
              <c:showBubbleSize val="0"/>
            </c:dLbl>
            <c:dLbl>
              <c:idx val="3"/>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dLblPos val="outEnd"/>
              <c:showLegendKey val="0"/>
              <c:showVal val="1"/>
              <c:showCatName val="0"/>
              <c:showSerName val="0"/>
              <c:showPercent val="0"/>
              <c:showBubbleSize val="0"/>
            </c:dLbl>
            <c:dLbl>
              <c:idx val="6"/>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dLblPos val="outEnd"/>
              <c:showLegendKey val="0"/>
              <c:showVal val="1"/>
              <c:showCatName val="0"/>
              <c:showSerName val="0"/>
              <c:showPercent val="0"/>
              <c:showBubbleSize val="0"/>
            </c:dLbl>
            <c:dLbl>
              <c:idx val="8"/>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dLblPos val="outEnd"/>
              <c:showLegendKey val="0"/>
              <c:showVal val="1"/>
              <c:showCatName val="0"/>
              <c:showSerName val="0"/>
              <c:showPercent val="0"/>
              <c:showBubbleSize val="0"/>
            </c:dLbl>
            <c:dLbl>
              <c:idx val="9"/>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dLblPos val="outEnd"/>
              <c:showLegendKey val="0"/>
              <c:showVal val="1"/>
              <c:showCatName val="0"/>
              <c:showSerName val="0"/>
              <c:showPercent val="0"/>
              <c:showBubbleSize val="0"/>
            </c:dLbl>
            <c:dLbl>
              <c:idx val="11"/>
              <c:layout>
                <c:manualLayout>
                  <c:x val="-7.3186870941494193e-004"/>
                  <c:y val="-1.266362757286918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showLegendKey val="0"/>
              <c:showVal val="1"/>
              <c:showCatName val="0"/>
              <c:showSerName val="0"/>
              <c:showPercent val="0"/>
              <c:showBubbleSize val="0"/>
            </c:dLbl>
            <c:dLbl>
              <c:idx val="12"/>
              <c:layout>
                <c:manualLayout>
                  <c:x val="-8.6509692922884034e-004"/>
                  <c:y val="-3.012681309573145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=Sheet1!$B$2:$B$15</c:f>
              <c:numCache>
                <c:formatCode>0.0%</c:formatCode>
                <c:ptCount val="14"/>
                <c:pt idx="0">
                  <c:v>0.38900000000000001</c:v>
                </c:pt>
                <c:pt idx="1">
                  <c:v>0.41299999999999998</c:v>
                </c:pt>
                <c:pt idx="2">
                  <c:v>0.432</c:v>
                </c:pt>
                <c:pt idx="3">
                  <c:v>0.44700000000000001</c:v>
                </c:pt>
                <c:pt idx="4">
                  <c:v>0.46200000000000002</c:v>
                </c:pt>
                <c:pt idx="5">
                  <c:v>0.47599999999999998</c:v>
                </c:pt>
                <c:pt idx="6">
                  <c:v>0.48599999999999999</c:v>
                </c:pt>
                <c:pt idx="7">
                  <c:v>0.501</c:v>
                </c:pt>
                <c:pt idx="8">
                  <c:v>0.51400000000000001</c:v>
                </c:pt>
                <c:pt idx="9">
                  <c:v>0.53100000000000003</c:v>
                </c:pt>
                <c:pt idx="10">
                  <c:v>0.54700000000000004</c:v>
                </c:pt>
                <c:pt idx="11">
                  <c:v>0.55600000000000005</c:v>
                </c:pt>
                <c:pt idx="12">
                  <c:v>0.53100000000000003</c:v>
                </c:pt>
                <c:pt idx="13">
                  <c:v>0.56200000000000006</c:v>
                </c:pt>
              </c:numCache>
            </c:numRef>
          </c:val>
        </c:ser>
        <c:ser>
          <c:idx val="1"/>
          <c:order val="1"/>
          <c:tx>
            <c:strRef>
              <c:f>=Sheet1!$C$1</c:f>
              <c:strCache>
                <c:ptCount val="1"/>
                <c:pt idx="0">
                  <c:v>県</c:v>
                </c:pt>
              </c:strCache>
            </c:strRef>
          </c:tx>
          <c:spPr>
            <a:solidFill>
              <a:schemeClr val="accent2"/>
            </a:solidFill>
            <a:ln>
              <a:noFill/>
            </a:ln>
            <a:effectLst/>
          </c:spPr>
          <c:invertIfNegative val="0"/>
          <c:dPt>
            <c:idx val="3"/>
            <c:invertIfNegative val="0"/>
            <c:bubble3D val="0"/>
            <c:spPr>
              <a:solidFill>
                <a:schemeClr val="accent2"/>
              </a:solidFill>
              <a:ln>
                <a:noFill/>
              </a:ln>
              <a:effectLst/>
            </c:spPr>
          </c:dPt>
          <c:dPt>
            <c:idx val="4"/>
            <c:invertIfNegative val="0"/>
            <c:bubble3D val="0"/>
            <c:spPr>
              <a:solidFill>
                <a:schemeClr val="accent2"/>
              </a:solidFill>
              <a:ln>
                <a:noFill/>
              </a:ln>
              <a:effectLst/>
            </c:spPr>
          </c:dPt>
          <c:dPt>
            <c:idx val="5"/>
            <c:invertIfNegative val="0"/>
            <c:bubble3D val="0"/>
            <c:spPr>
              <a:solidFill>
                <a:schemeClr val="accent2"/>
              </a:solidFill>
              <a:ln>
                <a:noFill/>
              </a:ln>
              <a:effectLst/>
            </c:spPr>
          </c:dPt>
          <c:dPt>
            <c:idx val="6"/>
            <c:invertIfNegative val="0"/>
            <c:bubble3D val="0"/>
            <c:spPr>
              <a:solidFill>
                <a:schemeClr val="accent2"/>
              </a:solidFill>
              <a:ln>
                <a:noFill/>
              </a:ln>
              <a:effectLst/>
            </c:spPr>
          </c:dPt>
          <c:dPt>
            <c:idx val="7"/>
            <c:invertIfNegative val="0"/>
            <c:bubble3D val="0"/>
            <c:spPr>
              <a:solidFill>
                <a:schemeClr val="accent2"/>
              </a:solidFill>
              <a:ln>
                <a:noFill/>
              </a:ln>
              <a:effectLst/>
            </c:spPr>
          </c:dPt>
          <c:dPt>
            <c:idx val="8"/>
            <c:invertIfNegative val="0"/>
            <c:bubble3D val="0"/>
            <c:spPr>
              <a:solidFill>
                <a:schemeClr val="accent2"/>
              </a:solidFill>
              <a:ln>
                <a:noFill/>
              </a:ln>
              <a:effectLst/>
            </c:spPr>
          </c:dPt>
          <c:dPt>
            <c:idx val="9"/>
            <c:invertIfNegative val="0"/>
            <c:bubble3D val="0"/>
            <c:spPr>
              <a:solidFill>
                <a:schemeClr val="accent2"/>
              </a:solidFill>
              <a:ln>
                <a:noFill/>
              </a:ln>
              <a:effectLst/>
            </c:spPr>
          </c:dPt>
          <c:dPt>
            <c:idx val="11"/>
            <c:invertIfNegative val="0"/>
            <c:bubble3D val="0"/>
            <c:spPr>
              <a:solidFill>
                <a:schemeClr val="accent2"/>
              </a:solidFill>
              <a:ln>
                <a:noFill/>
              </a:ln>
              <a:effectLst/>
            </c:spPr>
          </c:dPt>
          <c:dPt>
            <c:idx val="12"/>
            <c:invertIfNegative val="0"/>
            <c:bubble3D val="0"/>
            <c:spPr>
              <a:solidFill>
                <a:schemeClr val="accent2"/>
              </a:solidFill>
              <a:ln>
                <a:noFill/>
              </a:ln>
              <a:effectLst/>
            </c:spPr>
          </c:dPt>
          <c:dPt>
            <c:idx val="13"/>
            <c:invertIfNegative val="0"/>
            <c:bubble3D val="0"/>
            <c:spPr>
              <a:solidFill>
                <a:schemeClr val="accent2"/>
              </a:solidFill>
              <a:ln>
                <a:noFill/>
              </a:ln>
              <a:effectLst/>
            </c:spPr>
          </c:dPt>
          <c:dLbls>
            <c:dLbl>
              <c:idx val="3"/>
              <c:layout>
                <c:manualLayout>
                  <c:x val="-5.8987818830338521e-004"/>
                  <c:y val="2.473600438499404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4"/>
              <c:layout>
                <c:manualLayout>
                  <c:x val="4.5321017565112054e-003"/>
                  <c:y val="2.392857519316109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5"/>
              <c:layout>
                <c:manualLayout>
                  <c:x val="3.2439935392691299e-003"/>
                  <c:y val="5.3286110320547283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6"/>
              <c:layout>
                <c:manualLayout>
                  <c:x val="6.7635776297193624e-003"/>
                  <c:y val="2.369288176327356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7"/>
              <c:layout>
                <c:manualLayout>
                  <c:x val="6.276667339659466e-003"/>
                  <c:y val="3.694104501997490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8"/>
              <c:layout>
                <c:manualLayout>
                  <c:x val="8.9947170065280309e-003"/>
                  <c:y val="4.14390369878464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9"/>
              <c:layout>
                <c:manualLayout>
                  <c:x val="5.3030150077394171e-003"/>
                  <c:y val="2.241322244358009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kern="1200">
                    <a:solidFill>
                      <a:schemeClr val="tx1">
                        <a:lumMod val="75000"/>
                        <a:lumOff val="25000"/>
                      </a:schemeClr>
                    </a:solidFill>
                    <a:latin typeface="ＭＳ ゴシック"/>
                    <a:ea typeface="ＭＳ ゴシック"/>
                    <a:cs typeface="+mn-cs"/>
                  </a:endParaRPr>
                </a:p>
              </c:txPr>
              <c:showLegendKey val="0"/>
              <c:showVal val="1"/>
              <c:showCatName val="0"/>
              <c:showSerName val="0"/>
              <c:showPercent val="0"/>
              <c:showBubbleSize val="0"/>
            </c:dLbl>
            <c:dLbl>
              <c:idx val="11"/>
              <c:layout>
                <c:manualLayout>
                  <c:x val="1.1256011575151417e-003"/>
                  <c:y val="3.1085324860708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showLegendKey val="0"/>
              <c:showVal val="1"/>
              <c:showCatName val="0"/>
              <c:showSerName val="0"/>
              <c:showPercent val="0"/>
              <c:showBubbleSize val="0"/>
            </c:dLbl>
            <c:dLbl>
              <c:idx val="12"/>
              <c:layout>
                <c:manualLayout>
                  <c:x val="1.1245626866002426e-002"/>
                  <c:y val="2.199493484367085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showLegendKey val="0"/>
              <c:showVal val="1"/>
              <c:showCatName val="0"/>
              <c:showSerName val="0"/>
              <c:showPercent val="0"/>
              <c:showBubbleSize val="0"/>
            </c:dLbl>
            <c:dLbl>
              <c:idx val="13"/>
              <c:layout>
                <c:manualLayout>
                  <c:x val="9.3029263983739063e-003"/>
                  <c:y val="2.269595247962425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latin typeface="ＭＳ ゴシック"/>
                    <a:ea typeface="ＭＳ ゴシック"/>
                  </a:endParaRPr>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=Sheet1!$C$2:$C$15</c:f>
              <c:numCache>
                <c:formatCode>0.0%</c:formatCode>
                <c:ptCount val="14"/>
                <c:pt idx="0">
                  <c:v>0.34</c:v>
                </c:pt>
                <c:pt idx="1">
                  <c:v>0.35799999999999998</c:v>
                </c:pt>
                <c:pt idx="2">
                  <c:v>0.38100000000000001</c:v>
                </c:pt>
                <c:pt idx="3">
                  <c:v>0.41499999999999998</c:v>
                </c:pt>
                <c:pt idx="4">
                  <c:v>0.434</c:v>
                </c:pt>
                <c:pt idx="5">
                  <c:v>0.42899999999999999</c:v>
                </c:pt>
                <c:pt idx="6">
                  <c:v>0.44700000000000001</c:v>
                </c:pt>
                <c:pt idx="7">
                  <c:v>0.46600000000000003</c:v>
                </c:pt>
                <c:pt idx="8">
                  <c:v>0.48199999999999998</c:v>
                </c:pt>
                <c:pt idx="9">
                  <c:v>0.49199999999999999</c:v>
                </c:pt>
                <c:pt idx="10">
                  <c:v>0.501</c:v>
                </c:pt>
                <c:pt idx="11">
                  <c:v>0.52500000000000002</c:v>
                </c:pt>
                <c:pt idx="12">
                  <c:v>0.51500000000000001</c:v>
                </c:pt>
                <c:pt idx="13">
                  <c:v>0.53700000000000003</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1197" kern="1200">
                  <a:solidFill>
                    <a:schemeClr val="tx1">
                      <a:lumMod val="75000"/>
                      <a:lumOff val="25000"/>
                    </a:schemeClr>
                  </a:solidFill>
                  <a:latin typeface="+mn-lt"/>
                  <a:ea typeface="+mn-ea"/>
                  <a:cs typeface="+mn-cs"/>
                </a:defRPr>
              </a:pPr>
              <a:endParaRPr lang="ja-JP" altLang="en-US" sz="1197"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lineChart>
        <c:grouping val="standard"/>
        <c:varyColors val="0"/>
        <c:ser>
          <c:idx val="2"/>
          <c:order val="2"/>
          <c:tx>
            <c:strRef>
              <c:f>=Sheet1!$D$1</c:f>
              <c:strCache>
                <c:ptCount val="1"/>
                <c:pt idx="0">
                  <c:v>協会けんぽ
（被保険者）</c:v>
                </c:pt>
              </c:strCache>
            </c:strRef>
          </c:tx>
          <c:spPr>
            <a:noFill/>
            <a:ln w="28575" cap="rnd">
              <a:solidFill>
                <a:schemeClr val="accent3"/>
              </a:solidFill>
              <a:round/>
            </a:ln>
            <a:effectLst/>
          </c:spPr>
          <c:marker>
            <c:symbol val="triangle"/>
            <c:size val="6"/>
            <c:spPr>
              <a:solidFill>
                <a:schemeClr val="accent3"/>
              </a:solidFill>
              <a:ln w="9525">
                <a:solidFill>
                  <a:schemeClr val="accent3"/>
                </a:solidFill>
              </a:ln>
              <a:effectLst/>
            </c:spPr>
          </c:marker>
          <c:dPt>
            <c:idx val="5"/>
            <c:invertIfNegative val="0"/>
            <c:marker>
              <c:symbol val="triangle"/>
              <c:size val="6"/>
              <c:spPr>
                <a:solidFill>
                  <a:schemeClr val="accent3"/>
                </a:solidFill>
                <a:ln w="9525">
                  <a:solidFill>
                    <a:schemeClr val="accent3"/>
                  </a:solidFill>
                </a:ln>
                <a:effectLst/>
              </c:spPr>
            </c:marker>
            <c:bubble3D val="0"/>
            <c:spPr>
              <a:noFill/>
              <a:ln w="28575" cap="rnd">
                <a:solidFill>
                  <a:schemeClr val="accent3"/>
                </a:solidFill>
                <a:round/>
              </a:ln>
              <a:effectLst/>
            </c:spPr>
          </c:dPt>
          <c:dLbls>
            <c:dLbl>
              <c:idx val="5"/>
              <c:layout/>
              <c:spPr>
                <a:solidFill>
                  <a:schemeClr val="lt1"/>
                </a:solidFill>
                <a:ln>
                  <a:no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spPr>
              <a:solidFill>
                <a:schemeClr val="lt1"/>
              </a:solidFill>
              <a:ln>
                <a:no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=Sheet1!$D$2:$D$15</c:f>
              <c:numCache>
                <c:formatCode>0.0%</c:formatCode>
                <c:ptCount val="14"/>
                <c:pt idx="1">
                  <c:v>0.504</c:v>
                </c:pt>
                <c:pt idx="2">
                  <c:v>0.52500000000000002</c:v>
                </c:pt>
                <c:pt idx="3">
                  <c:v>0.55600000000000005</c:v>
                </c:pt>
                <c:pt idx="4">
                  <c:v>0.59</c:v>
                </c:pt>
                <c:pt idx="5">
                  <c:v>0.61599999999999999</c:v>
                </c:pt>
                <c:pt idx="6">
                  <c:v>0.67100000000000004</c:v>
                </c:pt>
                <c:pt idx="7">
                  <c:v>0.68</c:v>
                </c:pt>
                <c:pt idx="8">
                  <c:v>0.69199999999999995</c:v>
                </c:pt>
                <c:pt idx="9">
                  <c:v>0.69099999999999995</c:v>
                </c:pt>
                <c:pt idx="10">
                  <c:v>0.68500000000000005</c:v>
                </c:pt>
                <c:pt idx="11">
                  <c:v>0.72299999999999998</c:v>
                </c:pt>
                <c:pt idx="12">
                  <c:v>0.70899999999999996</c:v>
                </c:pt>
                <c:pt idx="13">
                  <c:v>0.73</c:v>
                </c:pt>
              </c:numCache>
            </c:numRef>
          </c:val>
          <c:smooth val="0"/>
        </c:ser>
        <c:ser>
          <c:idx val="3"/>
          <c:order val="3"/>
          <c:tx>
            <c:strRef>
              <c:f>=Sheet1!$E$1</c:f>
              <c:strCache>
                <c:ptCount val="1"/>
                <c:pt idx="0">
                  <c:v>協会けんぽ
（被扶養者）</c:v>
                </c:pt>
              </c:strCache>
            </c:strRef>
          </c:tx>
          <c:spPr>
            <a:noFill/>
            <a:ln w="28575" cap="rnd">
              <a:solidFill>
                <a:srgbClr val="9ABA58"/>
              </a:solidFill>
              <a:prstDash val="sysDot"/>
              <a:round/>
            </a:ln>
            <a:effectLst/>
          </c:spPr>
          <c:marker>
            <c:symbol val="circle"/>
            <c:size val="6"/>
            <c:spPr>
              <a:solidFill>
                <a:srgbClr val="9ABA58"/>
              </a:solidFill>
              <a:ln w="9525">
                <a:solidFill>
                  <a:srgbClr val="9ABA58"/>
                </a:solidFill>
              </a:ln>
              <a:effectLst/>
            </c:spPr>
          </c:marker>
          <c:dLbls>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=Sheet1!$E$2:$E$15</c:f>
              <c:numCache>
                <c:formatCode>0.0%</c:formatCode>
                <c:ptCount val="14"/>
                <c:pt idx="1">
                  <c:v>0.11899999999999999</c:v>
                </c:pt>
                <c:pt idx="2">
                  <c:v>0.127</c:v>
                </c:pt>
                <c:pt idx="3">
                  <c:v>0.13100000000000001</c:v>
                </c:pt>
                <c:pt idx="4">
                  <c:v>0.13600000000000001</c:v>
                </c:pt>
                <c:pt idx="5">
                  <c:v>0.17499999999999999</c:v>
                </c:pt>
                <c:pt idx="6">
                  <c:v>0.151</c:v>
                </c:pt>
                <c:pt idx="7">
                  <c:v>0.16800000000000001</c:v>
                </c:pt>
                <c:pt idx="8">
                  <c:v>0.186</c:v>
                </c:pt>
                <c:pt idx="9">
                  <c:v>0.192</c:v>
                </c:pt>
                <c:pt idx="10">
                  <c:v>0.23200000000000001</c:v>
                </c:pt>
                <c:pt idx="11">
                  <c:v>0.247</c:v>
                </c:pt>
                <c:pt idx="12">
                  <c:v>0.23499999999999999</c:v>
                </c:pt>
                <c:pt idx="13">
                  <c:v>0.26400000000000001</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1197" kern="1200">
                  <a:solidFill>
                    <a:schemeClr val="tx1">
                      <a:lumMod val="75000"/>
                      <a:lumOff val="25000"/>
                    </a:schemeClr>
                  </a:solidFill>
                  <a:latin typeface="+mn-lt"/>
                  <a:ea typeface="+mn-ea"/>
                  <a:cs typeface="+mn-cs"/>
                </a:defRPr>
              </a:pPr>
              <a:endParaRPr lang="ja-JP" altLang="en-US" sz="1197"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1000" kern="1200">
                <a:solidFill>
                  <a:schemeClr val="tx1"/>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12849162011173185"/>
          <c:y val="0.87455197132616491"/>
          <c:w val="0.7877094972067038"/>
          <c:h val="0.12544802867383512"/>
        </c:manualLayout>
      </c:layout>
      <c:overlay val="0"/>
      <c:spPr>
        <a:noFill/>
        <a:ln>
          <a:noFill/>
        </a:ln>
        <a:effectLst/>
      </c:spPr>
      <c:txPr>
        <a:bodyPr rot="0" spcFirstLastPara="1" vertOverflow="ellipsis" horzOverflow="overflow" wrap="square" anchor="ctr" anchorCtr="1"/>
        <a:lstStyle/>
        <a:p>
          <a:pPr algn="l" rtl="0">
            <a:defRPr kumimoji="0" lang="ja-JP" altLang="en-US" sz="800" kern="1200">
              <a:solidFill>
                <a:schemeClr val="tx1"/>
              </a:solidFill>
              <a:latin typeface="ＭＳ ゴシック"/>
              <a:ea typeface="ＭＳ ゴシック"/>
              <a:cs typeface="+mn-cs"/>
            </a:defRPr>
          </a:pPr>
          <a:endParaRPr lang="ja-JP" altLang="en-US"/>
        </a:p>
      </c:txPr>
    </c:legend>
    <c:plotVisOnly val="1"/>
    <c:dispBlanksAs val="gap"/>
    <c:showDLblsOverMax val="0"/>
  </c:chart>
  <c:spPr>
    <a:noFill/>
    <a:ln>
      <a:noFill/>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7.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3272215973003377e-002"/>
          <c:y val="5.4945054945054944e-002"/>
          <c:w val="0.92887064116985363"/>
          <c:h val="0.7289377289377289"/>
        </c:manualLayout>
      </c:layout>
      <c:barChart>
        <c:barDir val="col"/>
        <c:grouping val="clustered"/>
        <c:varyColors val="0"/>
        <c:ser>
          <c:idx val="0"/>
          <c:order val="0"/>
          <c:tx>
            <c:strRef>
              <c:f>=Sheet1!$B$1</c:f>
              <c:strCache>
                <c:ptCount val="1"/>
                <c:pt idx="0">
                  <c:v>国</c:v>
                </c:pt>
              </c:strCache>
            </c:strRef>
          </c:tx>
          <c:spPr>
            <a:solidFill>
              <a:srgbClr val="93CEDD"/>
            </a:solidFill>
            <a:ln>
              <a:solidFill>
                <a:srgbClr val="B7DEE8"/>
              </a:solidFill>
            </a:ln>
            <a:effectLst/>
          </c:spPr>
          <c:invertIfNegative val="0"/>
          <c:dPt>
            <c:idx val="0"/>
            <c:invertIfNegative val="0"/>
            <c:bubble3D val="0"/>
            <c:spPr>
              <a:solidFill>
                <a:srgbClr val="93CEDD"/>
              </a:solidFill>
              <a:ln>
                <a:solidFill>
                  <a:srgbClr val="B7DEE8"/>
                </a:solidFill>
              </a:ln>
              <a:effectLst/>
            </c:spPr>
          </c:dPt>
          <c:dPt>
            <c:idx val="2"/>
            <c:invertIfNegative val="0"/>
            <c:bubble3D val="0"/>
            <c:spPr>
              <a:solidFill>
                <a:srgbClr val="93CEDD"/>
              </a:solidFill>
              <a:ln>
                <a:solidFill>
                  <a:srgbClr val="B7DEE8"/>
                </a:solidFill>
              </a:ln>
              <a:effectLst/>
            </c:spPr>
          </c:dPt>
          <c:dPt>
            <c:idx val="3"/>
            <c:invertIfNegative val="0"/>
            <c:bubble3D val="0"/>
            <c:spPr>
              <a:solidFill>
                <a:srgbClr val="93CEDD"/>
              </a:solidFill>
              <a:ln>
                <a:solidFill>
                  <a:srgbClr val="B7DEE8"/>
                </a:solidFill>
              </a:ln>
              <a:effectLst/>
            </c:spPr>
          </c:dPt>
          <c:dPt>
            <c:idx val="4"/>
            <c:invertIfNegative val="0"/>
            <c:bubble3D val="0"/>
            <c:spPr>
              <a:solidFill>
                <a:srgbClr val="93CEDD"/>
              </a:solidFill>
              <a:ln>
                <a:solidFill>
                  <a:srgbClr val="B7DEE8"/>
                </a:solidFill>
              </a:ln>
              <a:effectLst/>
            </c:spPr>
          </c:dPt>
          <c:dPt>
            <c:idx val="5"/>
            <c:invertIfNegative val="0"/>
            <c:bubble3D val="0"/>
            <c:spPr>
              <a:solidFill>
                <a:srgbClr val="93CEDD"/>
              </a:solidFill>
              <a:ln>
                <a:solidFill>
                  <a:srgbClr val="B7DEE8"/>
                </a:solidFill>
              </a:ln>
              <a:effectLst/>
            </c:spPr>
          </c:dPt>
          <c:dPt>
            <c:idx val="6"/>
            <c:invertIfNegative val="0"/>
            <c:bubble3D val="0"/>
            <c:spPr>
              <a:solidFill>
                <a:srgbClr val="93CEDD"/>
              </a:solidFill>
              <a:ln>
                <a:solidFill>
                  <a:srgbClr val="B7DEE8"/>
                </a:solidFill>
              </a:ln>
              <a:effectLst/>
            </c:spPr>
          </c:dPt>
          <c:dPt>
            <c:idx val="7"/>
            <c:invertIfNegative val="0"/>
            <c:bubble3D val="0"/>
            <c:spPr>
              <a:solidFill>
                <a:srgbClr val="93CEDD"/>
              </a:solidFill>
              <a:ln>
                <a:solidFill>
                  <a:srgbClr val="B7DEE8"/>
                </a:solidFill>
              </a:ln>
              <a:effectLst/>
            </c:spPr>
          </c:dPt>
          <c:dPt>
            <c:idx val="8"/>
            <c:invertIfNegative val="0"/>
            <c:bubble3D val="0"/>
            <c:spPr>
              <a:solidFill>
                <a:srgbClr val="93CEDD"/>
              </a:solidFill>
              <a:ln>
                <a:solidFill>
                  <a:srgbClr val="B7DEE8"/>
                </a:solidFill>
              </a:ln>
              <a:effectLst/>
            </c:spPr>
          </c:dPt>
          <c:dPt>
            <c:idx val="9"/>
            <c:invertIfNegative val="0"/>
            <c:bubble3D val="0"/>
            <c:spPr>
              <a:solidFill>
                <a:srgbClr val="93CEDD"/>
              </a:solidFill>
              <a:ln>
                <a:solidFill>
                  <a:srgbClr val="B7DEE8"/>
                </a:solidFill>
              </a:ln>
              <a:effectLst/>
            </c:spPr>
          </c:dPt>
          <c:dPt>
            <c:idx val="10"/>
            <c:invertIfNegative val="0"/>
            <c:bubble3D val="0"/>
            <c:spPr>
              <a:solidFill>
                <a:srgbClr val="93CEDD"/>
              </a:solidFill>
              <a:ln>
                <a:solidFill>
                  <a:srgbClr val="B7DEE8"/>
                </a:solidFill>
              </a:ln>
              <a:effectLst/>
            </c:spPr>
          </c:dPt>
          <c:dPt>
            <c:idx val="11"/>
            <c:invertIfNegative val="0"/>
            <c:bubble3D val="0"/>
            <c:spPr>
              <a:solidFill>
                <a:srgbClr val="93CEDD"/>
              </a:solidFill>
              <a:ln>
                <a:solidFill>
                  <a:srgbClr val="B7DEE8"/>
                </a:solidFill>
              </a:ln>
              <a:effectLst/>
            </c:spPr>
          </c:dPt>
          <c:dPt>
            <c:idx val="12"/>
            <c:invertIfNegative val="0"/>
            <c:bubble3D val="0"/>
            <c:spPr>
              <a:solidFill>
                <a:srgbClr val="93CEDD"/>
              </a:solidFill>
              <a:ln>
                <a:solidFill>
                  <a:srgbClr val="B7DEE8"/>
                </a:solidFill>
              </a:ln>
              <a:effectLst/>
            </c:spPr>
          </c:dPt>
          <c:dPt>
            <c:idx val="13"/>
            <c:invertIfNegative val="0"/>
            <c:bubble3D val="0"/>
            <c:spPr>
              <a:solidFill>
                <a:srgbClr val="93CEDD"/>
              </a:solidFill>
              <a:ln>
                <a:solidFill>
                  <a:srgbClr val="B7DEE8"/>
                </a:solid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dLbl>
            <c:dLbl>
              <c:idx val="2"/>
              <c:layout>
                <c:manualLayout>
                  <c:x val="-3.6089939131141158e-004"/>
                  <c:y val="-3.1861401940142101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3"/>
              <c:layout>
                <c:manualLayout>
                  <c:x val="-3.2327334083239595e-002"/>
                  <c:y val="-8.3382654091315511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4"/>
              <c:layout>
                <c:manualLayout>
                  <c:x val="-2.7645050238517409e-003"/>
                  <c:y val="-2.8474517608375875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5"/>
              <c:layout>
                <c:manualLayout>
                  <c:x val="1.294128522088421e-004"/>
                  <c:y val="-3.2713987674617598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6"/>
              <c:layout>
                <c:manualLayout>
                  <c:x val="2.5661840295576714e-003"/>
                  <c:y val="-3.3075845756434595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7"/>
              <c:layout>
                <c:manualLayout>
                  <c:x val="-1.5535144553035459e-003"/>
                  <c:y val="-3.5051003239979617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8"/>
              <c:layout>
                <c:manualLayout>
                  <c:x val="-7.9406829749269605e-004"/>
                  <c:y val="-4.5790045475084848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9"/>
              <c:layout>
                <c:manualLayout>
                  <c:x val="-2.1690938579315791e-003"/>
                  <c:y val="-2.521454049013104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10"/>
              <c:layout>
                <c:manualLayout>
                  <c:x val="-2.3209158620380563e-002"/>
                  <c:y val="-2.3956236239700807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11"/>
              <c:layout>
                <c:manualLayout>
                  <c:x val="-4.5949965966100555e-004"/>
                  <c:y val="-6.1484547633126885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12"/>
              <c:layout>
                <c:manualLayout>
                  <c:x val="-7.5320520900735858e-003"/>
                  <c:y val="-7.4123811446646093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dLbl>
              <c:idx val="13"/>
              <c:layout>
                <c:manualLayout>
                  <c:x val="-5.3738266708123596e-003"/>
                  <c:y val="-4.5028602193956525e-002"/>
                </c:manualLayout>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=Sheet1!$B$2:$B$15</c:f>
              <c:numCache>
                <c:formatCode>0.0%</c:formatCode>
                <c:ptCount val="14"/>
                <c:pt idx="0">
                  <c:v>7.6999999999999999e-002</c:v>
                </c:pt>
                <c:pt idx="1">
                  <c:v>0.123</c:v>
                </c:pt>
                <c:pt idx="2">
                  <c:v>0.13100000000000001</c:v>
                </c:pt>
                <c:pt idx="3">
                  <c:v>0.15</c:v>
                </c:pt>
                <c:pt idx="4">
                  <c:v>0.16400000000000001</c:v>
                </c:pt>
                <c:pt idx="5">
                  <c:v>0.17699999999999999</c:v>
                </c:pt>
                <c:pt idx="6">
                  <c:v>0.17799999999999999</c:v>
                </c:pt>
                <c:pt idx="7">
                  <c:v>0.17499999999999999</c:v>
                </c:pt>
                <c:pt idx="8">
                  <c:v>0.188</c:v>
                </c:pt>
                <c:pt idx="9">
                  <c:v>0.19500000000000001</c:v>
                </c:pt>
                <c:pt idx="10">
                  <c:v>0.23300000000000001</c:v>
                </c:pt>
                <c:pt idx="11">
                  <c:v>0.23200000000000001</c:v>
                </c:pt>
                <c:pt idx="12">
                  <c:v>0.23</c:v>
                </c:pt>
                <c:pt idx="13">
                  <c:v>0.247</c:v>
                </c:pt>
              </c:numCache>
            </c:numRef>
          </c:val>
        </c:ser>
        <c:ser>
          <c:idx val="1"/>
          <c:order val="1"/>
          <c:tx>
            <c:strRef>
              <c:f>=Sheet1!$C$1</c:f>
              <c:strCache>
                <c:ptCount val="1"/>
                <c:pt idx="0">
                  <c:v>県</c:v>
                </c:pt>
              </c:strCache>
            </c:strRef>
          </c:tx>
          <c:spPr>
            <a:solidFill>
              <a:srgbClr val="C0504D"/>
            </a:solidFill>
            <a:ln>
              <a:noFill/>
            </a:ln>
            <a:effectLst/>
          </c:spPr>
          <c:invertIfNegative val="0"/>
          <c:dPt>
            <c:idx val="0"/>
            <c:invertIfNegative val="0"/>
            <c:bubble3D val="0"/>
            <c:spPr>
              <a:solidFill>
                <a:srgbClr val="C0504D"/>
              </a:solidFill>
              <a:ln>
                <a:noFill/>
              </a:ln>
              <a:effectLst/>
            </c:spPr>
          </c:dPt>
          <c:dPt>
            <c:idx val="1"/>
            <c:invertIfNegative val="0"/>
            <c:bubble3D val="0"/>
            <c:spPr>
              <a:solidFill>
                <a:srgbClr val="C0504D"/>
              </a:solidFill>
              <a:ln>
                <a:noFill/>
              </a:ln>
              <a:effectLst/>
            </c:spPr>
          </c:dPt>
          <c:dPt>
            <c:idx val="2"/>
            <c:invertIfNegative val="0"/>
            <c:bubble3D val="0"/>
            <c:spPr>
              <a:solidFill>
                <a:srgbClr val="C0504D"/>
              </a:solidFill>
              <a:ln>
                <a:noFill/>
              </a:ln>
              <a:effectLst/>
            </c:spPr>
          </c:dPt>
          <c:dPt>
            <c:idx val="3"/>
            <c:invertIfNegative val="0"/>
            <c:bubble3D val="0"/>
            <c:spPr>
              <a:solidFill>
                <a:srgbClr val="C0504D"/>
              </a:solidFill>
              <a:ln>
                <a:noFill/>
              </a:ln>
              <a:effectLst/>
            </c:spPr>
          </c:dPt>
          <c:dPt>
            <c:idx val="4"/>
            <c:invertIfNegative val="0"/>
            <c:bubble3D val="0"/>
            <c:spPr>
              <a:solidFill>
                <a:srgbClr val="C0504D"/>
              </a:solidFill>
              <a:ln>
                <a:noFill/>
              </a:ln>
              <a:effectLst/>
            </c:spPr>
          </c:dPt>
          <c:dPt>
            <c:idx val="5"/>
            <c:invertIfNegative val="0"/>
            <c:bubble3D val="0"/>
            <c:spPr>
              <a:solidFill>
                <a:srgbClr val="C0504D"/>
              </a:solidFill>
              <a:ln>
                <a:noFill/>
              </a:ln>
              <a:effectLst/>
            </c:spPr>
          </c:dPt>
          <c:dPt>
            <c:idx val="6"/>
            <c:invertIfNegative val="0"/>
            <c:bubble3D val="0"/>
            <c:spPr>
              <a:solidFill>
                <a:srgbClr val="C0504D"/>
              </a:solidFill>
              <a:ln>
                <a:noFill/>
              </a:ln>
              <a:effectLst/>
            </c:spPr>
          </c:dPt>
          <c:dPt>
            <c:idx val="8"/>
            <c:invertIfNegative val="0"/>
            <c:bubble3D val="0"/>
            <c:spPr>
              <a:solidFill>
                <a:srgbClr val="C0504D"/>
              </a:solidFill>
              <a:ln>
                <a:no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dLblPos val="inEnd"/>
              <c:showLegendKey val="0"/>
              <c:showVal val="1"/>
              <c:showCatName val="0"/>
              <c:showSerName val="0"/>
              <c:showPercent val="0"/>
              <c:showBubbleSize val="0"/>
            </c:dLbl>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no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dLblPos val="outEnd"/>
              <c:showLegendKey val="0"/>
              <c:showVal val="1"/>
              <c:showCatName val="0"/>
              <c:showSerName val="0"/>
              <c:showPercent val="0"/>
              <c:showBubbleSize val="0"/>
            </c:dLbl>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dLbl>
            <c:dLbl>
              <c:idx val="5"/>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dLblPos val="inEnd"/>
              <c:showLegendKey val="0"/>
              <c:showVal val="1"/>
              <c:showCatName val="0"/>
              <c:showSerName val="0"/>
              <c:showPercent val="0"/>
              <c:showBubbleSize val="0"/>
            </c:dLbl>
            <c:dLbl>
              <c:idx val="6"/>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dLblPos val="inEnd"/>
              <c:showLegendKey val="0"/>
              <c:showVal val="1"/>
              <c:showCatName val="0"/>
              <c:showSerName val="0"/>
              <c:showPercent val="0"/>
              <c:showBubbleSize val="0"/>
            </c:dLbl>
            <c:dLbl>
              <c:idx val="8"/>
              <c:layout/>
              <c:spPr>
                <a:noFill/>
                <a:ln>
                  <a:noFill/>
                </a:ln>
                <a:effectLst/>
              </c:spPr>
              <c:txPr>
                <a:bodyPr rot="0" spcFirstLastPara="1" vertOverflow="ellipsis" horzOverflow="overflow" wrap="square" anchor="ctr" anchorCtr="1">
                  <a:no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sz="900">
                    <a:noFill/>
                    <a:latin typeface="ＭＳ ゴシック"/>
                    <a:ea typeface="ＭＳ ゴシック"/>
                  </a:endParaRPr>
                </a:p>
              </c:txPr>
              <c:dLblPos val="inEnd"/>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in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=Sheet1!$C$2:$C$15</c:f>
              <c:numCache>
                <c:formatCode>0.0%</c:formatCode>
                <c:ptCount val="14"/>
                <c:pt idx="0">
                  <c:v>0.11</c:v>
                </c:pt>
                <c:pt idx="1">
                  <c:v>0.13900000000000001</c:v>
                </c:pt>
                <c:pt idx="2">
                  <c:v>0.127</c:v>
                </c:pt>
                <c:pt idx="3">
                  <c:v>0.151</c:v>
                </c:pt>
                <c:pt idx="4">
                  <c:v>0.156</c:v>
                </c:pt>
                <c:pt idx="5">
                  <c:v>0.155</c:v>
                </c:pt>
                <c:pt idx="6">
                  <c:v>0.158</c:v>
                </c:pt>
                <c:pt idx="7">
                  <c:v>0.14599999999999999</c:v>
                </c:pt>
                <c:pt idx="8">
                  <c:v>0.18</c:v>
                </c:pt>
                <c:pt idx="9">
                  <c:v>0.17899999999999999</c:v>
                </c:pt>
                <c:pt idx="10">
                  <c:v>0.23699999999999999</c:v>
                </c:pt>
                <c:pt idx="11">
                  <c:v>0.23699999999999999</c:v>
                </c:pt>
                <c:pt idx="12">
                  <c:v>0.24</c:v>
                </c:pt>
                <c:pt idx="13">
                  <c:v>0.24399999999999999</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1197" kern="1200">
                  <a:solidFill>
                    <a:schemeClr val="tx1">
                      <a:lumMod val="75000"/>
                      <a:lumOff val="25000"/>
                    </a:schemeClr>
                  </a:solidFill>
                  <a:latin typeface="+mn-lt"/>
                  <a:ea typeface="+mn-ea"/>
                  <a:cs typeface="+mn-cs"/>
                </a:defRPr>
              </a:pPr>
              <a:endParaRPr lang="ja-JP" altLang="en-US" sz="1197"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lineChart>
        <c:grouping val="standard"/>
        <c:varyColors val="0"/>
        <c:ser>
          <c:idx val="2"/>
          <c:order val="2"/>
          <c:tx>
            <c:strRef>
              <c:f>=Sheet1!$D$1</c:f>
              <c:strCache>
                <c:ptCount val="1"/>
                <c:pt idx="0">
                  <c:v>協会けんぽ</c:v>
                </c:pt>
              </c:strCache>
            </c:strRef>
          </c:tx>
          <c:spPr>
            <a:noFill/>
            <a:ln w="28575" cap="rnd">
              <a:solidFill>
                <a:schemeClr val="accent3"/>
              </a:solidFill>
              <a:round/>
            </a:ln>
            <a:effectLst/>
          </c:spPr>
          <c:marker>
            <c:symbol val="triangle"/>
            <c:size val="5"/>
            <c:spPr>
              <a:solidFill>
                <a:schemeClr val="accent3"/>
              </a:solidFill>
              <a:ln w="9525">
                <a:solidFill>
                  <a:schemeClr val="accent3"/>
                </a:solidFill>
              </a:ln>
              <a:effectLst/>
            </c:spPr>
          </c:marker>
          <c:dPt>
            <c:idx val="0"/>
            <c:invertIfNegative val="0"/>
            <c:marker>
              <c:symbol val="triangle"/>
              <c:size val="5"/>
              <c:spPr>
                <a:solidFill>
                  <a:schemeClr val="accent3"/>
                </a:solidFill>
                <a:ln w="9525">
                  <a:solidFill>
                    <a:schemeClr val="accent3"/>
                  </a:solidFill>
                </a:ln>
                <a:effectLst/>
              </c:spPr>
            </c:marker>
            <c:bubble3D val="0"/>
            <c:spPr>
              <a:noFill/>
              <a:ln w="28575" cap="rnd">
                <a:solidFill>
                  <a:schemeClr val="accent3"/>
                </a:solidFill>
                <a:round/>
              </a:ln>
              <a:effectLst/>
            </c:spPr>
          </c:dPt>
          <c:dPt>
            <c:idx val="1"/>
            <c:invertIfNegative val="0"/>
            <c:marker>
              <c:symbol val="triangle"/>
              <c:size val="5"/>
              <c:spPr>
                <a:solidFill>
                  <a:schemeClr val="accent3"/>
                </a:solidFill>
                <a:ln w="9525">
                  <a:solidFill>
                    <a:schemeClr val="accent3"/>
                  </a:solidFill>
                </a:ln>
                <a:effectLst/>
              </c:spPr>
            </c:marker>
            <c:bubble3D val="0"/>
            <c:spPr>
              <a:noFill/>
              <a:ln w="28575" cap="rnd">
                <a:solidFill>
                  <a:schemeClr val="accent3"/>
                </a:solidFill>
                <a:round/>
              </a:ln>
              <a:effectLst/>
            </c:spPr>
          </c:dPt>
          <c:dPt>
            <c:idx val="2"/>
            <c:invertIfNegative val="0"/>
            <c:marker>
              <c:symbol val="triangle"/>
              <c:size val="5"/>
              <c:spPr>
                <a:solidFill>
                  <a:schemeClr val="accent3"/>
                </a:solidFill>
                <a:ln w="9525">
                  <a:solidFill>
                    <a:schemeClr val="accent3"/>
                  </a:solidFill>
                </a:ln>
                <a:effectLst/>
              </c:spPr>
            </c:marker>
            <c:bubble3D val="0"/>
            <c:spPr>
              <a:noFill/>
              <a:ln w="28575" cap="rnd">
                <a:solidFill>
                  <a:schemeClr val="accent3"/>
                </a:solidFill>
                <a:round/>
              </a:ln>
              <a:effectLst/>
            </c:spPr>
          </c:dPt>
          <c:dPt>
            <c:idx val="3"/>
            <c:invertIfNegative val="0"/>
            <c:marker>
              <c:symbol val="triangle"/>
              <c:size val="5"/>
              <c:spPr>
                <a:solidFill>
                  <a:schemeClr val="accent3"/>
                </a:solidFill>
                <a:ln w="9525">
                  <a:solidFill>
                    <a:schemeClr val="accent3"/>
                  </a:solidFill>
                </a:ln>
                <a:effectLst/>
              </c:spPr>
            </c:marker>
            <c:bubble3D val="0"/>
            <c:spPr>
              <a:noFill/>
              <a:ln w="28575" cap="rnd">
                <a:solidFill>
                  <a:schemeClr val="accent3"/>
                </a:solidFill>
                <a:round/>
              </a:ln>
              <a:effectLst/>
            </c:spPr>
          </c:dPt>
          <c:dPt>
            <c:idx val="4"/>
            <c:invertIfNegative val="0"/>
            <c:marker>
              <c:symbol val="triangle"/>
              <c:size val="5"/>
              <c:spPr>
                <a:solidFill>
                  <a:schemeClr val="accent3"/>
                </a:solidFill>
                <a:ln w="9525">
                  <a:solidFill>
                    <a:schemeClr val="accent3"/>
                  </a:solidFill>
                </a:ln>
                <a:effectLst/>
              </c:spPr>
            </c:marker>
            <c:bubble3D val="0"/>
            <c:spPr>
              <a:noFill/>
              <a:ln w="28575" cap="rnd">
                <a:solidFill>
                  <a:schemeClr val="accent3"/>
                </a:solidFill>
                <a:round/>
              </a:ln>
              <a:effectLst/>
            </c:spPr>
          </c:dPt>
          <c:dLbls>
            <c:dLbl>
              <c:idx val="0"/>
              <c:layout>
                <c:manualLayout>
                  <c:x val="-5.4895013123359579e-002"/>
                  <c:y val="-8.4881412550703889e-002"/>
                </c:manualLayout>
              </c:layout>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sz="900" kern="1200">
                    <a:solidFill>
                      <a:schemeClr val="dk1">
                        <a:lumMod val="65000"/>
                        <a:lumOff val="35000"/>
                      </a:schemeClr>
                    </a:solidFill>
                    <a:latin typeface="ＭＳ ゴシック"/>
                    <a:ea typeface="ＭＳ ゴシック"/>
                    <a:cs typeface="+mn-cs"/>
                  </a:endParaRPr>
                </a:p>
              </c:txPr>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dLbl>
              <c:idx val="1"/>
              <c:layout/>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sz="900" kern="1200">
                    <a:solidFill>
                      <a:schemeClr val="dk1">
                        <a:lumMod val="65000"/>
                        <a:lumOff val="35000"/>
                      </a:schemeClr>
                    </a:solidFill>
                    <a:latin typeface="ＭＳ ゴシック"/>
                    <a:ea typeface="ＭＳ ゴシック"/>
                    <a:cs typeface="+mn-cs"/>
                  </a:endParaRPr>
                </a:p>
              </c:txPr>
              <c:dLblPos val="b"/>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dLbl>
              <c:idx val="2"/>
              <c:layout>
                <c:manualLayout>
                  <c:x val="-4.5658230221222347e-002"/>
                  <c:y val="9.6095295780335155e-002"/>
                </c:manualLayout>
              </c:layout>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sz="900" kern="1200">
                    <a:solidFill>
                      <a:schemeClr val="dk1">
                        <a:lumMod val="65000"/>
                        <a:lumOff val="35000"/>
                      </a:schemeClr>
                    </a:solidFill>
                    <a:latin typeface="ＭＳ ゴシック"/>
                    <a:ea typeface="ＭＳ ゴシック"/>
                    <a:cs typeface="+mn-cs"/>
                  </a:endParaRPr>
                </a:p>
              </c:txPr>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dLbl>
              <c:idx val="3"/>
              <c:layout/>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sz="900" kern="1200">
                    <a:solidFill>
                      <a:schemeClr val="dk1">
                        <a:lumMod val="65000"/>
                        <a:lumOff val="35000"/>
                      </a:schemeClr>
                    </a:solidFill>
                    <a:latin typeface="ＭＳ ゴシック"/>
                    <a:ea typeface="ＭＳ ゴシック"/>
                    <a:cs typeface="+mn-cs"/>
                  </a:endParaRPr>
                </a:p>
              </c:txPr>
              <c:dLblPos val="b"/>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dLbl>
              <c:idx val="4"/>
              <c:layout>
                <c:manualLayout>
                  <c:x val="-4.7135545556805401e-002"/>
                  <c:y val="6.3563208445098204e-002"/>
                </c:manualLayout>
              </c:layout>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a:p>
              </c:txPr>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ext>
              </c:extLst>
            </c:dLbl>
            <c:spPr>
              <a:solidFill>
                <a:schemeClr val="lt1"/>
              </a:solidFill>
              <a:ln>
                <a:solidFill>
                  <a:schemeClr val="dk1">
                    <a:lumMod val="25000"/>
                    <a:lumOff val="75000"/>
                  </a:schemeClr>
                </a:solidFill>
              </a:ln>
              <a:effectLst/>
            </c:spPr>
            <c:txPr>
              <a:bodyPr rot="0" spcFirstLastPara="1" vertOverflow="clip" horzOverflow="clip" wrap="square" lIns="36576" tIns="18288" rIns="36576" bIns="18288" anchor="ctr" anchorCtr="1">
                <a:spAutoFit/>
              </a:bodyPr>
              <a:lstStyle/>
              <a:p>
                <a:pPr algn="ctr" rtl="0">
                  <a:defRPr kumimoji="0" lang="ja-JP" altLang="en-US" sz="900" kern="1200">
                    <a:solidFill>
                      <a:schemeClr val="dk1">
                        <a:lumMod val="65000"/>
                        <a:lumOff val="35000"/>
                      </a:schemeClr>
                    </a:solidFill>
                    <a:latin typeface="ＭＳ ゴシック"/>
                    <a:ea typeface="ＭＳ ゴシック"/>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pPr>
                  <a:prstGeom prst="rect">
                    <a:avLst/>
                  </a:prstGeom>
                  <a:noFill/>
                  <a:ln/>
                  <a:effectLst/>
                </c15:spPr>
                <c15:showLeaderLines val="1"/>
                <c15:leaderLines>
                  <c:spPr>
                    <a:noFill/>
                    <a:ln w="9525" cap="flat" cmpd="sng" algn="ctr">
                      <a:solidFill>
                        <a:schemeClr val="tx1">
                          <a:lumMod val="35000"/>
                          <a:lumOff val="65000"/>
                        </a:schemeClr>
                      </a:solidFill>
                      <a:round/>
                    </a:ln>
                    <a:effectLst/>
                  </c:spPr>
                </c15:leaderLines>
              </c:ext>
            </c:extLst>
          </c:dLbls>
          <c:cat>
            <c:strRef>
              <c:f>=Sheet1!$A$2:$A$15</c:f>
              <c:strCache>
                <c:ptCount val="14"/>
                <c:pt idx="0">
                  <c:v>H20</c:v>
                </c:pt>
                <c:pt idx="1">
                  <c:v>H21</c:v>
                </c:pt>
                <c:pt idx="2">
                  <c:v>H22</c:v>
                </c:pt>
                <c:pt idx="3">
                  <c:v>H23</c:v>
                </c:pt>
                <c:pt idx="4">
                  <c:v>H24</c:v>
                </c:pt>
                <c:pt idx="5">
                  <c:v>H25</c:v>
                </c:pt>
                <c:pt idx="6">
                  <c:v>H26</c:v>
                </c:pt>
                <c:pt idx="7">
                  <c:v>H27</c:v>
                </c:pt>
                <c:pt idx="8">
                  <c:v>H28</c:v>
                </c:pt>
                <c:pt idx="9">
                  <c:v>H29</c:v>
                </c:pt>
                <c:pt idx="10">
                  <c:v>H30</c:v>
                </c:pt>
                <c:pt idx="11">
                  <c:v>R1</c:v>
                </c:pt>
                <c:pt idx="12">
                  <c:v>R2</c:v>
                </c:pt>
                <c:pt idx="13">
                  <c:v>R3</c:v>
                </c:pt>
              </c:strCache>
            </c:strRef>
          </c:cat>
          <c:val>
            <c:numRef>
              <c:f>=Sheet1!$D$2:$D$15</c:f>
              <c:numCache>
                <c:formatCode>0.0%</c:formatCode>
                <c:ptCount val="14"/>
                <c:pt idx="0">
                  <c:v>0.14499999999999999</c:v>
                </c:pt>
                <c:pt idx="1">
                  <c:v>9.5000000000000001e-002</c:v>
                </c:pt>
                <c:pt idx="2">
                  <c:v>0.13400000000000001</c:v>
                </c:pt>
                <c:pt idx="3">
                  <c:v>0.14799999999999999</c:v>
                </c:pt>
                <c:pt idx="4">
                  <c:v>0.153</c:v>
                </c:pt>
                <c:pt idx="5">
                  <c:v>0.111</c:v>
                </c:pt>
                <c:pt idx="6">
                  <c:v>0.106</c:v>
                </c:pt>
                <c:pt idx="7">
                  <c:v>9.5000000000000001e-002</c:v>
                </c:pt>
                <c:pt idx="8">
                  <c:v>0.124</c:v>
                </c:pt>
                <c:pt idx="9">
                  <c:v>0.10100000000000001</c:v>
                </c:pt>
                <c:pt idx="10">
                  <c:v>0.18</c:v>
                </c:pt>
                <c:pt idx="11">
                  <c:v>0.155</c:v>
                </c:pt>
                <c:pt idx="12">
                  <c:v>0.157</c:v>
                </c:pt>
                <c:pt idx="13">
                  <c:v>0.159</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1197" kern="1200">
                  <a:solidFill>
                    <a:schemeClr val="tx1">
                      <a:lumMod val="75000"/>
                      <a:lumOff val="25000"/>
                    </a:schemeClr>
                  </a:solidFill>
                  <a:latin typeface="+mn-lt"/>
                  <a:ea typeface="+mn-ea"/>
                  <a:cs typeface="+mn-cs"/>
                </a:defRPr>
              </a:pPr>
              <a:endParaRPr lang="ja-JP" altLang="en-US" sz="1197"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0.0%"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max val="0.3"/>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out"/>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31428571428571428"/>
          <c:y val="0.90909090909090884"/>
          <c:w val="0.37321428571428567"/>
          <c:h val="8.1818181818181818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legend>
    <c:plotVisOnly val="1"/>
    <c:dispBlanksAs val="gap"/>
    <c:showDLblsOverMax val="0"/>
  </c:chart>
  <c:spPr>
    <a:noFill/>
    <a:ln>
      <a:noFill/>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8.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127035830618889"/>
          <c:y val="0.10534172311430504"/>
          <c:w val="0.67752442996742668"/>
          <c:h val="0.89029146465862063"/>
        </c:manualLayout>
      </c:layout>
      <c:barChart>
        <c:barDir val="bar"/>
        <c:grouping val="percentStacked"/>
        <c:varyColors val="0"/>
        <c:ser>
          <c:idx val="0"/>
          <c:order val="0"/>
          <c:tx>
            <c:strRef>
              <c:f>'[0]H22-H30 (2)'!$C$3</c:f>
              <c:strCache>
                <c:ptCount val="1"/>
                <c:pt idx="0">
                  <c:v>-129</c:v>
                </c:pt>
              </c:strCache>
            </c:strRef>
          </c:tx>
          <c:spPr>
            <a:solidFill>
              <a:srgbClr val="C3D69B"/>
            </a:solidFill>
            <a:ln w="3175">
              <a:solidFill>
                <a:schemeClr val="tx1"/>
              </a:solidFill>
            </a:ln>
            <a:effectLst/>
          </c:spPr>
          <c:invertIfNegative val="0"/>
          <c:dLbls>
            <c:numFmt formatCode="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(2)'!$B$4,'[0]H22-H30 (2)'!$B$8:$B$13</c15:sqref>
                  </c15:fullRef>
                </c:ext>
              </c:extLst>
              <c:f>'H22-H30 (2)'!$B$8:$B$13</c:f>
              <c:strCache>
                <c:ptCount val="6"/>
                <c:pt idx="0">
                  <c:v>H27
(N=15,900)</c:v>
                </c:pt>
                <c:pt idx="1">
                  <c:v>H28
(N=16,985)</c:v>
                </c:pt>
                <c:pt idx="2">
                  <c:v>H29
(N=17,633)</c:v>
                </c:pt>
                <c:pt idx="3">
                  <c:v>H30
(N=18,309)</c:v>
                </c:pt>
                <c:pt idx="4">
                  <c:v>R1
(N=18,942)</c:v>
                </c:pt>
                <c:pt idx="5">
                  <c:v>R2
(N=18,628)</c:v>
                </c:pt>
              </c:strCache>
            </c:strRef>
          </c:cat>
          <c:val>
            <c:numRef>
              <c:extLst>
                <c:ext xmlns:c15="http://schemas.microsoft.com/office/drawing/2012/chart" uri="{02D57815-91ED-43cb-92C2-25804820EDAC}">
                  <c15:fullRef>
                    <c15:sqref>'[★血圧グラフ(H22~)協会＋国保.xlsx]H22-H30 (2)'!$C$4,'[★血圧グラフ(H22~)協会＋国保.xlsx]H22-H30 (2)'!$C$8:$C$13</c15:sqref>
                  </c15:fullRef>
                </c:ext>
              </c:extLst>
              <c:f>'H22-H30 (2)'!$C$8:$C$13</c:f>
              <c:numCache>
                <c:formatCode xml:space="preserve">0.0_ </c:formatCode>
                <c:ptCount val="6"/>
                <c:pt idx="0">
                  <c:v>41.9</c:v>
                </c:pt>
                <c:pt idx="1">
                  <c:v>43.5</c:v>
                </c:pt>
                <c:pt idx="2">
                  <c:v>43.2</c:v>
                </c:pt>
                <c:pt idx="3">
                  <c:v>43.4</c:v>
                </c:pt>
                <c:pt idx="4">
                  <c:v>41.9</c:v>
                </c:pt>
                <c:pt idx="5">
                  <c:v>40.5</c:v>
                </c:pt>
              </c:numCache>
            </c:numRef>
          </c:val>
        </c:ser>
        <c:ser>
          <c:idx val="1"/>
          <c:order val="1"/>
          <c:tx>
            <c:strRef>
              <c:f>'[0]H22-H30 (2)'!$D$3</c:f>
              <c:strCache>
                <c:ptCount val="1"/>
                <c:pt idx="0">
                  <c:v>130-139</c:v>
                </c:pt>
              </c:strCache>
            </c:strRef>
          </c:tx>
          <c:spPr>
            <a:solidFill>
              <a:srgbClr val="4F81BD"/>
            </a:solidFill>
            <a:ln w="6350">
              <a:solidFill>
                <a:schemeClr val="tx1"/>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(2)'!$B$4,'[0]H22-H30 (2)'!$B$8:$B$13</c15:sqref>
                  </c15:fullRef>
                </c:ext>
              </c:extLst>
              <c:f>'H22-H30 (2)'!$B$8:$B$13</c:f>
              <c:strCache>
                <c:ptCount val="6"/>
                <c:pt idx="0">
                  <c:v>H27
(N=15,900)</c:v>
                </c:pt>
                <c:pt idx="1">
                  <c:v>H28
(N=16,985)</c:v>
                </c:pt>
                <c:pt idx="2">
                  <c:v>H29
(N=17,633)</c:v>
                </c:pt>
                <c:pt idx="3">
                  <c:v>H30
(N=18,309)</c:v>
                </c:pt>
                <c:pt idx="4">
                  <c:v>R1
(N=18,942)</c:v>
                </c:pt>
                <c:pt idx="5">
                  <c:v>R2
(N=18,628)</c:v>
                </c:pt>
              </c:strCache>
            </c:strRef>
          </c:cat>
          <c:val>
            <c:numRef>
              <c:extLst>
                <c:ext xmlns:c15="http://schemas.microsoft.com/office/drawing/2012/chart" uri="{02D57815-91ED-43cb-92C2-25804820EDAC}">
                  <c15:fullRef>
                    <c15:sqref>'[★血圧グラフ(H22~)協会＋国保.xlsx]H22-H30 (2)'!$D$4,'[★血圧グラフ(H22~)協会＋国保.xlsx]H22-H30 (2)'!$D$8:$D$13</c15:sqref>
                  </c15:fullRef>
                </c:ext>
              </c:extLst>
              <c:f>'H22-H30 (2)'!$D$8:$D$13</c:f>
              <c:numCache>
                <c:formatCode xml:space="preserve">0.0_ </c:formatCode>
                <c:ptCount val="6"/>
                <c:pt idx="0">
                  <c:v>24.1</c:v>
                </c:pt>
                <c:pt idx="1">
                  <c:v>24</c:v>
                </c:pt>
                <c:pt idx="2">
                  <c:v>24.1</c:v>
                </c:pt>
                <c:pt idx="3">
                  <c:v>23.9</c:v>
                </c:pt>
                <c:pt idx="4">
                  <c:v>23.6</c:v>
                </c:pt>
                <c:pt idx="5">
                  <c:v>23.8</c:v>
                </c:pt>
              </c:numCache>
            </c:numRef>
          </c:val>
        </c:ser>
        <c:ser>
          <c:idx val="2"/>
          <c:order val="2"/>
          <c:tx>
            <c:strRef>
              <c:f>'[0]H22-H30 (2)'!$E$3</c:f>
              <c:strCache>
                <c:ptCount val="1"/>
                <c:pt idx="0">
                  <c:v>140-159</c:v>
                </c:pt>
              </c:strCache>
            </c:strRef>
          </c:tx>
          <c:spPr>
            <a:solidFill>
              <a:srgbClr val="FFC000"/>
            </a:solidFill>
            <a:ln w="6350">
              <a:solidFill>
                <a:schemeClr val="tx1"/>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(2)'!$B$4,'[0]H22-H30 (2)'!$B$8:$B$13</c15:sqref>
                  </c15:fullRef>
                </c:ext>
              </c:extLst>
              <c:f>'H22-H30 (2)'!$B$8:$B$13</c:f>
              <c:strCache>
                <c:ptCount val="6"/>
                <c:pt idx="0">
                  <c:v>H27
(N=15,900)</c:v>
                </c:pt>
                <c:pt idx="1">
                  <c:v>H28
(N=16,985)</c:v>
                </c:pt>
                <c:pt idx="2">
                  <c:v>H29
(N=17,633)</c:v>
                </c:pt>
                <c:pt idx="3">
                  <c:v>H30
(N=18,309)</c:v>
                </c:pt>
                <c:pt idx="4">
                  <c:v>R1
(N=18,942)</c:v>
                </c:pt>
                <c:pt idx="5">
                  <c:v>R2
(N=18,628)</c:v>
                </c:pt>
              </c:strCache>
            </c:strRef>
          </c:cat>
          <c:val>
            <c:numRef>
              <c:extLst>
                <c:ext xmlns:c15="http://schemas.microsoft.com/office/drawing/2012/chart" uri="{02D57815-91ED-43cb-92C2-25804820EDAC}">
                  <c15:fullRef>
                    <c15:sqref>'[★血圧グラフ(H22~)協会＋国保.xlsx]H22-H30 (2)'!$E$4,'[★血圧グラフ(H22~)協会＋国保.xlsx]H22-H30 (2)'!$E$8:$E$13</c15:sqref>
                  </c15:fullRef>
                </c:ext>
              </c:extLst>
              <c:f>'H22-H30 (2)'!$E$8:$E$13</c:f>
              <c:numCache>
                <c:formatCode xml:space="preserve">0.0_ </c:formatCode>
                <c:ptCount val="6"/>
                <c:pt idx="0">
                  <c:v>27.7</c:v>
                </c:pt>
                <c:pt idx="1">
                  <c:v>26.2</c:v>
                </c:pt>
                <c:pt idx="2">
                  <c:v>26.8</c:v>
                </c:pt>
                <c:pt idx="3">
                  <c:v>26.5</c:v>
                </c:pt>
                <c:pt idx="4">
                  <c:v>27.7</c:v>
                </c:pt>
                <c:pt idx="5">
                  <c:v>28.6</c:v>
                </c:pt>
              </c:numCache>
            </c:numRef>
          </c:val>
        </c:ser>
        <c:ser>
          <c:idx val="3"/>
          <c:order val="3"/>
          <c:tx>
            <c:strRef>
              <c:f>'[0]H22-H30 (2)'!$F$3</c:f>
              <c:strCache>
                <c:ptCount val="1"/>
                <c:pt idx="0">
                  <c:v>160-179</c:v>
                </c:pt>
              </c:strCache>
            </c:strRef>
          </c:tx>
          <c:spPr>
            <a:solidFill>
              <a:srgbClr val="D99694"/>
            </a:solidFill>
            <a:ln w="6350">
              <a:solidFill>
                <a:schemeClr val="tx1"/>
              </a:solidFill>
            </a:ln>
            <a:effectLst/>
          </c:spPr>
          <c:invertIfNegative val="0"/>
          <c:dPt>
            <c:idx val="0"/>
            <c:invertIfNegative val="0"/>
            <c:bubble3D val="0"/>
            <c:spPr>
              <a:solidFill>
                <a:srgbClr val="D99694"/>
              </a:solidFill>
              <a:ln w="6350">
                <a:solidFill>
                  <a:schemeClr val="tx1"/>
                </a:solidFill>
              </a:ln>
              <a:effectLst/>
            </c:spPr>
          </c:dPt>
          <c:dPt>
            <c:idx val="3"/>
            <c:invertIfNegative val="0"/>
            <c:bubble3D val="0"/>
            <c:spPr>
              <a:solidFill>
                <a:srgbClr val="D99694"/>
              </a:solidFill>
              <a:ln w="6350">
                <a:solidFill>
                  <a:schemeClr val="tx1"/>
                </a:solid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dLbl>
            <c:dLbl>
              <c:idx val="3"/>
              <c:layout>
                <c:manualLayout>
                  <c:x val="1.5352919594728079e-004"/>
                  <c:y val="3.891725072827435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latin typeface="ＭＳ ゴシック"/>
                    <a:ea typeface="ＭＳ ゴシック"/>
                  </a:endParaRPr>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(2)'!$B$4,'[0]H22-H30 (2)'!$B$8:$B$13</c15:sqref>
                  </c15:fullRef>
                </c:ext>
              </c:extLst>
              <c:f>'H22-H30 (2)'!$B$8:$B$13</c:f>
              <c:strCache>
                <c:ptCount val="6"/>
                <c:pt idx="0">
                  <c:v>H27
(N=15,900)</c:v>
                </c:pt>
                <c:pt idx="1">
                  <c:v>H28
(N=16,985)</c:v>
                </c:pt>
                <c:pt idx="2">
                  <c:v>H29
(N=17,633)</c:v>
                </c:pt>
                <c:pt idx="3">
                  <c:v>H30
(N=18,309)</c:v>
                </c:pt>
                <c:pt idx="4">
                  <c:v>R1
(N=18,942)</c:v>
                </c:pt>
                <c:pt idx="5">
                  <c:v>R2
(N=18,628)</c:v>
                </c:pt>
              </c:strCache>
            </c:strRef>
          </c:cat>
          <c:val>
            <c:numRef>
              <c:extLst>
                <c:ext xmlns:c15="http://schemas.microsoft.com/office/drawing/2012/chart" uri="{02D57815-91ED-43cb-92C2-25804820EDAC}">
                  <c15:fullRef>
                    <c15:sqref>'[★血圧グラフ(H22~)協会＋国保.xlsx]H22-H30 (2)'!$F$4,'[★血圧グラフ(H22~)協会＋国保.xlsx]H22-H30 (2)'!$F$8:$F$13</c15:sqref>
                  </c15:fullRef>
                </c:ext>
              </c:extLst>
              <c:f>'H22-H30 (2)'!$F$8:$F$13</c:f>
              <c:numCache>
                <c:formatCode xml:space="preserve">0.0_ </c:formatCode>
                <c:ptCount val="6"/>
                <c:pt idx="0">
                  <c:v>5.5</c:v>
                </c:pt>
                <c:pt idx="1">
                  <c:v>5.6</c:v>
                </c:pt>
                <c:pt idx="2">
                  <c:v>5.0999999999999996</c:v>
                </c:pt>
                <c:pt idx="3">
                  <c:v>5.4</c:v>
                </c:pt>
                <c:pt idx="4">
                  <c:v>6.1</c:v>
                </c:pt>
                <c:pt idx="5">
                  <c:v>6.1</c:v>
                </c:pt>
              </c:numCache>
            </c:numRef>
          </c:val>
        </c:ser>
        <c:ser>
          <c:idx val="4"/>
          <c:order val="4"/>
          <c:tx>
            <c:strRef>
              <c:f>'[0]H22-H30 (2)'!$G$3</c:f>
              <c:strCache>
                <c:ptCount val="1"/>
                <c:pt idx="0">
                  <c:v>180-</c:v>
                </c:pt>
              </c:strCache>
            </c:strRef>
          </c:tx>
          <c:spPr>
            <a:solidFill>
              <a:srgbClr val="FF0000"/>
            </a:solidFill>
            <a:ln w="6350">
              <a:solidFill>
                <a:schemeClr val="tx1"/>
              </a:solidFill>
            </a:ln>
            <a:effectLst/>
          </c:spPr>
          <c:invertIfNegative val="0"/>
          <c:dPt>
            <c:idx val="0"/>
            <c:invertIfNegative val="0"/>
            <c:bubble3D val="0"/>
            <c:spPr>
              <a:solidFill>
                <a:srgbClr val="FF0000"/>
              </a:solidFill>
              <a:ln w="6350">
                <a:solidFill>
                  <a:schemeClr val="tx1"/>
                </a:solidFill>
              </a:ln>
              <a:effectLst/>
            </c:spPr>
          </c:dPt>
          <c:dPt>
            <c:idx val="1"/>
            <c:invertIfNegative val="0"/>
            <c:bubble3D val="0"/>
            <c:spPr>
              <a:solidFill>
                <a:srgbClr val="FF0000"/>
              </a:solidFill>
              <a:ln w="6350">
                <a:solidFill>
                  <a:schemeClr val="tx1"/>
                </a:solidFill>
              </a:ln>
              <a:effectLst/>
            </c:spPr>
          </c:dPt>
          <c:dPt>
            <c:idx val="2"/>
            <c:invertIfNegative val="0"/>
            <c:bubble3D val="0"/>
            <c:spPr>
              <a:solidFill>
                <a:srgbClr val="FF0000"/>
              </a:solidFill>
              <a:ln w="6350">
                <a:solidFill>
                  <a:schemeClr val="tx1"/>
                </a:solidFill>
              </a:ln>
              <a:effectLst/>
            </c:spPr>
          </c:dPt>
          <c:dPt>
            <c:idx val="3"/>
            <c:invertIfNegative val="0"/>
            <c:bubble3D val="0"/>
            <c:spPr>
              <a:solidFill>
                <a:srgbClr val="FF0000"/>
              </a:solidFill>
              <a:ln w="6350">
                <a:solidFill>
                  <a:schemeClr val="tx1"/>
                </a:solidFill>
              </a:ln>
              <a:effectLst/>
            </c:spPr>
          </c:dPt>
          <c:dPt>
            <c:idx val="4"/>
            <c:invertIfNegative val="0"/>
            <c:bubble3D val="0"/>
            <c:spPr>
              <a:solidFill>
                <a:srgbClr val="FF0000"/>
              </a:solidFill>
              <a:ln w="6350">
                <a:solidFill>
                  <a:schemeClr val="tx1"/>
                </a:solidFill>
              </a:ln>
              <a:effectLst/>
            </c:spPr>
          </c:dPt>
          <c:dPt>
            <c:idx val="5"/>
            <c:invertIfNegative val="0"/>
            <c:bubble3D val="0"/>
            <c:spPr>
              <a:solidFill>
                <a:srgbClr val="FF0000"/>
              </a:solidFill>
              <a:ln w="6350">
                <a:solidFill>
                  <a:schemeClr val="tx1"/>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4"/>
              <c:layout/>
              <c:spPr>
                <a:noFill/>
                <a:ln>
                  <a:noFill/>
                </a:ln>
                <a:effectLst/>
              </c:spPr>
              <c:txPr>
                <a:bodyPr rot="0" spcFirstLastPara="1" vertOverflow="ellipsis" horzOverflow="overflow" wrap="square" anchor="ctr" anchorCtr="1">
                  <a:no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5"/>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inBase"/>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(2)'!$B$4,'[0]H22-H30 (2)'!$B$8:$B$13</c15:sqref>
                  </c15:fullRef>
                </c:ext>
              </c:extLst>
              <c:f>'H22-H30 (2)'!$B$8:$B$13</c:f>
              <c:strCache>
                <c:ptCount val="6"/>
                <c:pt idx="0">
                  <c:v>H27
(N=15,900)</c:v>
                </c:pt>
                <c:pt idx="1">
                  <c:v>H28
(N=16,985)</c:v>
                </c:pt>
                <c:pt idx="2">
                  <c:v>H29
(N=17,633)</c:v>
                </c:pt>
                <c:pt idx="3">
                  <c:v>H30
(N=18,309)</c:v>
                </c:pt>
                <c:pt idx="4">
                  <c:v>R1
(N=18,942)</c:v>
                </c:pt>
                <c:pt idx="5">
                  <c:v>R2
(N=18,628)</c:v>
                </c:pt>
              </c:strCache>
            </c:strRef>
          </c:cat>
          <c:val>
            <c:numRef>
              <c:extLst>
                <c:ext xmlns:c15="http://schemas.microsoft.com/office/drawing/2012/chart" uri="{02D57815-91ED-43cb-92C2-25804820EDAC}">
                  <c15:fullRef>
                    <c15:sqref>'[★血圧グラフ(H22~)協会＋国保.xlsx]H22-H30 (2)'!$G$4,'[★血圧グラフ(H22~)協会＋国保.xlsx]H22-H30 (2)'!$G$8:$G$13</c15:sqref>
                  </c15:fullRef>
                </c:ext>
              </c:extLst>
              <c:f>'H22-H30 (2)'!$G$8:$G$13</c:f>
              <c:numCache>
                <c:formatCode xml:space="preserve">0.0_ </c:formatCode>
                <c:ptCount val="6"/>
                <c:pt idx="0">
                  <c:v>0.8</c:v>
                </c:pt>
                <c:pt idx="1">
                  <c:v>0.7</c:v>
                </c:pt>
                <c:pt idx="2">
                  <c:v>0.8</c:v>
                </c:pt>
                <c:pt idx="3">
                  <c:v>0.8</c:v>
                </c:pt>
                <c:pt idx="4">
                  <c:v>0.8</c:v>
                </c:pt>
                <c:pt idx="5">
                  <c:v>1</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solidFill>
                  <a:latin typeface="+mn-lt"/>
                  <a:ea typeface="+mn-ea"/>
                  <a:cs typeface="+mn-cs"/>
                </a:defRPr>
              </a:pPr>
              <a:endParaRPr lang="ja-JP" altLang="en-US" sz="900" kern="1200">
                <a:solidFill>
                  <a:schemeClr val="tx1"/>
                </a:solidFill>
                <a:latin typeface="+mn-lt"/>
                <a:ea typeface="+mn-ea"/>
                <a:cs typeface="+mn-cs"/>
              </a:endParaRPr>
            </a:p>
          </c:txPr>
          <c:showLegendKey val="0"/>
          <c:showVal val="1"/>
          <c:showCatName val="0"/>
          <c:showSerName val="0"/>
          <c:showPercent val="0"/>
          <c:showBubbleSize val="0"/>
        </c:dLbls>
        <c:gapWidth val="80"/>
        <c:overlap val="100"/>
        <c:serLines>
          <c:spPr>
            <a:noFill/>
            <a:ln w="9525" cap="flat" cmpd="sng" algn="ctr">
              <a:solidFill>
                <a:schemeClr val="tx1">
                  <a:lumMod val="35000"/>
                  <a:lumOff val="65000"/>
                </a:schemeClr>
              </a:solidFill>
              <a:round/>
            </a:ln>
            <a:effectLst/>
          </c:spPr>
        </c:serLines>
        <c:axId val="1"/>
        <c:axId val="2"/>
      </c:barChart>
      <c:catAx>
        <c:axId val="1"/>
        <c:scaling>
          <c:orientation val="maxMin"/>
        </c:scaling>
        <c:delete val="0"/>
        <c:axPos val="l"/>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numFmt formatCode="0.0_ "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ゴシック"/>
                <a:ea typeface="ＭＳ ゴシック"/>
                <a:cs typeface="+mn-cs"/>
              </a:defRPr>
            </a:pPr>
            <a:endParaRPr lang="ja-JP" altLang="en-US"/>
          </a:p>
        </c:txPr>
        <c:crossAx val="1"/>
        <c:crosses val="autoZero"/>
        <c:crossBetween val="between"/>
        <c:majorUnit val="0.5"/>
      </c:valAx>
      <c:spPr>
        <a:noFill/>
        <a:ln>
          <a:noFill/>
        </a:ln>
        <a:effectLst/>
      </c:spPr>
    </c:plotArea>
    <c:plotVisOnly val="1"/>
    <c:dispBlanksAs val="gap"/>
    <c:showDLblsOverMax val="0"/>
  </c:chart>
  <c:spPr>
    <a:no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9.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170742730006431"/>
          <c:y val="0.10580374821568356"/>
          <c:w val="0.69557734091185619"/>
          <c:h val="0.8941962517843165"/>
        </c:manualLayout>
      </c:layout>
      <c:barChart>
        <c:barDir val="bar"/>
        <c:grouping val="percentStacked"/>
        <c:varyColors val="0"/>
        <c:ser>
          <c:idx val="0"/>
          <c:order val="0"/>
          <c:tx>
            <c:strRef>
              <c:f>'[0]H22-H30 (2)'!$K$3</c:f>
              <c:strCache>
                <c:ptCount val="1"/>
                <c:pt idx="0">
                  <c:v>-129</c:v>
                </c:pt>
              </c:strCache>
            </c:strRef>
          </c:tx>
          <c:spPr>
            <a:solidFill>
              <a:srgbClr val="C3D69B"/>
            </a:solidFill>
            <a:ln w="3175">
              <a:solidFill>
                <a:schemeClr val="tx1"/>
              </a:solidFill>
            </a:ln>
            <a:effectLst/>
          </c:spPr>
          <c:invertIfNegative val="0"/>
          <c:dLbls>
            <c:numFmt formatCode="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(2)'!$J$4,'[0]H22-H30 (2)'!$J$8:$J$13</c15:sqref>
                  </c15:fullRef>
                </c:ext>
              </c:extLst>
              <c:f>'H22-H30 (2)'!$J$8:$J$13</c:f>
              <c:strCache>
                <c:ptCount val="6"/>
                <c:pt idx="0">
                  <c:v>H27
(N=13,280)</c:v>
                </c:pt>
                <c:pt idx="1">
                  <c:v>H28
(N=13,733)</c:v>
                </c:pt>
                <c:pt idx="2">
                  <c:v>H29
(N=12,973)</c:v>
                </c:pt>
                <c:pt idx="3">
                  <c:v>H30
(N=14,217)</c:v>
                </c:pt>
                <c:pt idx="4">
                  <c:v>R1
(N=14,507)</c:v>
                </c:pt>
                <c:pt idx="5">
                  <c:v>R2
(N=14,134)</c:v>
                </c:pt>
              </c:strCache>
            </c:strRef>
          </c:cat>
          <c:val>
            <c:numRef>
              <c:extLst>
                <c:ext xmlns:c15="http://schemas.microsoft.com/office/drawing/2012/chart" uri="{02D57815-91ED-43cb-92C2-25804820EDAC}">
                  <c15:fullRef>
                    <c15:sqref>'[★血圧グラフ(H22~)協会＋国保.xlsx]H22-H30 (2)'!$K$4,'[★血圧グラフ(H22~)協会＋国保.xlsx]H22-H30 (2)'!$K$8:$K$13</c15:sqref>
                  </c15:fullRef>
                </c:ext>
              </c:extLst>
              <c:f>'H22-H30 (2)'!$K$8:$K$13</c:f>
              <c:numCache>
                <c:formatCode xml:space="preserve">0.0_ </c:formatCode>
                <c:ptCount val="6"/>
                <c:pt idx="0">
                  <c:v>45.7</c:v>
                </c:pt>
                <c:pt idx="1">
                  <c:v>45.9</c:v>
                </c:pt>
                <c:pt idx="2">
                  <c:v>45.1</c:v>
                </c:pt>
                <c:pt idx="3">
                  <c:v>46</c:v>
                </c:pt>
                <c:pt idx="4">
                  <c:v>45.6</c:v>
                </c:pt>
                <c:pt idx="5">
                  <c:v>42</c:v>
                </c:pt>
              </c:numCache>
            </c:numRef>
          </c:val>
        </c:ser>
        <c:ser>
          <c:idx val="1"/>
          <c:order val="1"/>
          <c:tx>
            <c:strRef>
              <c:f>'[0]H22-H30 (2)'!$L$3</c:f>
              <c:strCache>
                <c:ptCount val="1"/>
                <c:pt idx="0">
                  <c:v>130-139</c:v>
                </c:pt>
              </c:strCache>
            </c:strRef>
          </c:tx>
          <c:spPr>
            <a:solidFill>
              <a:srgbClr val="4F81BD"/>
            </a:solidFill>
            <a:ln w="6350">
              <a:solidFill>
                <a:schemeClr val="tx1"/>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(2)'!$J$4,'[0]H22-H30 (2)'!$J$8:$J$13</c15:sqref>
                  </c15:fullRef>
                </c:ext>
              </c:extLst>
              <c:f>'H22-H30 (2)'!$J$8:$J$13</c:f>
              <c:strCache>
                <c:ptCount val="6"/>
                <c:pt idx="0">
                  <c:v>H27
(N=13,280)</c:v>
                </c:pt>
                <c:pt idx="1">
                  <c:v>H28
(N=13,733)</c:v>
                </c:pt>
                <c:pt idx="2">
                  <c:v>H29
(N=12,973)</c:v>
                </c:pt>
                <c:pt idx="3">
                  <c:v>H30
(N=14,217)</c:v>
                </c:pt>
                <c:pt idx="4">
                  <c:v>R1
(N=14,507)</c:v>
                </c:pt>
                <c:pt idx="5">
                  <c:v>R2
(N=14,134)</c:v>
                </c:pt>
              </c:strCache>
            </c:strRef>
          </c:cat>
          <c:val>
            <c:numRef>
              <c:extLst>
                <c:ext xmlns:c15="http://schemas.microsoft.com/office/drawing/2012/chart" uri="{02D57815-91ED-43cb-92C2-25804820EDAC}">
                  <c15:fullRef>
                    <c15:sqref>'[★血圧グラフ(H22~)協会＋国保.xlsx]H22-H30 (2)'!$L$4,'[★血圧グラフ(H22~)協会＋国保.xlsx]H22-H30 (2)'!$L$8:$L$13</c15:sqref>
                  </c15:fullRef>
                </c:ext>
              </c:extLst>
              <c:f>'H22-H30 (2)'!$L$8:$L$13</c:f>
              <c:numCache>
                <c:formatCode xml:space="preserve">0.0_ </c:formatCode>
                <c:ptCount val="6"/>
                <c:pt idx="0">
                  <c:v>23.2</c:v>
                </c:pt>
                <c:pt idx="1">
                  <c:v>23.8</c:v>
                </c:pt>
                <c:pt idx="2">
                  <c:v>23.3</c:v>
                </c:pt>
                <c:pt idx="3">
                  <c:v>23.1</c:v>
                </c:pt>
                <c:pt idx="4">
                  <c:v>23.4</c:v>
                </c:pt>
                <c:pt idx="5">
                  <c:v>23.8</c:v>
                </c:pt>
              </c:numCache>
            </c:numRef>
          </c:val>
        </c:ser>
        <c:ser>
          <c:idx val="2"/>
          <c:order val="2"/>
          <c:tx>
            <c:strRef>
              <c:f>'[0]H22-H30 (2)'!$M$3</c:f>
              <c:strCache>
                <c:ptCount val="1"/>
                <c:pt idx="0">
                  <c:v>140-159</c:v>
                </c:pt>
              </c:strCache>
            </c:strRef>
          </c:tx>
          <c:spPr>
            <a:solidFill>
              <a:srgbClr val="FFC000"/>
            </a:solidFill>
            <a:ln w="6350">
              <a:solidFill>
                <a:schemeClr val="tx1"/>
              </a:solid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(2)'!$J$4,'[0]H22-H30 (2)'!$J$8:$J$13</c15:sqref>
                  </c15:fullRef>
                </c:ext>
              </c:extLst>
              <c:f>'H22-H30 (2)'!$J$8:$J$13</c:f>
              <c:strCache>
                <c:ptCount val="6"/>
                <c:pt idx="0">
                  <c:v>H27
(N=13,280)</c:v>
                </c:pt>
                <c:pt idx="1">
                  <c:v>H28
(N=13,733)</c:v>
                </c:pt>
                <c:pt idx="2">
                  <c:v>H29
(N=12,973)</c:v>
                </c:pt>
                <c:pt idx="3">
                  <c:v>H30
(N=14,217)</c:v>
                </c:pt>
                <c:pt idx="4">
                  <c:v>R1
(N=14,507)</c:v>
                </c:pt>
                <c:pt idx="5">
                  <c:v>R2
(N=14,134)</c:v>
                </c:pt>
              </c:strCache>
            </c:strRef>
          </c:cat>
          <c:val>
            <c:numRef>
              <c:extLst>
                <c:ext xmlns:c15="http://schemas.microsoft.com/office/drawing/2012/chart" uri="{02D57815-91ED-43cb-92C2-25804820EDAC}">
                  <c15:fullRef>
                    <c15:sqref>'[★血圧グラフ(H22~)協会＋国保.xlsx]H22-H30 (2)'!$M$4,'[★血圧グラフ(H22~)協会＋国保.xlsx]H22-H30 (2)'!$M$8:$M$13</c15:sqref>
                  </c15:fullRef>
                </c:ext>
              </c:extLst>
              <c:f>'H22-H30 (2)'!$M$8:$M$13</c:f>
              <c:numCache>
                <c:formatCode xml:space="preserve">0.0_ </c:formatCode>
                <c:ptCount val="6"/>
                <c:pt idx="0">
                  <c:v>24.8</c:v>
                </c:pt>
                <c:pt idx="1">
                  <c:v>24.8</c:v>
                </c:pt>
                <c:pt idx="2">
                  <c:v>25.5</c:v>
                </c:pt>
                <c:pt idx="3">
                  <c:v>25</c:v>
                </c:pt>
                <c:pt idx="4">
                  <c:v>25.3</c:v>
                </c:pt>
                <c:pt idx="5">
                  <c:v>27.4</c:v>
                </c:pt>
              </c:numCache>
            </c:numRef>
          </c:val>
        </c:ser>
        <c:ser>
          <c:idx val="3"/>
          <c:order val="3"/>
          <c:tx>
            <c:strRef>
              <c:f>'[0]H22-H30 (2)'!$N$3</c:f>
              <c:strCache>
                <c:ptCount val="1"/>
                <c:pt idx="0">
                  <c:v>160-179</c:v>
                </c:pt>
              </c:strCache>
            </c:strRef>
          </c:tx>
          <c:spPr>
            <a:solidFill>
              <a:srgbClr val="D99694"/>
            </a:solidFill>
            <a:ln w="6350">
              <a:solidFill>
                <a:schemeClr val="tx1"/>
              </a:solidFill>
            </a:ln>
            <a:effectLst/>
          </c:spPr>
          <c:invertIfNegative val="0"/>
          <c:dPt>
            <c:idx val="3"/>
            <c:invertIfNegative val="0"/>
            <c:bubble3D val="0"/>
            <c:spPr>
              <a:solidFill>
                <a:srgbClr val="D99694"/>
              </a:solidFill>
              <a:ln w="6350">
                <a:solidFill>
                  <a:schemeClr val="tx1"/>
                </a:solidFill>
              </a:ln>
              <a:effectLst/>
            </c:spPr>
          </c:dPt>
          <c:dLbls>
            <c:dLbl>
              <c:idx val="3"/>
              <c:layout>
                <c:manualLayout>
                  <c:x val="1.5352919594728079e-004"/>
                  <c:y val="3.891725072827435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latin typeface="ＭＳ ゴシック"/>
                    <a:ea typeface="ＭＳ ゴシック"/>
                  </a:endParaRPr>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(2)'!$J$4,'[0]H22-H30 (2)'!$J$8:$J$13</c15:sqref>
                  </c15:fullRef>
                </c:ext>
              </c:extLst>
              <c:f>'H22-H30 (2)'!$J$8:$J$13</c:f>
              <c:strCache>
                <c:ptCount val="6"/>
                <c:pt idx="0">
                  <c:v>H27
(N=13,280)</c:v>
                </c:pt>
                <c:pt idx="1">
                  <c:v>H28
(N=13,733)</c:v>
                </c:pt>
                <c:pt idx="2">
                  <c:v>H29
(N=12,973)</c:v>
                </c:pt>
                <c:pt idx="3">
                  <c:v>H30
(N=14,217)</c:v>
                </c:pt>
                <c:pt idx="4">
                  <c:v>R1
(N=14,507)</c:v>
                </c:pt>
                <c:pt idx="5">
                  <c:v>R2
(N=14,134)</c:v>
                </c:pt>
              </c:strCache>
            </c:strRef>
          </c:cat>
          <c:val>
            <c:numRef>
              <c:extLst>
                <c:ext xmlns:c15="http://schemas.microsoft.com/office/drawing/2012/chart" uri="{02D57815-91ED-43cb-92C2-25804820EDAC}">
                  <c15:fullRef>
                    <c15:sqref>'[★血圧グラフ(H22~)協会＋国保.xlsx]H22-H30 (2)'!$N$4,'[★血圧グラフ(H22~)協会＋国保.xlsx]H22-H30 (2)'!$N$8:$N$13</c15:sqref>
                  </c15:fullRef>
                </c:ext>
              </c:extLst>
              <c:f>'H22-H30 (2)'!$N$8:$N$13</c:f>
              <c:numCache>
                <c:formatCode xml:space="preserve">0.0_ </c:formatCode>
                <c:ptCount val="6"/>
                <c:pt idx="0">
                  <c:v>5.5</c:v>
                </c:pt>
                <c:pt idx="1">
                  <c:v>4.7</c:v>
                </c:pt>
                <c:pt idx="2">
                  <c:v>5.3</c:v>
                </c:pt>
                <c:pt idx="3">
                  <c:v>5</c:v>
                </c:pt>
                <c:pt idx="4">
                  <c:v>4.9000000000000004</c:v>
                </c:pt>
                <c:pt idx="5">
                  <c:v>5.8</c:v>
                </c:pt>
              </c:numCache>
            </c:numRef>
          </c:val>
        </c:ser>
        <c:ser>
          <c:idx val="4"/>
          <c:order val="4"/>
          <c:tx>
            <c:strRef>
              <c:f>'[0]H22-H30 (2)'!$O$3</c:f>
              <c:strCache>
                <c:ptCount val="1"/>
                <c:pt idx="0">
                  <c:v>180-</c:v>
                </c:pt>
              </c:strCache>
            </c:strRef>
          </c:tx>
          <c:spPr>
            <a:solidFill>
              <a:srgbClr val="FF0000"/>
            </a:solidFill>
            <a:ln w="6350">
              <a:solidFill>
                <a:schemeClr val="tx1"/>
              </a:solidFill>
            </a:ln>
            <a:effectLst/>
          </c:spPr>
          <c:invertIfNegative val="0"/>
          <c:dPt>
            <c:idx val="0"/>
            <c:invertIfNegative val="0"/>
            <c:bubble3D val="0"/>
            <c:spPr>
              <a:solidFill>
                <a:srgbClr val="FF0000"/>
              </a:solidFill>
              <a:ln w="6350">
                <a:solidFill>
                  <a:schemeClr val="tx1"/>
                </a:solidFill>
              </a:ln>
              <a:effectLst/>
            </c:spPr>
          </c:dPt>
          <c:dPt>
            <c:idx val="1"/>
            <c:invertIfNegative val="0"/>
            <c:bubble3D val="0"/>
            <c:spPr>
              <a:solidFill>
                <a:srgbClr val="FF0000"/>
              </a:solidFill>
              <a:ln w="6350">
                <a:solidFill>
                  <a:schemeClr val="tx1"/>
                </a:solidFill>
              </a:ln>
              <a:effectLst/>
            </c:spPr>
          </c:dPt>
          <c:dPt>
            <c:idx val="2"/>
            <c:invertIfNegative val="0"/>
            <c:bubble3D val="0"/>
            <c:spPr>
              <a:solidFill>
                <a:srgbClr val="FF0000"/>
              </a:solidFill>
              <a:ln w="6350">
                <a:solidFill>
                  <a:schemeClr val="tx1"/>
                </a:solidFill>
              </a:ln>
              <a:effectLst/>
            </c:spPr>
          </c:dPt>
          <c:dPt>
            <c:idx val="3"/>
            <c:invertIfNegative val="0"/>
            <c:bubble3D val="0"/>
            <c:spPr>
              <a:solidFill>
                <a:srgbClr val="FF0000"/>
              </a:solidFill>
              <a:ln w="6350">
                <a:solidFill>
                  <a:schemeClr val="tx1"/>
                </a:solidFill>
              </a:ln>
              <a:effectLst/>
            </c:spPr>
          </c:dPt>
          <c:dPt>
            <c:idx val="4"/>
            <c:invertIfNegative val="0"/>
            <c:bubble3D val="0"/>
            <c:spPr>
              <a:solidFill>
                <a:srgbClr val="FF0000"/>
              </a:solidFill>
              <a:ln w="6350">
                <a:solidFill>
                  <a:schemeClr val="tx1"/>
                </a:solidFill>
              </a:ln>
              <a:effectLst/>
            </c:spPr>
          </c:dPt>
          <c:dPt>
            <c:idx val="5"/>
            <c:invertIfNegative val="0"/>
            <c:bubble3D val="0"/>
            <c:spPr>
              <a:solidFill>
                <a:srgbClr val="FF0000"/>
              </a:solidFill>
              <a:ln w="6350">
                <a:solidFill>
                  <a:schemeClr val="tx1"/>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4"/>
              <c:layout/>
              <c:spPr>
                <a:noFill/>
                <a:ln>
                  <a:noFill/>
                </a:ln>
                <a:effectLst/>
              </c:spPr>
              <c:txPr>
                <a:bodyPr rot="0" spcFirstLastPara="1" vertOverflow="ellipsis" horzOverflow="overflow" wrap="square" anchor="ctr" anchorCtr="1">
                  <a:no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dLbl>
              <c:idx val="5"/>
              <c:layout/>
              <c:spPr>
                <a:noFill/>
                <a:ln>
                  <a:noFill/>
                </a:ln>
                <a:effectLst/>
              </c:spPr>
              <c:txPr>
                <a:bodyPr rot="0" spcFirstLastPara="1" vertOverflow="ellipsis" horzOverflow="overflow" wrap="square"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sz="800">
                    <a:solidFill>
                      <a:schemeClr val="tx1"/>
                    </a:solidFill>
                    <a:latin typeface="ＭＳ ゴシック"/>
                    <a:ea typeface="ＭＳ ゴシック"/>
                  </a:endParaRPr>
                </a:p>
              </c:txPr>
              <c:dLblPos val="inBase"/>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solidFill>
                    <a:latin typeface="ＭＳ ゴシック"/>
                    <a:ea typeface="ＭＳ ゴシック"/>
                    <a:cs typeface="+mn-cs"/>
                  </a:defRPr>
                </a:pPr>
                <a:endParaRPr lang="ja-JP" altLang="en-US"/>
              </a:p>
            </c:txPr>
            <c:dLblPos val="inBase"/>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'[0]H22-H30 (2)'!$J$4,'[0]H22-H30 (2)'!$J$8:$J$13</c15:sqref>
                  </c15:fullRef>
                </c:ext>
              </c:extLst>
              <c:f>'H22-H30 (2)'!$J$8:$J$13</c:f>
              <c:strCache>
                <c:ptCount val="6"/>
                <c:pt idx="0">
                  <c:v>H27
(N=13,280)</c:v>
                </c:pt>
                <c:pt idx="1">
                  <c:v>H28
(N=13,733)</c:v>
                </c:pt>
                <c:pt idx="2">
                  <c:v>H29
(N=12,973)</c:v>
                </c:pt>
                <c:pt idx="3">
                  <c:v>H30
(N=14,217)</c:v>
                </c:pt>
                <c:pt idx="4">
                  <c:v>R1
(N=14,507)</c:v>
                </c:pt>
                <c:pt idx="5">
                  <c:v>R2
(N=14,134)</c:v>
                </c:pt>
              </c:strCache>
            </c:strRef>
          </c:cat>
          <c:val>
            <c:numRef>
              <c:extLst>
                <c:ext xmlns:c15="http://schemas.microsoft.com/office/drawing/2012/chart" uri="{02D57815-91ED-43cb-92C2-25804820EDAC}">
                  <c15:fullRef>
                    <c15:sqref>'[★血圧グラフ(H22~)協会＋国保.xlsx]H22-H30 (2)'!$O$4,'[★血圧グラフ(H22~)協会＋国保.xlsx]H22-H30 (2)'!$O$8:$O$13</c15:sqref>
                  </c15:fullRef>
                </c:ext>
              </c:extLst>
              <c:f>'H22-H30 (2)'!$O$8:$O$13</c:f>
              <c:numCache>
                <c:formatCode xml:space="preserve">0.0_ </c:formatCode>
                <c:ptCount val="6"/>
                <c:pt idx="0">
                  <c:v>0.8</c:v>
                </c:pt>
                <c:pt idx="1">
                  <c:v>0.8</c:v>
                </c:pt>
                <c:pt idx="2">
                  <c:v>0.9</c:v>
                </c:pt>
                <c:pt idx="3">
                  <c:v>0.9</c:v>
                </c:pt>
                <c:pt idx="4">
                  <c:v>0.9</c:v>
                </c:pt>
                <c:pt idx="5">
                  <c:v>1</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solidFill>
                  <a:latin typeface="+mn-lt"/>
                  <a:ea typeface="+mn-ea"/>
                  <a:cs typeface="+mn-cs"/>
                </a:defRPr>
              </a:pPr>
              <a:endParaRPr lang="ja-JP" altLang="en-US" sz="900" kern="1200">
                <a:solidFill>
                  <a:schemeClr val="tx1"/>
                </a:solidFill>
                <a:latin typeface="+mn-lt"/>
                <a:ea typeface="+mn-ea"/>
                <a:cs typeface="+mn-cs"/>
              </a:endParaRPr>
            </a:p>
          </c:txPr>
          <c:showLegendKey val="0"/>
          <c:showVal val="1"/>
          <c:showCatName val="0"/>
          <c:showSerName val="0"/>
          <c:showPercent val="0"/>
          <c:showBubbleSize val="0"/>
        </c:dLbls>
        <c:gapWidth val="80"/>
        <c:overlap val="100"/>
        <c:serLines>
          <c:spPr>
            <a:noFill/>
            <a:ln w="9525" cap="flat" cmpd="sng" algn="ctr">
              <a:solidFill>
                <a:schemeClr val="tx1">
                  <a:lumMod val="35000"/>
                  <a:lumOff val="65000"/>
                </a:schemeClr>
              </a:solidFill>
              <a:round/>
            </a:ln>
            <a:effectLst/>
          </c:spPr>
        </c:serLines>
        <c:axId val="1"/>
        <c:axId val="2"/>
      </c:barChart>
      <c:catAx>
        <c:axId val="1"/>
        <c:scaling>
          <c:orientation val="maxMin"/>
        </c:scaling>
        <c:delete val="0"/>
        <c:axPos val="l"/>
        <c:numFmt formatCode="0.0_ "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t"/>
        <c:majorGridlines>
          <c:spPr>
            <a:noFill/>
            <a:ln w="9525" cap="flat" cmpd="sng" algn="ctr">
              <a:solidFill>
                <a:schemeClr val="tx1">
                  <a:lumMod val="15000"/>
                  <a:lumOff val="85000"/>
                </a:schemeClr>
              </a:solidFill>
              <a:round/>
            </a:ln>
            <a:effectLst/>
          </c:spPr>
        </c:majorGridlines>
        <c:numFmt formatCode="0.0_ "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chemeClr val="tx1"/>
                </a:solidFill>
                <a:latin typeface="ＭＳ ゴシック"/>
                <a:ea typeface="ＭＳ ゴシック"/>
                <a:cs typeface="+mn-cs"/>
              </a:defRPr>
            </a:pPr>
            <a:endParaRPr lang="ja-JP" altLang="en-US"/>
          </a:p>
        </c:txPr>
        <c:crossAx val="1"/>
        <c:crosses val="autoZero"/>
        <c:crossBetween val="between"/>
        <c:majorUnit val="0.5"/>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0.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22825088215852"/>
          <c:y val="7.8415019207167633e-002"/>
          <c:w val="0.7811691488444964"/>
          <c:h val="0.64072774551962064"/>
        </c:manualLayout>
      </c:layout>
      <c:lineChart>
        <c:grouping val="standard"/>
        <c:varyColors val="0"/>
        <c:ser>
          <c:idx val="0"/>
          <c:order val="0"/>
          <c:tx>
            <c:strRef>
              <c:f>=Sheet1!$B$1</c:f>
              <c:strCache>
                <c:ptCount val="1"/>
                <c:pt idx="0">
                  <c:v>男性</c:v>
                </c:pt>
              </c:strCache>
            </c:strRef>
          </c:tx>
          <c:spPr>
            <a:ln>
              <a:solidFill>
                <a:srgbClr val="00B0F0"/>
              </a:solidFill>
            </a:ln>
          </c:spPr>
          <c:marker>
            <c:spPr>
              <a:solidFill>
                <a:srgbClr val="00B0F0"/>
              </a:solidFill>
              <a:ln>
                <a:noFill/>
              </a:ln>
            </c:spPr>
          </c:marker>
          <c:dPt>
            <c:idx val="0"/>
            <c:invertIfNegative val="0"/>
            <c:marker/>
            <c:bubble3D val="0"/>
          </c:dPt>
          <c:dPt>
            <c:idx val="1"/>
            <c:invertIfNegative val="0"/>
            <c:marker/>
            <c:bubble3D val="0"/>
          </c:dPt>
          <c:dPt>
            <c:idx val="2"/>
            <c:invertIfNegative val="0"/>
            <c:marker/>
            <c:bubble3D val="0"/>
          </c:dPt>
          <c:dLbls>
            <c:dLbl>
              <c:idx val="0"/>
              <c:layout>
                <c:manualLayout>
                  <c:x val="-5.2344046937732432e-002"/>
                  <c:y val="7.2675902407880397e-002"/>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dLbl>
              <c:idx val="1"/>
              <c:layout>
                <c:manualLayout>
                  <c:x val="-4.4386190177565434e-002"/>
                  <c:y val="6.6580690070257395e-002"/>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dLbl>
              <c:idx val="2"/>
              <c:layout>
                <c:manualLayout>
                  <c:x val="-4.4653676154908006e-002"/>
                  <c:y val="8.1537181737418155e-002"/>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spPr>
              <a:noFill/>
              <a:ln>
                <a:noFill/>
              </a:ln>
              <a:effectLst/>
            </c:spPr>
            <c:txPr>
              <a:bodyPr rot="0" horzOverflow="overflow" lIns="36576" tIns="18288" rIns="36576" bIns="18288" anchor="ctr" anchorCtr="1"/>
              <a:lstStyle/>
              <a:p>
                <a:pPr algn="ctr" rtl="0">
                  <a:defRPr kumimoji="0" sz="900" kern="1200">
                    <a:solidFill>
                      <a:schemeClr val="tx1"/>
                    </a:solidFill>
                    <a:latin typeface="ＭＳ ゴシック"/>
                    <a:ea typeface="ＭＳ ゴシック"/>
                  </a:defRPr>
                </a:pPr>
                <a:endParaRPr lang="ja-JP" altLang="en-US"/>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=Sheet1!$B$2:$B$4</c:f>
              <c:numCache>
                <c:formatCode>0.0</c:formatCode>
                <c:ptCount val="3"/>
                <c:pt idx="0">
                  <c:v>114.8</c:v>
                </c:pt>
                <c:pt idx="1">
                  <c:v>111.7</c:v>
                </c:pt>
                <c:pt idx="2" formatCode="General">
                  <c:v>115.6</c:v>
                </c:pt>
              </c:numCache>
            </c:numRef>
          </c:val>
          <c:smooth val="0"/>
        </c:ser>
        <c:ser>
          <c:idx val="1"/>
          <c:order val="1"/>
          <c:tx>
            <c:strRef>
              <c:f>=Sheet1!$C$1</c:f>
              <c:strCache>
                <c:ptCount val="1"/>
                <c:pt idx="0">
                  <c:v>女性</c:v>
                </c:pt>
              </c:strCache>
            </c:strRef>
          </c:tx>
          <c:spPr>
            <a:ln w="28575" cap="rnd" cmpd="sng">
              <a:solidFill>
                <a:srgbClr val="FFA6A6"/>
              </a:solidFill>
              <a:prstDash val="solid"/>
              <a:round/>
              <a:headEnd type="none" w="med" len="med"/>
              <a:tailEnd type="none" w="med" len="med"/>
            </a:ln>
          </c:spPr>
          <c:marker>
            <c:symbol val="square"/>
            <c:size val="7"/>
            <c:spPr>
              <a:solidFill>
                <a:srgbClr val="FFA6A6"/>
              </a:solidFill>
              <a:ln w="9525" cap="flat" cmpd="sng">
                <a:noFill/>
                <a:prstDash val="solid"/>
                <a:round/>
                <a:headEnd type="none" w="med" len="med"/>
                <a:tailEnd type="none" w="med" len="med"/>
              </a:ln>
            </c:spPr>
          </c:marker>
          <c:dPt>
            <c:idx val="0"/>
            <c:invertIfNegative val="0"/>
            <c:marker>
              <c:symbol val="square"/>
              <c:size val="7"/>
              <c:spPr>
                <a:solidFill>
                  <a:srgbClr val="FFA6A6"/>
                </a:solidFill>
                <a:ln w="9525" cap="flat" cmpd="sng">
                  <a:noFill/>
                  <a:prstDash val="solid"/>
                  <a:round/>
                  <a:headEnd type="none" w="med" len="med"/>
                  <a:tailEnd type="none" w="med" len="med"/>
                </a:ln>
              </c:spPr>
            </c:marker>
            <c:bubble3D val="0"/>
            <c:spPr>
              <a:ln w="28575" cap="rnd" cmpd="sng">
                <a:solidFill>
                  <a:srgbClr val="FFA6A6"/>
                </a:solidFill>
                <a:prstDash val="solid"/>
                <a:round/>
                <a:headEnd type="none" w="med" len="med"/>
                <a:tailEnd type="none" w="med" len="med"/>
              </a:ln>
            </c:spPr>
          </c:dPt>
          <c:dPt>
            <c:idx val="1"/>
            <c:invertIfNegative val="0"/>
            <c:marker>
              <c:symbol val="square"/>
              <c:size val="7"/>
              <c:spPr>
                <a:solidFill>
                  <a:srgbClr val="FFA6A6"/>
                </a:solidFill>
                <a:ln w="9525" cap="flat" cmpd="sng">
                  <a:noFill/>
                  <a:prstDash val="solid"/>
                  <a:round/>
                  <a:headEnd type="none" w="med" len="med"/>
                  <a:tailEnd type="none" w="med" len="med"/>
                </a:ln>
              </c:spPr>
            </c:marker>
            <c:bubble3D val="0"/>
            <c:spPr>
              <a:ln w="28575" cap="rnd" cmpd="sng">
                <a:solidFill>
                  <a:srgbClr val="FFA6A6"/>
                </a:solidFill>
                <a:prstDash val="solid"/>
                <a:round/>
                <a:headEnd type="none" w="med" len="med"/>
                <a:tailEnd type="none" w="med" len="med"/>
              </a:ln>
            </c:spPr>
          </c:dPt>
          <c:dPt>
            <c:idx val="2"/>
            <c:invertIfNegative val="0"/>
            <c:marker>
              <c:symbol val="square"/>
              <c:size val="7"/>
              <c:spPr>
                <a:solidFill>
                  <a:srgbClr val="FFA6A6"/>
                </a:solidFill>
                <a:ln w="9525" cap="flat" cmpd="sng">
                  <a:noFill/>
                  <a:prstDash val="solid"/>
                  <a:round/>
                  <a:headEnd type="none" w="med" len="med"/>
                  <a:tailEnd type="none" w="med" len="med"/>
                </a:ln>
              </c:spPr>
            </c:marker>
            <c:bubble3D val="0"/>
            <c:spPr>
              <a:ln w="28575" cap="rnd" cmpd="sng">
                <a:solidFill>
                  <a:srgbClr val="FFA6A6"/>
                </a:solidFill>
                <a:prstDash val="solid"/>
                <a:round/>
                <a:headEnd type="none" w="med" len="med"/>
                <a:tailEnd type="none" w="med" len="med"/>
              </a:ln>
            </c:spPr>
          </c:dPt>
          <c:dLbls>
            <c:dLbl>
              <c:idx val="0"/>
              <c:layout>
                <c:manualLayout>
                  <c:x val="-5.1273904449322429e-002"/>
                  <c:y val="-7.9248844608663299e-002"/>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dLbl>
              <c:idx val="1"/>
              <c:layout>
                <c:manualLayout>
                  <c:x val="-4.4017428885864504e-002"/>
                  <c:y val="-0.11195117179598164"/>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dLbl>
              <c:idx val="2"/>
              <c:layout>
                <c:manualLayout>
                  <c:x val="-4.4246986265081584e-002"/>
                  <c:y val="-0.10740276229835727"/>
                </c:manualLayout>
              </c:layout>
              <c:spPr>
                <a:noFill/>
                <a:ln>
                  <a:noFill/>
                </a:ln>
                <a:effectLst/>
              </c:spPr>
              <c:txPr>
                <a:bodyPr/>
                <a:lstStyle/>
                <a:p>
                  <a:pPr>
                    <a:defRPr kumimoji="0" sz="900" kern="1200">
                      <a:solidFill>
                        <a:schemeClr val="tx1"/>
                      </a:solidFill>
                      <a:latin typeface="ＭＳ ゴシック"/>
                      <a:ea typeface="ＭＳ ゴシック"/>
                    </a:defRPr>
                  </a:pPr>
                  <a:endParaRPr lang="ja-JP" altLang="en-US">
                    <a:latin typeface="ＭＳ ゴシック"/>
                    <a:ea typeface="ＭＳ ゴシック"/>
                  </a:endParaRPr>
                </a:p>
              </c:txPr>
              <c:showLegendKey val="0"/>
              <c:showVal val="1"/>
              <c:showCatName val="0"/>
              <c:showSerName val="0"/>
              <c:showPercent val="0"/>
              <c:showBubbleSize val="0"/>
            </c:dLbl>
            <c:spPr>
              <a:noFill/>
              <a:ln>
                <a:noFill/>
              </a:ln>
              <a:effectLst/>
            </c:spPr>
            <c:txPr>
              <a:bodyPr rot="0" horzOverflow="overflow" lIns="36576" tIns="18288" rIns="36576" bIns="18288" anchor="ctr" anchorCtr="1"/>
              <a:lstStyle/>
              <a:p>
                <a:pPr algn="ctr" rtl="0">
                  <a:defRPr kumimoji="0" sz="900" kern="1200">
                    <a:solidFill>
                      <a:schemeClr val="tx1"/>
                    </a:solidFill>
                    <a:latin typeface="ＭＳ ゴシック"/>
                    <a:ea typeface="ＭＳ ゴシック"/>
                  </a:defRPr>
                </a:pPr>
                <a:endParaRPr lang="ja-JP" altLang="en-US"/>
              </a:p>
            </c:txPr>
            <c:dLblPos val="t"/>
            <c:showLegendKey val="0"/>
            <c:showVal val="1"/>
            <c:showCatName val="0"/>
            <c:showSerName val="0"/>
            <c:showPercent val="0"/>
            <c:showBubbleSize val="0"/>
          </c:dLbls>
          <c:cat>
            <c:strRef>
              <c:f>=Sheet1!$A$2:$A$4</c:f>
              <c:strCache>
                <c:ptCount val="3"/>
                <c:pt idx="0">
                  <c:v>H23</c:v>
                </c:pt>
                <c:pt idx="1">
                  <c:v>H28</c:v>
                </c:pt>
                <c:pt idx="2">
                  <c:v>R4</c:v>
                </c:pt>
              </c:strCache>
            </c:strRef>
          </c:cat>
          <c:val>
            <c:numRef>
              <c:f>=Sheet1!$C$2:$C$4</c:f>
              <c:numCache>
                <c:formatCode>0.0</c:formatCode>
                <c:ptCount val="3"/>
                <c:pt idx="0">
                  <c:v>119.7</c:v>
                </c:pt>
                <c:pt idx="1">
                  <c:v>121.9</c:v>
                </c:pt>
                <c:pt idx="2" formatCode="General">
                  <c:v>115.4</c:v>
                </c:pt>
              </c:numCache>
            </c:numRef>
          </c:val>
          <c:smooth val="0"/>
        </c:ser>
        <c:dLbls>
          <c:txPr>
            <a:bodyPr rot="0" horzOverflow="overflow" anchor="ctr" anchorCtr="1"/>
            <a:lstStyle/>
            <a:p>
              <a:pPr algn="ctr" rtl="0">
                <a:defRPr sz="1050">
                  <a:solidFill>
                    <a:schemeClr val="tx1"/>
                  </a:solidFill>
                </a:defRPr>
              </a:pPr>
              <a:endParaRPr lang="ja-JP" altLang="en-US"/>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0"/>
        <c:majorTickMark val="in"/>
        <c:minorTickMark val="none"/>
        <c:tickLblPos val="nextTo"/>
        <c:txPr>
          <a:bodyPr horzOverflow="overflow" anchor="ctr" anchorCtr="1"/>
          <a:lstStyle/>
          <a:p>
            <a:pPr algn="ctr" rtl="0">
              <a:defRPr kumimoji="0" sz="1000" kern="1200">
                <a:solidFill>
                  <a:schemeClr val="tx1"/>
                </a:solidFill>
                <a:latin typeface="ＭＳ ゴシック"/>
                <a:ea typeface="ＭＳ ゴシック"/>
              </a:defRPr>
            </a:pPr>
            <a:endParaRPr lang="ja-JP" altLang="en-US"/>
          </a:p>
        </c:txPr>
        <c:crossAx val="2"/>
        <c:crosses val="autoZero"/>
        <c:auto val="1"/>
        <c:lblAlgn val="ctr"/>
        <c:lblOffset val="100"/>
        <c:noMultiLvlLbl val="0"/>
      </c:catAx>
      <c:valAx>
        <c:axId val="2"/>
        <c:scaling>
          <c:orientation val="minMax"/>
          <c:min val="100"/>
        </c:scaling>
        <c:delete val="0"/>
        <c:axPos val="l"/>
        <c:majorGridlines/>
        <c:numFmt formatCode="0" sourceLinked="0"/>
        <c:majorTickMark val="out"/>
        <c:minorTickMark val="none"/>
        <c:tickLblPos val="nextTo"/>
        <c:txPr>
          <a:bodyPr horzOverflow="overflow" anchor="ctr" anchorCtr="1"/>
          <a:lstStyle/>
          <a:p>
            <a:pPr algn="ctr" rtl="0">
              <a:defRPr kumimoji="0" sz="900" kern="1200">
                <a:solidFill>
                  <a:schemeClr val="tx1"/>
                </a:solidFill>
                <a:latin typeface="ＭＳ ゴシック"/>
                <a:ea typeface="ＭＳ ゴシック"/>
              </a:defRPr>
            </a:pPr>
            <a:endParaRPr lang="ja-JP" altLang="en-US"/>
          </a:p>
        </c:txPr>
        <c:crossAx val="1"/>
        <c:crosses val="autoZero"/>
        <c:crossBetween val="between"/>
        <c:majorUnit val="5"/>
      </c:valAx>
    </c:plotArea>
    <c:legend>
      <c:legendPos val="r"/>
      <c:layout>
        <c:manualLayout>
          <c:xMode val="edge"/>
          <c:yMode val="edge"/>
          <c:x val="0.17803030303030304"/>
          <c:y val="0.87272727272727268"/>
          <c:w val="0.70643939393939392"/>
          <c:h val="0.12727272727272726"/>
        </c:manualLayout>
      </c:layout>
      <c:overlay val="0"/>
      <c:txPr>
        <a:bodyPr horzOverflow="overflow" anchor="ctr" anchorCtr="1"/>
        <a:lstStyle/>
        <a:p>
          <a:pPr algn="l" rtl="0">
            <a:defRPr kumimoji="0" sz="900" kern="1200">
              <a:solidFill>
                <a:schemeClr val="tx1"/>
              </a:solidFill>
              <a:latin typeface="ＭＳ ゴシック"/>
              <a:ea typeface="ＭＳ ゴシック"/>
            </a:defRPr>
          </a:pPr>
          <a:endParaRPr lang="ja-JP" altLang="en-US"/>
        </a:p>
      </c:txPr>
    </c:legend>
    <c:plotVisOnly val="1"/>
    <c:dispBlanksAs val="gap"/>
    <c:showDLblsOverMax val="0"/>
  </c:chart>
  <c:spPr>
    <a:noFill/>
    <a:ln>
      <a:noFill/>
    </a:ln>
    <a:effectLst/>
  </c:spPr>
  <c:txPr>
    <a:bodyPr horzOverflow="overflow" anchor="ctr" anchorCtr="1"/>
    <a:lstStyle/>
    <a:p>
      <a:pPr algn="ctr" rtl="0">
        <a:defRPr lang="ja-JP" altLang="en-US" sz="1050">
          <a:solidFill>
            <a:schemeClr val="tx1"/>
          </a:solidFill>
          <a:latin typeface="メイリオ"/>
          <a:ea typeface="メイリオ"/>
        </a:defRPr>
      </a:pPr>
      <a:endParaRPr lang="ja-JP" altLang="en-US"/>
    </a:p>
  </c:txPr>
  <c:externalData r:id="rId1">
    <c:autoUpdate val="0"/>
  </c:externalData>
  <c:extLst>
    <c:ext xmlns:c14="http://schemas.microsoft.com/office/drawing/2007/8/2/chart" uri="{781A3756-C4B2-4CAC-9D66-4F8BD8637D16}"/>
  </c:extLst>
</c:chartSpace>
</file>

<file path=word/charts/chart1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'[0]脳卒中発症者(初発)の有病状況'!$K$80</c:f>
              <c:strCache>
                <c:ptCount val="1"/>
                <c:pt idx="0">
                  <c:v>治療中</c:v>
                </c:pt>
              </c:strCache>
            </c:strRef>
          </c:tx>
          <c:spPr>
            <a:solidFill>
              <a:srgbClr val="FEBCA8"/>
            </a:solidFill>
            <a:ln>
              <a:noFill/>
            </a:ln>
            <a:effectLst/>
          </c:spPr>
          <c:invertIfNegative val="0"/>
          <c:dPt>
            <c:idx val="0"/>
            <c:invertIfNegative val="0"/>
            <c:bubble3D val="0"/>
            <c:spPr>
              <a:pattFill prst="wdUpDiag">
                <a:fgClr>
                  <a:srgbClr val="FFA6A6"/>
                </a:fgClr>
                <a:bgClr>
                  <a:srgbClr val="FFFFFF"/>
                </a:bgClr>
              </a:pattFill>
              <a:ln>
                <a:solidFill>
                  <a:srgbClr val="FFA6A6"/>
                </a:solidFill>
              </a:ln>
              <a:effectLst/>
            </c:spPr>
          </c:dPt>
          <c:dPt>
            <c:idx val="1"/>
            <c:invertIfNegative val="0"/>
            <c:bubble3D val="0"/>
            <c:spPr>
              <a:pattFill prst="wdUpDiag">
                <a:fgClr>
                  <a:srgbClr val="FFA6A6"/>
                </a:fgClr>
                <a:bgClr>
                  <a:srgbClr val="FFFFFF"/>
                </a:bgClr>
              </a:pattFill>
              <a:ln>
                <a:solidFill>
                  <a:srgbClr val="FFA6A6"/>
                </a:solidFill>
              </a:ln>
              <a:effectLst/>
            </c:spPr>
          </c:dPt>
          <c:dPt>
            <c:idx val="2"/>
            <c:invertIfNegative val="0"/>
            <c:bubble3D val="0"/>
            <c:spPr>
              <a:pattFill prst="wdUpDiag">
                <a:fgClr>
                  <a:srgbClr val="FFA6A6"/>
                </a:fgClr>
                <a:bgClr>
                  <a:srgbClr val="FFFFFF"/>
                </a:bgClr>
              </a:pattFill>
              <a:ln>
                <a:solidFill>
                  <a:srgbClr val="FFA6A6"/>
                </a:solidFill>
              </a:ln>
              <a:effectLst/>
            </c:spPr>
          </c:dPt>
          <c:dPt>
            <c:idx val="3"/>
            <c:invertIfNegative val="0"/>
            <c:bubble3D val="0"/>
            <c:spPr>
              <a:pattFill prst="wdUpDiag">
                <a:fgClr>
                  <a:srgbClr val="FFA6A6"/>
                </a:fgClr>
                <a:bgClr>
                  <a:srgbClr val="FFFFFF"/>
                </a:bgClr>
              </a:pattFill>
              <a:ln>
                <a:solidFill>
                  <a:srgbClr val="FFA6A6"/>
                </a:solidFill>
              </a:ln>
              <a:effectLst/>
            </c:spPr>
          </c:dPt>
          <c:dPt>
            <c:idx val="4"/>
            <c:invertIfNegative val="0"/>
            <c:bubble3D val="0"/>
            <c:spPr>
              <a:solidFill>
                <a:srgbClr val="9457FF"/>
              </a:solidFill>
              <a:ln>
                <a:solidFill>
                  <a:srgbClr val="9457FF"/>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4"/>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'[0]脳卒中発症者(初発)の有病状況'!$J$81:$J$85</c:f>
              <c:strCache>
                <c:ptCount val="5"/>
                <c:pt idx="0">
                  <c:v>高血圧症</c:v>
                </c:pt>
                <c:pt idx="1">
                  <c:v>糖尿病</c:v>
                </c:pt>
                <c:pt idx="2">
                  <c:v>脂質異常症</c:v>
                </c:pt>
                <c:pt idx="3">
                  <c:v>心房細動</c:v>
                </c:pt>
                <c:pt idx="4">
                  <c:v>喫煙</c:v>
                </c:pt>
              </c:strCache>
            </c:strRef>
          </c:cat>
          <c:val>
            <c:numRef>
              <c:f>'[【データ06】脳卒中患者実態調査.xlsx]脳卒中発症者(初発)の有病状況'!$K$81:$K$85</c:f>
              <c:numCache>
                <c:formatCode>0%</c:formatCode>
                <c:ptCount val="5"/>
                <c:pt idx="0">
                  <c:v>0.64035087719298245</c:v>
                </c:pt>
                <c:pt idx="1">
                  <c:v>0.1530214424951267</c:v>
                </c:pt>
                <c:pt idx="2">
                  <c:v>0.29434697855750486</c:v>
                </c:pt>
                <c:pt idx="3">
                  <c:v>9.454191033138401e-002</c:v>
                </c:pt>
                <c:pt idx="4">
                  <c:v>7.5048732943469781e-002</c:v>
                </c:pt>
              </c:numCache>
            </c:numRef>
          </c:val>
        </c:ser>
        <c:ser>
          <c:idx val="1"/>
          <c:order val="1"/>
          <c:tx>
            <c:strRef>
              <c:f>'[0]脳卒中発症者(初発)の有病状況'!$L$80</c:f>
              <c:strCache>
                <c:ptCount val="1"/>
                <c:pt idx="0">
                  <c:v>未治療</c:v>
                </c:pt>
              </c:strCache>
            </c:strRef>
          </c:tx>
          <c:spPr>
            <a:solidFill>
              <a:schemeClr val="accent5">
                <a:lumMod val="40000"/>
                <a:lumOff val="60000"/>
              </a:schemeClr>
            </a:solidFill>
            <a:ln>
              <a:noFill/>
            </a:ln>
            <a:effectLst/>
          </c:spPr>
          <c:invertIfNegative val="0"/>
          <c:dPt>
            <c:idx val="0"/>
            <c:invertIfNegative val="0"/>
            <c:bubble3D val="0"/>
            <c:spPr>
              <a:pattFill prst="pct90">
                <a:fgClr>
                  <a:schemeClr val="accent5">
                    <a:lumMod val="40000"/>
                    <a:lumOff val="60000"/>
                  </a:schemeClr>
                </a:fgClr>
                <a:bgClr>
                  <a:srgbClr val="FFFFFF"/>
                </a:bgClr>
              </a:pattFill>
              <a:ln>
                <a:solidFill>
                  <a:srgbClr val="B3C5E6"/>
                </a:solidFill>
              </a:ln>
              <a:effectLst/>
            </c:spPr>
          </c:dPt>
          <c:dPt>
            <c:idx val="1"/>
            <c:invertIfNegative val="0"/>
            <c:bubble3D val="0"/>
            <c:spPr>
              <a:pattFill prst="pct90">
                <a:fgClr>
                  <a:schemeClr val="accent5">
                    <a:lumMod val="40000"/>
                    <a:lumOff val="60000"/>
                  </a:schemeClr>
                </a:fgClr>
                <a:bgClr>
                  <a:srgbClr val="FFFFFF"/>
                </a:bgClr>
              </a:pattFill>
              <a:ln>
                <a:solidFill>
                  <a:srgbClr val="B3C5E6"/>
                </a:solidFill>
              </a:ln>
              <a:effectLst/>
            </c:spPr>
          </c:dPt>
          <c:dPt>
            <c:idx val="2"/>
            <c:invertIfNegative val="0"/>
            <c:bubble3D val="0"/>
            <c:spPr>
              <a:pattFill prst="pct90">
                <a:fgClr>
                  <a:schemeClr val="accent5">
                    <a:lumMod val="40000"/>
                    <a:lumOff val="60000"/>
                  </a:schemeClr>
                </a:fgClr>
                <a:bgClr>
                  <a:srgbClr val="FFFFFF"/>
                </a:bgClr>
              </a:pattFill>
              <a:ln>
                <a:solidFill>
                  <a:srgbClr val="B3C5E6"/>
                </a:solidFill>
              </a:ln>
              <a:effectLst/>
            </c:spPr>
          </c:dPt>
          <c:dPt>
            <c:idx val="3"/>
            <c:invertIfNegative val="0"/>
            <c:bubble3D val="0"/>
            <c:spPr>
              <a:pattFill prst="pct90">
                <a:fgClr>
                  <a:schemeClr val="accent5">
                    <a:lumMod val="40000"/>
                    <a:lumOff val="60000"/>
                  </a:schemeClr>
                </a:fgClr>
                <a:bgClr>
                  <a:srgbClr val="FFFFFF"/>
                </a:bgClr>
              </a:pattFill>
              <a:ln>
                <a:solidFill>
                  <a:srgbClr val="B3C5E6"/>
                </a:solidFill>
              </a:ln>
              <a:effectLst/>
            </c:spPr>
          </c:dPt>
          <c:dPt>
            <c:idx val="4"/>
            <c:invertIfNegative val="0"/>
            <c:bubble3D val="0"/>
            <c:spPr>
              <a:solidFill>
                <a:srgbClr val="D4A0FF"/>
              </a:solidFill>
              <a:ln>
                <a:solidFill>
                  <a:srgbClr val="D4A0FF"/>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4"/>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'[0]脳卒中発症者(初発)の有病状況'!$J$81:$J$85</c:f>
              <c:strCache>
                <c:ptCount val="5"/>
                <c:pt idx="0">
                  <c:v>高血圧症</c:v>
                </c:pt>
                <c:pt idx="1">
                  <c:v>糖尿病</c:v>
                </c:pt>
                <c:pt idx="2">
                  <c:v>脂質異常症</c:v>
                </c:pt>
                <c:pt idx="3">
                  <c:v>心房細動</c:v>
                </c:pt>
                <c:pt idx="4">
                  <c:v>喫煙</c:v>
                </c:pt>
              </c:strCache>
            </c:strRef>
          </c:cat>
          <c:val>
            <c:numRef>
              <c:f>'[【データ06】脳卒中患者実態調査.xlsx]脳卒中発症者(初発)の有病状況'!$L$81:$L$85</c:f>
              <c:numCache>
                <c:formatCode>0%</c:formatCode>
                <c:ptCount val="5"/>
                <c:pt idx="0">
                  <c:v>0.11306042884990251</c:v>
                </c:pt>
                <c:pt idx="1">
                  <c:v>4.4834307992202727e-002</c:v>
                </c:pt>
                <c:pt idx="2">
                  <c:v>0.12670565302144249</c:v>
                </c:pt>
                <c:pt idx="3">
                  <c:v>6.3352826510721244e-002</c:v>
                </c:pt>
                <c:pt idx="4">
                  <c:v>5.6530214424951264e-002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solidFill>
                  <a:latin typeface="+mn-lt"/>
                  <a:ea typeface="+mn-ea"/>
                  <a:cs typeface="+mn-cs"/>
                </a:defRPr>
              </a:pPr>
              <a:endParaRPr lang="ja-JP" altLang="en-US" sz="900" kern="1200">
                <a:solidFill>
                  <a:schemeClr val="tx1"/>
                </a:solidFill>
                <a:latin typeface="+mn-lt"/>
                <a:ea typeface="+mn-ea"/>
                <a:cs typeface="+mn-cs"/>
              </a:endParaRPr>
            </a:p>
          </c:txPr>
          <c:showLegendKey val="0"/>
          <c:showVal val="1"/>
          <c:showCatName val="0"/>
          <c:showSerName val="0"/>
          <c:showPercent val="0"/>
          <c:showBubbleSize val="0"/>
        </c:dLbls>
        <c:gapWidth val="150"/>
        <c:overlap val="100"/>
        <c:axId val="1"/>
        <c:axId val="2"/>
      </c:barChart>
      <c:catAx>
        <c:axId val="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700" kern="1200">
                <a:solidFill>
                  <a:schemeClr val="tx1"/>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ゴシック"/>
                <a:ea typeface="ＭＳ ゴシック"/>
                <a:cs typeface="+mn-cs"/>
              </a:defRPr>
            </a:pPr>
            <a:endParaRPr lang="ja-JP" altLang="en-US"/>
          </a:p>
        </c:txPr>
        <c:crossAx val="1"/>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'[0]脳卒中発症者(初発)の有病状況'!$E$80</c:f>
              <c:strCache>
                <c:ptCount val="1"/>
                <c:pt idx="0">
                  <c:v>治療中</c:v>
                </c:pt>
              </c:strCache>
            </c:strRef>
          </c:tx>
          <c:spPr>
            <a:solidFill>
              <a:srgbClr val="FEBCA8"/>
            </a:solidFill>
            <a:ln>
              <a:noFill/>
            </a:ln>
            <a:effectLst/>
          </c:spPr>
          <c:invertIfNegative val="0"/>
          <c:dPt>
            <c:idx val="0"/>
            <c:invertIfNegative val="0"/>
            <c:bubble3D val="0"/>
            <c:spPr>
              <a:pattFill prst="wdUpDiag">
                <a:fgClr>
                  <a:srgbClr val="FFA6A6"/>
                </a:fgClr>
                <a:bgClr>
                  <a:srgbClr val="FFFFFF"/>
                </a:bgClr>
              </a:pattFill>
              <a:ln>
                <a:solidFill>
                  <a:srgbClr val="FFA6A6"/>
                </a:solidFill>
              </a:ln>
              <a:effectLst/>
            </c:spPr>
          </c:dPt>
          <c:dPt>
            <c:idx val="1"/>
            <c:invertIfNegative val="0"/>
            <c:bubble3D val="0"/>
            <c:spPr>
              <a:pattFill prst="wdUpDiag">
                <a:fgClr>
                  <a:srgbClr val="FFA6A6"/>
                </a:fgClr>
                <a:bgClr>
                  <a:srgbClr val="FFFFFF"/>
                </a:bgClr>
              </a:pattFill>
              <a:ln>
                <a:solidFill>
                  <a:srgbClr val="FFA6A6"/>
                </a:solidFill>
              </a:ln>
              <a:effectLst/>
            </c:spPr>
          </c:dPt>
          <c:dPt>
            <c:idx val="2"/>
            <c:invertIfNegative val="0"/>
            <c:bubble3D val="0"/>
            <c:spPr>
              <a:pattFill prst="wdUpDiag">
                <a:fgClr>
                  <a:srgbClr val="FFA6A6"/>
                </a:fgClr>
                <a:bgClr>
                  <a:srgbClr val="FFFFFF"/>
                </a:bgClr>
              </a:pattFill>
              <a:ln>
                <a:solidFill>
                  <a:srgbClr val="FFA6A6"/>
                </a:solidFill>
              </a:ln>
              <a:effectLst/>
            </c:spPr>
          </c:dPt>
          <c:dPt>
            <c:idx val="3"/>
            <c:invertIfNegative val="0"/>
            <c:bubble3D val="0"/>
            <c:spPr>
              <a:pattFill prst="wdUpDiag">
                <a:fgClr>
                  <a:srgbClr val="FFA6A6"/>
                </a:fgClr>
                <a:bgClr>
                  <a:srgbClr val="FFFFFF"/>
                </a:bgClr>
              </a:pattFill>
              <a:ln>
                <a:solidFill>
                  <a:srgbClr val="FFA6A6"/>
                </a:solidFill>
              </a:ln>
              <a:effectLst/>
            </c:spPr>
          </c:dPt>
          <c:dPt>
            <c:idx val="4"/>
            <c:invertIfNegative val="0"/>
            <c:bubble3D val="0"/>
            <c:spPr>
              <a:solidFill>
                <a:srgbClr val="9457FF"/>
              </a:solidFill>
              <a:ln>
                <a:solidFill>
                  <a:srgbClr val="9457FF"/>
                </a:solidFill>
              </a:ln>
              <a:effectLst/>
            </c:spPr>
          </c:dPt>
          <c:dLbls>
            <c:dLbl>
              <c:idx val="0"/>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2"/>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3"/>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dLbl>
              <c:idx val="4"/>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'[0]脳卒中発症者(初発)の有病状況'!$D$81:$D$85</c:f>
              <c:strCache>
                <c:ptCount val="5"/>
                <c:pt idx="0">
                  <c:v>高血圧症</c:v>
                </c:pt>
                <c:pt idx="1">
                  <c:v>糖尿病</c:v>
                </c:pt>
                <c:pt idx="2">
                  <c:v>脂質異常症</c:v>
                </c:pt>
                <c:pt idx="3">
                  <c:v>心房細動</c:v>
                </c:pt>
                <c:pt idx="4">
                  <c:v>喫煙</c:v>
                </c:pt>
              </c:strCache>
            </c:strRef>
          </c:cat>
          <c:val>
            <c:numRef>
              <c:f>'[【データ06】脳卒中患者実態調査.xlsx]脳卒中発症者(初発)の有病状況'!$E$81:$E$85</c:f>
              <c:numCache>
                <c:formatCode>0%</c:formatCode>
                <c:ptCount val="5"/>
                <c:pt idx="0">
                  <c:v>0.57828054298642539</c:v>
                </c:pt>
                <c:pt idx="1">
                  <c:v>0.19728506787330319</c:v>
                </c:pt>
                <c:pt idx="2">
                  <c:v>0.23438914027149321</c:v>
                </c:pt>
                <c:pt idx="3">
                  <c:v>9.1402714932126691e-002</c:v>
                </c:pt>
                <c:pt idx="4">
                  <c:v>0.25520361990950224</c:v>
                </c:pt>
              </c:numCache>
            </c:numRef>
          </c:val>
        </c:ser>
        <c:ser>
          <c:idx val="1"/>
          <c:order val="1"/>
          <c:tx>
            <c:strRef>
              <c:f>'[0]脳卒中発症者(初発)の有病状況'!$F$80</c:f>
              <c:strCache>
                <c:ptCount val="1"/>
                <c:pt idx="0">
                  <c:v>未治療</c:v>
                </c:pt>
              </c:strCache>
            </c:strRef>
          </c:tx>
          <c:spPr>
            <a:pattFill prst="pct90">
              <a:fgClr>
                <a:schemeClr val="accent5">
                  <a:lumMod val="40000"/>
                  <a:lumOff val="60000"/>
                </a:schemeClr>
              </a:fgClr>
              <a:bgClr>
                <a:srgbClr val="FFFFFF"/>
              </a:bgClr>
            </a:pattFill>
            <a:ln>
              <a:solidFill>
                <a:srgbClr val="B3C5E6"/>
              </a:solidFill>
            </a:ln>
            <a:effectLst/>
          </c:spPr>
          <c:invertIfNegative val="0"/>
          <c:dPt>
            <c:idx val="4"/>
            <c:invertIfNegative val="0"/>
            <c:bubble3D val="0"/>
            <c:spPr>
              <a:solidFill>
                <a:srgbClr val="D4A0FF"/>
              </a:solidFill>
              <a:ln>
                <a:solidFill>
                  <a:srgbClr val="D4A0FF"/>
                </a:solidFill>
              </a:ln>
              <a:effectLst/>
            </c:spPr>
          </c:dPt>
          <c:dLbls>
            <c:dLbl>
              <c:idx val="4"/>
              <c:layout/>
              <c:spPr>
                <a:noFill/>
                <a:ln>
                  <a:noFill/>
                </a:ln>
                <a:effectLst/>
              </c:spPr>
              <c:txPr>
                <a:bodyPr rot="0" spcFirstLastPara="1" vertOverflow="ellipsis" horzOverflow="overflow" wrap="square"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solidFill>
                      <a:schemeClr val="tx1"/>
                    </a:solidFill>
                    <a:latin typeface="ＭＳ ゴシック"/>
                    <a:ea typeface="ＭＳ ゴシック"/>
                  </a:endParaRPr>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'[0]脳卒中発症者(初発)の有病状況'!$D$81:$D$85</c:f>
              <c:strCache>
                <c:ptCount val="5"/>
                <c:pt idx="0">
                  <c:v>高血圧症</c:v>
                </c:pt>
                <c:pt idx="1">
                  <c:v>糖尿病</c:v>
                </c:pt>
                <c:pt idx="2">
                  <c:v>脂質異常症</c:v>
                </c:pt>
                <c:pt idx="3">
                  <c:v>心房細動</c:v>
                </c:pt>
                <c:pt idx="4">
                  <c:v>喫煙</c:v>
                </c:pt>
              </c:strCache>
            </c:strRef>
          </c:cat>
          <c:val>
            <c:numRef>
              <c:f>'[【データ06】脳卒中患者実態調査.xlsx]脳卒中発症者(初発)の有病状況'!$F$81:$F$85</c:f>
              <c:numCache>
                <c:formatCode>0%</c:formatCode>
                <c:ptCount val="5"/>
                <c:pt idx="0">
                  <c:v>0.17918552036199095</c:v>
                </c:pt>
                <c:pt idx="1">
                  <c:v>8.0542986425339372e-002</c:v>
                </c:pt>
                <c:pt idx="2">
                  <c:v>0.13574660633484162</c:v>
                </c:pt>
                <c:pt idx="3">
                  <c:v>6.7873303167420809e-002</c:v>
                </c:pt>
                <c:pt idx="4">
                  <c:v>0.30045248868778279</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solidFill>
                  <a:latin typeface="+mn-lt"/>
                  <a:ea typeface="+mn-ea"/>
                  <a:cs typeface="+mn-cs"/>
                </a:defRPr>
              </a:pPr>
              <a:endParaRPr lang="ja-JP" altLang="en-US" sz="900" kern="1200">
                <a:solidFill>
                  <a:schemeClr val="tx1"/>
                </a:solidFill>
                <a:latin typeface="+mn-lt"/>
                <a:ea typeface="+mn-ea"/>
                <a:cs typeface="+mn-cs"/>
              </a:endParaRPr>
            </a:p>
          </c:txPr>
          <c:showLegendKey val="0"/>
          <c:showVal val="1"/>
          <c:showCatName val="0"/>
          <c:showSerName val="0"/>
          <c:showPercent val="0"/>
          <c:showBubbleSize val="0"/>
        </c:dLbls>
        <c:gapWidth val="150"/>
        <c:overlap val="100"/>
        <c:axId val="1"/>
        <c:axId val="2"/>
      </c:barChart>
      <c:catAx>
        <c:axId val="1"/>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700" kern="1200">
                <a:solidFill>
                  <a:schemeClr val="tx1"/>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chemeClr val="tx1"/>
                </a:solidFill>
                <a:latin typeface="ＭＳ ゴシック"/>
                <a:ea typeface="ＭＳ ゴシック"/>
                <a:cs typeface="+mn-cs"/>
              </a:defRPr>
            </a:pPr>
            <a:endParaRPr lang="ja-JP" altLang="en-US"/>
          </a:p>
        </c:txPr>
        <c:crossAx val="1"/>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noFill/>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心原性脳塞栓症!$A$3:$A$13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[【データ06】脳卒中患者実態調査.xlsx]心原性脳塞栓症!$B$3:$B$13</c:f>
              <c:numCache>
                <c:formatCode>0.0%</c:formatCode>
                <c:ptCount val="11"/>
                <c:pt idx="0">
                  <c:v>0.3233644859813084</c:v>
                </c:pt>
                <c:pt idx="1">
                  <c:v>0.31415929203539822</c:v>
                </c:pt>
                <c:pt idx="2">
                  <c:v>0.34953703703703703</c:v>
                </c:pt>
                <c:pt idx="3">
                  <c:v>0.25382932166301969</c:v>
                </c:pt>
                <c:pt idx="4">
                  <c:v>0.35974304068522484</c:v>
                </c:pt>
                <c:pt idx="5">
                  <c:v>0.33766233766233766</c:v>
                </c:pt>
                <c:pt idx="6">
                  <c:v>0.39323467230443976</c:v>
                </c:pt>
                <c:pt idx="7">
                  <c:v>0.42690058479532161</c:v>
                </c:pt>
                <c:pt idx="8">
                  <c:v>0.39962476547842402</c:v>
                </c:pt>
                <c:pt idx="9">
                  <c:v>0.39009900990099006</c:v>
                </c:pt>
                <c:pt idx="10">
                  <c:v>0.4397590361445784</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0.0%" sourceLinked="1"/>
        <c:majorTickMark val="none"/>
        <c:minorTickMark val="none"/>
        <c:tickLblPos val="nextTo"/>
        <c:spPr>
          <a:noFill/>
          <a:ln w="9525" cap="flat" cmpd="sng" algn="ctr">
            <a:solidFill>
              <a:schemeClr val="bg1">
                <a:lumMod val="50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max val="1"/>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bg1">
                <a:lumMod val="50000"/>
              </a:schemeClr>
            </a:solidFill>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4.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030716723549492e-002"/>
          <c:y val="3.8585209003215437e-002"/>
          <c:w val="0.88566552901023876"/>
          <c:h val="0.76527331189710612"/>
        </c:manualLayout>
      </c:layout>
      <c:barChart>
        <c:barDir val="col"/>
        <c:grouping val="stacked"/>
        <c:varyColors val="0"/>
        <c:ser>
          <c:idx val="0"/>
          <c:order val="0"/>
          <c:tx>
            <c:strRef>
              <c:f>病型別患者数!$B$2</c:f>
              <c:strCache>
                <c:ptCount val="1"/>
                <c:pt idx="0">
                  <c:v>ラクナ梗塞</c:v>
                </c:pt>
              </c:strCache>
            </c:strRef>
          </c:tx>
          <c:spPr>
            <a:solidFill>
              <a:schemeClr val="accent1"/>
            </a:solidFill>
            <a:ln>
              <a:noFill/>
            </a:ln>
            <a:effectLst/>
          </c:spPr>
          <c:invertIfNegative val="0"/>
          <c:dLbls>
            <c:numFmt formatCode="#,##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B$3,[【データ06】脳卒中患者実態調査.xlsx]病型別患者数!$B$5,[【データ06】脳卒中患者実態調査.xlsx]病型別患者数!$B$7,[【データ06】脳卒中患者実態調査.xlsx]病型別患者数!$B$9,[【データ06】脳卒中患者実態調査.xlsx]病型別患者数!$B$11,[【データ06】脳卒中患者実態調査.xlsx]病型別患者数!$B$13,[【データ06】脳卒中患者実態調査.xlsx]病型別患者数!$B$15,[【データ06】脳卒中患者実態調査.xlsx]病型別患者数!$B$17,[【データ06】脳卒中患者実態調査.xlsx]病型別患者数!$B$19,[【データ06】脳卒中患者実態調査.xlsx]病型別患者数!$B$21,[【データ06】脳卒中患者実態調査.xlsx]病型別患者数!$B$23</c:f>
              <c:numCache>
                <c:formatCode>General</c:formatCode>
                <c:ptCount val="11"/>
                <c:pt idx="0">
                  <c:v>1163</c:v>
                </c:pt>
                <c:pt idx="1">
                  <c:v>1023</c:v>
                </c:pt>
                <c:pt idx="2">
                  <c:v>857</c:v>
                </c:pt>
                <c:pt idx="3">
                  <c:v>848</c:v>
                </c:pt>
                <c:pt idx="4">
                  <c:v>834</c:v>
                </c:pt>
                <c:pt idx="5">
                  <c:v>885</c:v>
                </c:pt>
                <c:pt idx="6">
                  <c:v>970</c:v>
                </c:pt>
                <c:pt idx="7">
                  <c:v>881</c:v>
                </c:pt>
                <c:pt idx="8">
                  <c:v>958</c:v>
                </c:pt>
                <c:pt idx="9">
                  <c:v>904</c:v>
                </c:pt>
                <c:pt idx="10">
                  <c:v>764</c:v>
                </c:pt>
              </c:numCache>
            </c:numRef>
          </c:val>
        </c:ser>
        <c:ser>
          <c:idx val="1"/>
          <c:order val="1"/>
          <c:tx>
            <c:strRef>
              <c:f>病型別患者数!$C$2</c:f>
              <c:strCache>
                <c:ptCount val="1"/>
                <c:pt idx="0">
                  <c:v>アテローム血栓性梗塞</c:v>
                </c:pt>
              </c:strCache>
            </c:strRef>
          </c:tx>
          <c:spPr>
            <a:solidFill>
              <a:schemeClr val="accent2"/>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C$3,[【データ06】脳卒中患者実態調査.xlsx]病型別患者数!$C$5,[【データ06】脳卒中患者実態調査.xlsx]病型別患者数!$C$7,[【データ06】脳卒中患者実態調査.xlsx]病型別患者数!$C$9,[【データ06】脳卒中患者実態調査.xlsx]病型別患者数!$C$11,[【データ06】脳卒中患者実態調査.xlsx]病型別患者数!$C$13,[【データ06】脳卒中患者実態調査.xlsx]病型別患者数!$C$15,[【データ06】脳卒中患者実態調査.xlsx]病型別患者数!$C$17,[【データ06】脳卒中患者実態調査.xlsx]病型別患者数!$C$19,[【データ06】脳卒中患者実態調査.xlsx]病型別患者数!$C$21,[【データ06】脳卒中患者実態調査.xlsx]病型別患者数!$C$23</c:f>
              <c:numCache>
                <c:formatCode>General</c:formatCode>
                <c:ptCount val="11"/>
                <c:pt idx="0">
                  <c:v>892</c:v>
                </c:pt>
                <c:pt idx="1">
                  <c:v>707</c:v>
                </c:pt>
                <c:pt idx="2">
                  <c:v>643</c:v>
                </c:pt>
                <c:pt idx="3">
                  <c:v>642</c:v>
                </c:pt>
                <c:pt idx="4">
                  <c:v>568</c:v>
                </c:pt>
                <c:pt idx="5">
                  <c:v>619</c:v>
                </c:pt>
                <c:pt idx="6">
                  <c:v>648</c:v>
                </c:pt>
                <c:pt idx="7">
                  <c:v>760</c:v>
                </c:pt>
                <c:pt idx="8">
                  <c:v>740</c:v>
                </c:pt>
                <c:pt idx="9">
                  <c:v>711</c:v>
                </c:pt>
                <c:pt idx="10">
                  <c:v>709</c:v>
                </c:pt>
              </c:numCache>
            </c:numRef>
          </c:val>
        </c:ser>
        <c:ser>
          <c:idx val="2"/>
          <c:order val="2"/>
          <c:tx>
            <c:strRef>
              <c:f>病型別患者数!$D$2</c:f>
              <c:strCache>
                <c:ptCount val="1"/>
                <c:pt idx="0">
                  <c:v>心原性脳塞栓症</c:v>
                </c:pt>
              </c:strCache>
            </c:strRef>
          </c:tx>
          <c:spPr>
            <a:solidFill>
              <a:schemeClr val="accent3"/>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D$3,[【データ06】脳卒中患者実態調査.xlsx]病型別患者数!$D$5,[【データ06】脳卒中患者実態調査.xlsx]病型別患者数!$D$7,[【データ06】脳卒中患者実態調査.xlsx]病型別患者数!$D$9,[【データ06】脳卒中患者実態調査.xlsx]病型別患者数!$D$11,[【データ06】脳卒中患者実態調査.xlsx]病型別患者数!$D$13,[【データ06】脳卒中患者実態調査.xlsx]病型別患者数!$D$15,[【データ06】脳卒中患者実態調査.xlsx]病型別患者数!$D$17,[【データ06】脳卒中患者実態調査.xlsx]病型別患者数!$D$19,[【データ06】脳卒中患者実態調査.xlsx]病型別患者数!$D$21,[【データ06】脳卒中患者実態調査.xlsx]病型別患者数!$D$23</c:f>
              <c:numCache>
                <c:formatCode>General</c:formatCode>
                <c:ptCount val="11"/>
                <c:pt idx="0">
                  <c:v>535</c:v>
                </c:pt>
                <c:pt idx="1">
                  <c:v>452</c:v>
                </c:pt>
                <c:pt idx="2">
                  <c:v>432</c:v>
                </c:pt>
                <c:pt idx="3">
                  <c:v>457</c:v>
                </c:pt>
                <c:pt idx="4">
                  <c:v>467</c:v>
                </c:pt>
                <c:pt idx="5">
                  <c:v>462</c:v>
                </c:pt>
                <c:pt idx="6">
                  <c:v>473</c:v>
                </c:pt>
                <c:pt idx="7">
                  <c:v>513</c:v>
                </c:pt>
                <c:pt idx="8">
                  <c:v>533</c:v>
                </c:pt>
                <c:pt idx="9">
                  <c:v>505</c:v>
                </c:pt>
                <c:pt idx="10">
                  <c:v>498</c:v>
                </c:pt>
              </c:numCache>
            </c:numRef>
          </c:val>
        </c:ser>
        <c:ser>
          <c:idx val="3"/>
          <c:order val="3"/>
          <c:tx>
            <c:strRef>
              <c:f>病型別患者数!$E$2</c:f>
              <c:strCache>
                <c:ptCount val="1"/>
                <c:pt idx="0">
                  <c:v>脳内出血</c:v>
                </c:pt>
              </c:strCache>
            </c:strRef>
          </c:tx>
          <c:spPr>
            <a:solidFill>
              <a:schemeClr val="accent4"/>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E$3,[【データ06】脳卒中患者実態調査.xlsx]病型別患者数!$E$5,[【データ06】脳卒中患者実態調査.xlsx]病型別患者数!$E$7,[【データ06】脳卒中患者実態調査.xlsx]病型別患者数!$E$9,[【データ06】脳卒中患者実態調査.xlsx]病型別患者数!$E$11,[【データ06】脳卒中患者実態調査.xlsx]病型別患者数!$E$13,[【データ06】脳卒中患者実態調査.xlsx]病型別患者数!$E$15,[【データ06】脳卒中患者実態調査.xlsx]病型別患者数!$E$17,[【データ06】脳卒中患者実態調査.xlsx]病型別患者数!$E$19,[【データ06】脳卒中患者実態調査.xlsx]病型別患者数!$E$21,[【データ06】脳卒中患者実態調査.xlsx]病型別患者数!$E$23</c:f>
              <c:numCache>
                <c:formatCode>General</c:formatCode>
                <c:ptCount val="11"/>
                <c:pt idx="0">
                  <c:v>734</c:v>
                </c:pt>
                <c:pt idx="1">
                  <c:v>576</c:v>
                </c:pt>
                <c:pt idx="2">
                  <c:v>494</c:v>
                </c:pt>
                <c:pt idx="3">
                  <c:v>525</c:v>
                </c:pt>
                <c:pt idx="4">
                  <c:v>537</c:v>
                </c:pt>
                <c:pt idx="5">
                  <c:v>596</c:v>
                </c:pt>
                <c:pt idx="6">
                  <c:v>553</c:v>
                </c:pt>
                <c:pt idx="7">
                  <c:v>591</c:v>
                </c:pt>
                <c:pt idx="8">
                  <c:v>558</c:v>
                </c:pt>
                <c:pt idx="9">
                  <c:v>571</c:v>
                </c:pt>
                <c:pt idx="10">
                  <c:v>550</c:v>
                </c:pt>
              </c:numCache>
            </c:numRef>
          </c:val>
        </c:ser>
        <c:ser>
          <c:idx val="4"/>
          <c:order val="4"/>
          <c:tx>
            <c:strRef>
              <c:f>病型別患者数!$F$2</c:f>
              <c:strCache>
                <c:ptCount val="1"/>
                <c:pt idx="0">
                  <c:v>くも膜下出血</c:v>
                </c:pt>
              </c:strCache>
            </c:strRef>
          </c:tx>
          <c:spPr>
            <a:solidFill>
              <a:schemeClr val="accent5"/>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F$3,[【データ06】脳卒中患者実態調査.xlsx]病型別患者数!$F$5,[【データ06】脳卒中患者実態調査.xlsx]病型別患者数!$F$7,[【データ06】脳卒中患者実態調査.xlsx]病型別患者数!$F$9,[【データ06】脳卒中患者実態調査.xlsx]病型別患者数!$F$11,[【データ06】脳卒中患者実態調査.xlsx]病型別患者数!$F$13,[【データ06】脳卒中患者実態調査.xlsx]病型別患者数!$F$15,[【データ06】脳卒中患者実態調査.xlsx]病型別患者数!$F$17,[【データ06】脳卒中患者実態調査.xlsx]病型別患者数!$F$19,[【データ06】脳卒中患者実態調査.xlsx]病型別患者数!$F$21,[【データ06】脳卒中患者実態調査.xlsx]病型別患者数!$F$23</c:f>
              <c:numCache>
                <c:formatCode>General</c:formatCode>
                <c:ptCount val="11"/>
                <c:pt idx="0">
                  <c:v>175</c:v>
                </c:pt>
                <c:pt idx="1">
                  <c:v>153</c:v>
                </c:pt>
                <c:pt idx="2">
                  <c:v>122</c:v>
                </c:pt>
                <c:pt idx="3">
                  <c:v>155</c:v>
                </c:pt>
                <c:pt idx="4">
                  <c:v>146</c:v>
                </c:pt>
                <c:pt idx="5">
                  <c:v>127</c:v>
                </c:pt>
                <c:pt idx="6">
                  <c:v>149</c:v>
                </c:pt>
                <c:pt idx="7">
                  <c:v>174</c:v>
                </c:pt>
                <c:pt idx="8">
                  <c:v>130</c:v>
                </c:pt>
                <c:pt idx="9">
                  <c:v>133</c:v>
                </c:pt>
                <c:pt idx="10">
                  <c:v>109</c:v>
                </c:pt>
              </c:numCache>
            </c:numRef>
          </c:val>
        </c:ser>
        <c:ser>
          <c:idx val="5"/>
          <c:order val="5"/>
          <c:tx>
            <c:strRef>
              <c:f>病型別患者数!$G$2</c:f>
              <c:strCache>
                <c:ptCount val="1"/>
                <c:pt idx="0">
                  <c:v>その他</c:v>
                </c:pt>
              </c:strCache>
            </c:strRef>
          </c:tx>
          <c:spPr>
            <a:solidFill>
              <a:schemeClr val="accent6"/>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G$3,[【データ06】脳卒中患者実態調査.xlsx]病型別患者数!$G$5,[【データ06】脳卒中患者実態調査.xlsx]病型別患者数!$G$7,[【データ06】脳卒中患者実態調査.xlsx]病型別患者数!$G$9,[【データ06】脳卒中患者実態調査.xlsx]病型別患者数!$G$11,[【データ06】脳卒中患者実態調査.xlsx]病型別患者数!$G$13,[【データ06】脳卒中患者実態調査.xlsx]病型別患者数!$G$15,[【データ06】脳卒中患者実態調査.xlsx]病型別患者数!$G$17,[【データ06】脳卒中患者実態調査.xlsx]病型別患者数!$G$19,[【データ06】脳卒中患者実態調査.xlsx]病型別患者数!$G$21,[【データ06】脳卒中患者実態調査.xlsx]病型別患者数!$G$23</c:f>
              <c:numCache>
                <c:formatCode>General</c:formatCode>
                <c:ptCount val="11"/>
                <c:pt idx="0">
                  <c:v>248</c:v>
                </c:pt>
                <c:pt idx="1">
                  <c:v>238</c:v>
                </c:pt>
                <c:pt idx="2">
                  <c:v>246</c:v>
                </c:pt>
                <c:pt idx="3">
                  <c:v>316</c:v>
                </c:pt>
                <c:pt idx="4">
                  <c:v>267</c:v>
                </c:pt>
                <c:pt idx="5">
                  <c:v>318</c:v>
                </c:pt>
                <c:pt idx="6">
                  <c:v>327</c:v>
                </c:pt>
                <c:pt idx="7">
                  <c:v>341</c:v>
                </c:pt>
                <c:pt idx="8">
                  <c:v>283</c:v>
                </c:pt>
                <c:pt idx="9">
                  <c:v>397</c:v>
                </c:pt>
                <c:pt idx="10">
                  <c:v>403</c:v>
                </c:pt>
              </c:numCache>
            </c:numRef>
          </c:val>
        </c:ser>
        <c:ser>
          <c:idx val="6"/>
          <c:order val="6"/>
          <c:tx>
            <c:strRef>
              <c:f>病型別患者数!$H$2</c:f>
              <c:strCache>
                <c:ptCount val="1"/>
                <c:pt idx="0">
                  <c:v>不明</c:v>
                </c:pt>
              </c:strCache>
            </c:strRef>
          </c:tx>
          <c:spPr>
            <a:solidFill>
              <a:schemeClr val="accent1">
                <a:lumMod val="60000"/>
              </a:schemeClr>
            </a:solidFill>
            <a:ln>
              <a:noFill/>
            </a:ln>
            <a:effectLst/>
          </c:spPr>
          <c:invertIfNegative val="0"/>
          <c:dPt>
            <c:idx val="0"/>
            <c:invertIfNegative val="0"/>
            <c:bubble3D val="0"/>
            <c:spPr>
              <a:solidFill>
                <a:schemeClr val="accent1">
                  <a:lumMod val="60000"/>
                </a:schemeClr>
              </a:solidFill>
              <a:ln>
                <a:noFill/>
              </a:ln>
              <a:effectLst/>
            </c:spPr>
          </c:dPt>
          <c:dPt>
            <c:idx val="1"/>
            <c:invertIfNegative val="0"/>
            <c:bubble3D val="0"/>
            <c:spPr>
              <a:solidFill>
                <a:schemeClr val="accent1">
                  <a:lumMod val="60000"/>
                </a:schemeClr>
              </a:solidFill>
              <a:ln>
                <a:noFill/>
              </a:ln>
              <a:effectLst/>
            </c:spPr>
          </c:dPt>
          <c:dPt>
            <c:idx val="2"/>
            <c:invertIfNegative val="0"/>
            <c:bubble3D val="0"/>
            <c:spPr>
              <a:solidFill>
                <a:schemeClr val="accent1">
                  <a:lumMod val="60000"/>
                </a:schemeClr>
              </a:solidFill>
              <a:ln>
                <a:noFill/>
              </a:ln>
              <a:effectLst/>
            </c:spPr>
          </c:dPt>
          <c:dPt>
            <c:idx val="3"/>
            <c:invertIfNegative val="0"/>
            <c:bubble3D val="0"/>
            <c:spPr>
              <a:solidFill>
                <a:schemeClr val="accent1">
                  <a:lumMod val="60000"/>
                </a:schemeClr>
              </a:solidFill>
              <a:ln>
                <a:noFill/>
              </a:ln>
              <a:effectLst/>
            </c:spPr>
          </c:dPt>
          <c:dPt>
            <c:idx val="4"/>
            <c:invertIfNegative val="0"/>
            <c:bubble3D val="0"/>
            <c:spPr>
              <a:solidFill>
                <a:schemeClr val="accent1">
                  <a:lumMod val="60000"/>
                </a:schemeClr>
              </a:solidFill>
              <a:ln>
                <a:noFill/>
              </a:ln>
              <a:effectLst/>
            </c:spPr>
          </c:dPt>
          <c:dPt>
            <c:idx val="5"/>
            <c:invertIfNegative val="0"/>
            <c:bubble3D val="0"/>
            <c:spPr>
              <a:solidFill>
                <a:schemeClr val="accent1">
                  <a:lumMod val="60000"/>
                </a:schemeClr>
              </a:solidFill>
              <a:ln>
                <a:noFill/>
              </a:ln>
              <a:effectLst/>
            </c:spPr>
          </c:dPt>
          <c:dPt>
            <c:idx val="8"/>
            <c:invertIfNegative val="0"/>
            <c:bubble3D val="0"/>
            <c:spPr>
              <a:solidFill>
                <a:schemeClr val="accent1">
                  <a:lumMod val="60000"/>
                </a:schemeClr>
              </a:solidFill>
              <a:ln>
                <a:noFill/>
              </a:ln>
              <a:effectLst/>
            </c:spPr>
          </c:dPt>
          <c:dPt>
            <c:idx val="9"/>
            <c:invertIfNegative val="0"/>
            <c:bubble3D val="0"/>
            <c:spPr>
              <a:solidFill>
                <a:schemeClr val="accent1">
                  <a:lumMod val="60000"/>
                </a:schemeClr>
              </a:solidFill>
              <a:ln>
                <a:noFill/>
              </a:ln>
              <a:effectLst/>
            </c:spPr>
          </c:dPt>
          <c:dPt>
            <c:idx val="10"/>
            <c:invertIfNegative val="0"/>
            <c:bubble3D val="0"/>
            <c:spPr>
              <a:solidFill>
                <a:schemeClr val="accent1">
                  <a:lumMod val="60000"/>
                </a:schemeClr>
              </a:solidFill>
              <a:ln>
                <a:noFill/>
              </a:ln>
              <a:effectLst/>
            </c:spPr>
          </c:dPt>
          <c:dLbls>
            <c:dLbl>
              <c:idx val="0"/>
              <c:layout>
                <c:manualLayout>
                  <c:x val="-8.6484061287210893e-004"/>
                  <c:y val="-1.9186173156926813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1"/>
              <c:layout>
                <c:manualLayout>
                  <c:x val="-1.0839670682190367e-003"/>
                  <c:y val="-1.589479886442766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2"/>
              <c:layout>
                <c:manualLayout>
                  <c:x val="-1.3029140588195706e-003"/>
                  <c:y val="-1.29251700680272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3"/>
              <c:layout>
                <c:manualLayout>
                  <c:x val="-1.5220405141664983e-003"/>
                  <c:y val="-8.9685217919188674e-003"/>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4"/>
              <c:layout>
                <c:manualLayout>
                  <c:x val="-8.8637638243937457e-004"/>
                  <c:y val="-1.920367096970021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5"/>
              <c:layout>
                <c:manualLayout>
                  <c:x val="-1.96011396011396e-003"/>
                  <c:y val="-1.6067277304622637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8"/>
              <c:layout>
                <c:manualLayout>
                  <c:x val="-2.6173138614083496e-003"/>
                  <c:y val="-2.1316978234863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9"/>
              <c:layout>
                <c:manualLayout>
                  <c:x val="-1.1268591426071741e-003"/>
                  <c:y val="-1.2047779741817987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10"/>
              <c:layout>
                <c:manualLayout>
                  <c:x val="3.6341611144760752e-004"/>
                  <c:y val="-1.82748584998303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病型別患者数!$A$3,[0]病型別患者数!$A$5,[0]病型別患者数!$A$7,[0]病型別患者数!$A$9,[0]病型別患者数!$A$11,[0]病型別患者数!$A$13,[0]病型別患者数!$A$15,[0]病型別患者数!$A$17,[0]病型別患者数!$A$19,[0]病型別患者数!$A$21,[0]病型別患者数!$A$23</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病型別患者数!$H$3,[【データ06】脳卒中患者実態調査.xlsx]病型別患者数!$H$5,[【データ06】脳卒中患者実態調査.xlsx]病型別患者数!$H$7,[【データ06】脳卒中患者実態調査.xlsx]病型別患者数!$H$9,[【データ06】脳卒中患者実態調査.xlsx]病型別患者数!$H$11,[【データ06】脳卒中患者実態調査.xlsx]病型別患者数!$H$13,[【データ06】脳卒中患者実態調査.xlsx]病型別患者数!$H$15,[【データ06】脳卒中患者実態調査.xlsx]病型別患者数!$H$17,[【データ06】脳卒中患者実態調査.xlsx]病型別患者数!$H$19,[【データ06】脳卒中患者実態調査.xlsx]病型別患者数!$H$21,[【データ06】脳卒中患者実態調査.xlsx]病型別患者数!$H$23</c:f>
              <c:numCache>
                <c:formatCode>General</c:formatCode>
                <c:ptCount val="11"/>
                <c:pt idx="0">
                  <c:v>34</c:v>
                </c:pt>
                <c:pt idx="1">
                  <c:v>21</c:v>
                </c:pt>
                <c:pt idx="2">
                  <c:v>16</c:v>
                </c:pt>
                <c:pt idx="3">
                  <c:v>8</c:v>
                </c:pt>
                <c:pt idx="4">
                  <c:v>7</c:v>
                </c:pt>
                <c:pt idx="5">
                  <c:v>19</c:v>
                </c:pt>
                <c:pt idx="6">
                  <c:v>14</c:v>
                </c:pt>
                <c:pt idx="7">
                  <c:v>7</c:v>
                </c:pt>
                <c:pt idx="8">
                  <c:v>36</c:v>
                </c:pt>
                <c:pt idx="9">
                  <c:v>6</c:v>
                </c:pt>
                <c:pt idx="10">
                  <c:v>15</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1"/>
          <c:showCatName val="0"/>
          <c:showSerName val="0"/>
          <c:showPercent val="0"/>
          <c:showBubbleSize val="0"/>
        </c:dLbls>
        <c:gapWidth val="150"/>
        <c:overlap val="100"/>
        <c:serLines>
          <c:spPr>
            <a:noFill/>
            <a:ln w="9525" cap="flat" cmpd="sng" algn="ctr">
              <a:solidFill>
                <a:schemeClr val="tx1">
                  <a:lumMod val="35000"/>
                  <a:lumOff val="65000"/>
                </a:schemeClr>
              </a:solidFill>
              <a:round/>
            </a:ln>
            <a:effectLst/>
          </c:spPr>
        </c:serLines>
        <c:axId val="1"/>
        <c:axId val="2"/>
      </c:bar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_ "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6.8259385665529011e-003"/>
          <c:y val="0.8938906752411574"/>
          <c:w val="0.98976109215017061"/>
          <c:h val="0.10610932475884244"/>
        </c:manualLayout>
      </c:layout>
      <c:overlay val="0"/>
      <c:spPr>
        <a:noFill/>
        <a:ln>
          <a:noFill/>
        </a:ln>
        <a:effectLst/>
      </c:spPr>
      <c:txPr>
        <a:bodyPr rot="0" spcFirstLastPara="1" vertOverflow="ellipsis" horzOverflow="overflow" wrap="square" anchor="ctr" anchorCtr="1"/>
        <a:lstStyle/>
        <a:p>
          <a:pPr algn="l" rtl="0">
            <a:defRPr kumimoji="0" lang="ja-JP" altLang="en-US" sz="8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5.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145719489981782e-002"/>
          <c:y val="6.363636363636363e-002"/>
          <c:w val="0.89253187613843343"/>
          <c:h val="0.72272727272727266"/>
        </c:manualLayout>
      </c:layout>
      <c:barChart>
        <c:barDir val="col"/>
        <c:grouping val="percentStacked"/>
        <c:varyColors val="0"/>
        <c:ser>
          <c:idx val="0"/>
          <c:order val="0"/>
          <c:tx>
            <c:strRef>
              <c:f>'[0]初発・再発'!$B$27</c:f>
              <c:strCache>
                <c:ptCount val="1"/>
                <c:pt idx="0">
                  <c:v>初発</c:v>
                </c:pt>
              </c:strCache>
            </c:strRef>
          </c:tx>
          <c:spPr>
            <a:solidFill>
              <a:srgbClr val="5B9BD5"/>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'[0]初発・再発'!$A$28:$A$38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'[【データ06】脳卒中患者実態調査.xlsx]初発・再発'!$B$28:$B$38</c:f>
              <c:numCache>
                <c:formatCode>0.0%</c:formatCode>
                <c:ptCount val="11"/>
                <c:pt idx="0">
                  <c:v>0.65644009521290669</c:v>
                </c:pt>
                <c:pt idx="1">
                  <c:v>0.67413249211356463</c:v>
                </c:pt>
                <c:pt idx="2">
                  <c:v>0.6708185053380783</c:v>
                </c:pt>
                <c:pt idx="3">
                  <c:v>0.67333107421213145</c:v>
                </c:pt>
                <c:pt idx="4">
                  <c:v>0.67480537862703471</c:v>
                </c:pt>
                <c:pt idx="5">
                  <c:v>0.68968935888962324</c:v>
                </c:pt>
                <c:pt idx="6">
                  <c:v>0.69304403318442886</c:v>
                </c:pt>
                <c:pt idx="7">
                  <c:v>0.67493112947658407</c:v>
                </c:pt>
                <c:pt idx="8">
                  <c:v>0.69178505250154421</c:v>
                </c:pt>
                <c:pt idx="9">
                  <c:v>0.67864889990703436</c:v>
                </c:pt>
                <c:pt idx="10">
                  <c:v>0.69980314960629919</c:v>
                </c:pt>
              </c:numCache>
            </c:numRef>
          </c:val>
        </c:ser>
        <c:ser>
          <c:idx val="1"/>
          <c:order val="1"/>
          <c:tx>
            <c:strRef>
              <c:f>'[0]初発・再発'!$C$27</c:f>
              <c:strCache>
                <c:ptCount val="1"/>
                <c:pt idx="0">
                  <c:v>再発</c:v>
                </c:pt>
              </c:strCache>
            </c:strRef>
          </c:tx>
          <c:spPr>
            <a:solidFill>
              <a:srgbClr val="ED7D31"/>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'[0]初発・再発'!$A$28:$A$38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'[【データ06】脳卒中患者実態調査.xlsx]初発・再発'!$C$28:$C$38</c:f>
              <c:numCache>
                <c:formatCode>0.0%</c:formatCode>
                <c:ptCount val="11"/>
                <c:pt idx="0">
                  <c:v>0.27717535043639246</c:v>
                </c:pt>
                <c:pt idx="1">
                  <c:v>0.25488958990536281</c:v>
                </c:pt>
                <c:pt idx="2">
                  <c:v>0.26441281138790035</c:v>
                </c:pt>
                <c:pt idx="3">
                  <c:v>0.25042358522534736</c:v>
                </c:pt>
                <c:pt idx="4">
                  <c:v>0.2519462137296532</c:v>
                </c:pt>
                <c:pt idx="5">
                  <c:v>0.2488433575677462</c:v>
                </c:pt>
                <c:pt idx="6">
                  <c:v>0.24186343331206123</c:v>
                </c:pt>
                <c:pt idx="7">
                  <c:v>0.24640342822161004</c:v>
                </c:pt>
                <c:pt idx="8">
                  <c:v>0.24243360098826441</c:v>
                </c:pt>
                <c:pt idx="9">
                  <c:v>0.25224666873256896</c:v>
                </c:pt>
                <c:pt idx="10">
                  <c:v>0.22211286089238849</c:v>
                </c:pt>
              </c:numCache>
            </c:numRef>
          </c:val>
        </c:ser>
        <c:ser>
          <c:idx val="2"/>
          <c:order val="2"/>
          <c:tx>
            <c:strRef>
              <c:f>'[0]初発・再発'!$D$27</c:f>
              <c:strCache>
                <c:ptCount val="1"/>
                <c:pt idx="0">
                  <c:v>３回以上</c:v>
                </c:pt>
              </c:strCache>
            </c:strRef>
          </c:tx>
          <c:spPr>
            <a:solidFill>
              <a:srgbClr val="A5A5A5"/>
            </a:solidFill>
            <a:ln>
              <a:noFill/>
            </a:ln>
            <a:effectLst/>
          </c:spPr>
          <c:invertIfNegative val="0"/>
          <c:dPt>
            <c:idx val="0"/>
            <c:invertIfNegative val="0"/>
            <c:bubble3D val="0"/>
            <c:spPr>
              <a:solidFill>
                <a:srgbClr val="A5A5A5"/>
              </a:solidFill>
              <a:ln>
                <a:noFill/>
              </a:ln>
              <a:effectLst/>
            </c:spPr>
          </c:dPt>
          <c:dPt>
            <c:idx val="1"/>
            <c:invertIfNegative val="0"/>
            <c:bubble3D val="0"/>
            <c:spPr>
              <a:solidFill>
                <a:srgbClr val="A5A5A5"/>
              </a:solidFill>
              <a:ln>
                <a:noFill/>
              </a:ln>
              <a:effectLst/>
            </c:spPr>
          </c:dPt>
          <c:dPt>
            <c:idx val="2"/>
            <c:invertIfNegative val="0"/>
            <c:bubble3D val="0"/>
            <c:spPr>
              <a:solidFill>
                <a:srgbClr val="A5A5A5"/>
              </a:solidFill>
              <a:ln>
                <a:no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dLbl>
            <c:dLbl>
              <c:idx val="1"/>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dLbl>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'[0]初発・再発'!$A$28:$A$38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'[【データ06】脳卒中患者実態調査.xlsx]初発・再発'!$D$28:$D$38</c:f>
              <c:numCache>
                <c:formatCode>0.0%</c:formatCode>
                <c:ptCount val="11"/>
                <c:pt idx="0">
                  <c:v>5.977254694525258e-002</c:v>
                </c:pt>
                <c:pt idx="1">
                  <c:v>6.6876971608832811e-002</c:v>
                </c:pt>
                <c:pt idx="2">
                  <c:v>5.9074733096085408e-002</c:v>
                </c:pt>
                <c:pt idx="3">
                  <c:v>6.8112504235852259e-002</c:v>
                </c:pt>
                <c:pt idx="4">
                  <c:v>6.7940552016985137e-002</c:v>
                </c:pt>
                <c:pt idx="5">
                  <c:v>5.7171183079973563e-002</c:v>
                </c:pt>
                <c:pt idx="6">
                  <c:v>5.9668155711550735e-002</c:v>
                </c:pt>
                <c:pt idx="7">
                  <c:v>7.1013161922252835e-002</c:v>
                </c:pt>
                <c:pt idx="8">
                  <c:v>6.1148857319332922e-002</c:v>
                </c:pt>
                <c:pt idx="9">
                  <c:v>5.7328788348311122e-002</c:v>
                </c:pt>
                <c:pt idx="10">
                  <c:v>6.2992125984251968e-002</c:v>
                </c:pt>
              </c:numCache>
            </c:numRef>
          </c:val>
        </c:ser>
        <c:ser>
          <c:idx val="3"/>
          <c:order val="3"/>
          <c:tx>
            <c:strRef>
              <c:f>'[0]初発・再発'!$E$27</c:f>
              <c:strCache>
                <c:ptCount val="1"/>
                <c:pt idx="0">
                  <c:v>不明</c:v>
                </c:pt>
              </c:strCache>
            </c:strRef>
          </c:tx>
          <c:spPr>
            <a:solidFill>
              <a:srgbClr val="FFC000"/>
            </a:solidFill>
            <a:ln>
              <a:noFill/>
            </a:ln>
            <a:effectLst/>
          </c:spPr>
          <c:invertIfNegative val="0"/>
          <c:dLbls>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0"/>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'[0]初発・再発'!$A$28:$A$38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'[【データ06】脳卒中患者実態調査.xlsx]初発・再発'!$E$28:$E$38</c:f>
              <c:numCache>
                <c:formatCode>0.0%</c:formatCode>
                <c:ptCount val="11"/>
                <c:pt idx="0">
                  <c:v>6.6120074054482943e-003</c:v>
                </c:pt>
                <c:pt idx="1">
                  <c:v>4.100946372239748e-003</c:v>
                </c:pt>
                <c:pt idx="2">
                  <c:v>5.6939501779359435e-003</c:v>
                </c:pt>
                <c:pt idx="3">
                  <c:v>8.1328363266689255e-003</c:v>
                </c:pt>
                <c:pt idx="4">
                  <c:v>5.3078556263269636e-003</c:v>
                </c:pt>
                <c:pt idx="5">
                  <c:v>4.2961004626569732e-003</c:v>
                </c:pt>
                <c:pt idx="6">
                  <c:v>5.4243777919591573e-003</c:v>
                </c:pt>
                <c:pt idx="7">
                  <c:v>8.2644628099173556e-003</c:v>
                </c:pt>
                <c:pt idx="8">
                  <c:v>4.6324891908585547e-003</c:v>
                </c:pt>
                <c:pt idx="9">
                  <c:v>1.1775643012085528e-002</c:v>
                </c:pt>
                <c:pt idx="10">
                  <c:v>1.5091863517060367e-002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1"/>
          <c:showCatName val="0"/>
          <c:showSerName val="0"/>
          <c:showPercent val="0"/>
          <c:showBubbleSize val="0"/>
        </c:dLbls>
        <c:gapWidth val="150"/>
        <c:overlap val="100"/>
        <c:serLines>
          <c:spPr>
            <a:noFill/>
            <a:ln w="9525" cap="flat" cmpd="sng" algn="ctr">
              <a:solidFill>
                <a:schemeClr val="tx1">
                  <a:lumMod val="35000"/>
                  <a:lumOff val="65000"/>
                </a:schemeClr>
              </a:solidFill>
              <a:round/>
            </a:ln>
            <a:effectLst/>
          </c:spPr>
        </c:serLines>
        <c:axId val="1"/>
        <c:axId val="2"/>
      </c:barChart>
      <c:catAx>
        <c:axId val="1"/>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32058287795992718"/>
          <c:y val="0.90295358649789026"/>
          <c:w val="0.3570127504553734"/>
          <c:h val="8.4388185654008435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6.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7888747777495558e-002"/>
          <c:y val="2.8753993610223641e-002"/>
          <c:w val="0.88727254254508514"/>
          <c:h val="0.79872204472843455"/>
        </c:manualLayout>
      </c:layout>
      <c:lineChart>
        <c:grouping val="standard"/>
        <c:varyColors val="0"/>
        <c:ser>
          <c:idx val="1"/>
          <c:order val="0"/>
          <c:tx>
            <c:strRef>
              <c:f>'[0]年齢調整死亡率（脳血管疾患）'!$C$7:$C$8</c:f>
              <c:strCache>
                <c:ptCount val="1"/>
                <c:pt idx="0">
                  <c:v>男性 （高知県）</c:v>
                </c:pt>
              </c:strCache>
            </c:strRef>
          </c:tx>
          <c:spPr>
            <a:solidFill>
              <a:srgbClr val="00B0F0"/>
            </a:solidFill>
            <a:ln w="28575" cap="rnd">
              <a:solidFill>
                <a:srgbClr val="00B0F0"/>
              </a:solidFill>
              <a:prstDash val="solid"/>
              <a:round/>
            </a:ln>
            <a:effectLst/>
          </c:spPr>
          <c:marker>
            <c:symbol val="triangle"/>
            <c:size val="7"/>
            <c:spPr>
              <a:solidFill>
                <a:srgbClr val="00B0F0"/>
              </a:solidFill>
              <a:ln w="9525">
                <a:solidFill>
                  <a:srgbClr val="00B0F0"/>
                </a:solidFill>
                <a:prstDash val="solid"/>
              </a:ln>
              <a:effectLst/>
            </c:spPr>
          </c:marker>
          <c:dPt>
            <c:idx val="3"/>
            <c:invertIfNegative val="0"/>
            <c:marker>
              <c:symbol val="triangle"/>
              <c:size val="7"/>
              <c:spPr>
                <a:solidFill>
                  <a:srgbClr val="00B0F0"/>
                </a:solidFill>
                <a:ln w="9525">
                  <a:solidFill>
                    <a:srgbClr val="00B0F0"/>
                  </a:solidFill>
                  <a:prstDash val="solid"/>
                </a:ln>
                <a:effectLst/>
              </c:spPr>
            </c:marker>
            <c:bubble3D val="0"/>
            <c:spPr>
              <a:solidFill>
                <a:srgbClr val="00B0F0"/>
              </a:solidFill>
              <a:ln w="28575" cap="rnd">
                <a:solidFill>
                  <a:srgbClr val="00B0F0"/>
                </a:solidFill>
                <a:prstDash val="solid"/>
                <a:round/>
              </a:ln>
              <a:effectLst/>
            </c:spPr>
          </c:dPt>
          <c:dLbls>
            <c:dLbl>
              <c:idx val="3"/>
              <c:layout>
                <c:manualLayout>
                  <c:x val="-3.1482223177495626e-002"/>
                  <c:y val="-6.636152495326573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'[0]年齢調整死亡率（脳血管疾患）'!$B$9:$B$18</c:f>
              <c:strCache>
                <c:ptCount val="10"/>
                <c:pt idx="0">
                  <c:v>H24</c:v>
                </c:pt>
                <c:pt idx="1">
                  <c:v>H25</c:v>
                </c:pt>
                <c:pt idx="2">
                  <c:v>H26</c:v>
                </c:pt>
                <c:pt idx="3">
                  <c:v>H27</c:v>
                </c:pt>
                <c:pt idx="4">
                  <c:v>H28</c:v>
                </c:pt>
                <c:pt idx="5">
                  <c:v>H29</c:v>
                </c:pt>
                <c:pt idx="6">
                  <c:v>H30</c:v>
                </c:pt>
                <c:pt idx="7">
                  <c:v>R1</c:v>
                </c:pt>
                <c:pt idx="8">
                  <c:v>R2</c:v>
                </c:pt>
                <c:pt idx="9">
                  <c:v>R3</c:v>
                </c:pt>
              </c:strCache>
            </c:strRef>
          </c:cat>
          <c:val>
            <c:numRef>
              <c:f>'[【データ02】死亡.xlsx]年齢調整死亡率（脳血管疾患）'!$C$9:$C$18</c:f>
              <c:numCache>
                <c:formatCode>General</c:formatCode>
                <c:ptCount val="10"/>
                <c:pt idx="0">
                  <c:v>153.52000000000001</c:v>
                </c:pt>
                <c:pt idx="1">
                  <c:v>144.15</c:v>
                </c:pt>
                <c:pt idx="2">
                  <c:v>142.12</c:v>
                </c:pt>
                <c:pt idx="3">
                  <c:v>115.81</c:v>
                </c:pt>
                <c:pt idx="4">
                  <c:v>124.67</c:v>
                </c:pt>
                <c:pt idx="5">
                  <c:v>130.13</c:v>
                </c:pt>
                <c:pt idx="6">
                  <c:v>107.68</c:v>
                </c:pt>
                <c:pt idx="7">
                  <c:v>104.89</c:v>
                </c:pt>
                <c:pt idx="8">
                  <c:v>100.42</c:v>
                </c:pt>
                <c:pt idx="9">
                  <c:v>105.59</c:v>
                </c:pt>
              </c:numCache>
            </c:numRef>
          </c:val>
          <c:smooth val="0"/>
        </c:ser>
        <c:ser>
          <c:idx val="0"/>
          <c:order val="1"/>
          <c:tx>
            <c:strRef>
              <c:f>'[0]年齢調整死亡率（脳血管疾患）'!$D$7:$D$8</c:f>
              <c:strCache>
                <c:ptCount val="1"/>
                <c:pt idx="0">
                  <c:v>男性 （全国）</c:v>
                </c:pt>
              </c:strCache>
            </c:strRef>
          </c:tx>
          <c:spPr>
            <a:solidFill>
              <a:srgbClr val="0070C0"/>
            </a:solidFill>
            <a:ln w="28575" cap="rnd">
              <a:solidFill>
                <a:srgbClr val="0070C0"/>
              </a:solidFill>
              <a:prstDash val="sysDash"/>
              <a:round/>
            </a:ln>
            <a:effectLst/>
          </c:spPr>
          <c:marker>
            <c:symbol val="diamond"/>
            <c:size val="7"/>
            <c:spPr>
              <a:solidFill>
                <a:srgbClr val="0070C0"/>
              </a:solidFill>
              <a:ln w="9525">
                <a:solidFill>
                  <a:srgbClr val="0070C0"/>
                </a:solidFill>
                <a:prstDash val="sysDash"/>
              </a:ln>
              <a:effectLst/>
            </c:spPr>
          </c:marker>
          <c:dPt>
            <c:idx val="1"/>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2"/>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3"/>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4"/>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5"/>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6"/>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7"/>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8"/>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Pt>
            <c:idx val="9"/>
            <c:invertIfNegative val="0"/>
            <c:marker>
              <c:symbol val="diamond"/>
              <c:size val="7"/>
              <c:spPr>
                <a:solidFill>
                  <a:srgbClr val="0070C0"/>
                </a:solidFill>
                <a:ln w="9525">
                  <a:solidFill>
                    <a:srgbClr val="0070C0"/>
                  </a:solidFill>
                  <a:prstDash val="sysDash"/>
                </a:ln>
                <a:effectLst/>
              </c:spPr>
            </c:marker>
            <c:bubble3D val="0"/>
            <c:spPr>
              <a:solidFill>
                <a:srgbClr val="0070C0"/>
              </a:solidFill>
              <a:ln w="28575" cap="rnd">
                <a:solidFill>
                  <a:srgbClr val="0070C0"/>
                </a:solidFill>
                <a:prstDash val="sysDash"/>
                <a:round/>
              </a:ln>
              <a:effectLst/>
            </c:spPr>
          </c:dPt>
          <c:dLbls>
            <c:dLbl>
              <c:idx val="1"/>
              <c:layout>
                <c:manualLayout>
                  <c:x val="-5.6635614848662051e-002"/>
                  <c:y val="4.8431039143362893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2"/>
              <c:layout/>
              <c:numFmt formatCode="0.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b"/>
              <c:showLegendKey val="0"/>
              <c:showVal val="1"/>
              <c:showCatName val="0"/>
              <c:showSerName val="0"/>
              <c:showPercent val="0"/>
              <c:showBubbleSize val="0"/>
            </c:dLbl>
            <c:dLbl>
              <c:idx val="3"/>
              <c:layout>
                <c:manualLayout>
                  <c:x val="-5.2121440878478739e-002"/>
                  <c:y val="4.3810494911157689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4"/>
              <c:layout>
                <c:manualLayout>
                  <c:x val="-5.5111038581317232e-002"/>
                  <c:y val="5.0788535154035981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5"/>
              <c:layout>
                <c:manualLayout>
                  <c:x val="-5.4027080811789717e-002"/>
                  <c:y val="3.584028740593472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6"/>
              <c:layout>
                <c:manualLayout>
                  <c:x val="-5.8124470192521274e-002"/>
                  <c:y val="3.9787933485058553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7"/>
              <c:layout>
                <c:manualLayout>
                  <c:x val="-5.0945289869854353e-002"/>
                  <c:y val="4.623329060611609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8"/>
              <c:layout>
                <c:manualLayout>
                  <c:x val="-5.4179030729967041e-002"/>
                  <c:y val="3.7744700517086525e-002"/>
                </c:manualLayout>
              </c:layout>
              <c:numFmt formatCode="0.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9"/>
              <c:layout>
                <c:manualLayout>
                  <c:x val="-5.2231605764305369e-002"/>
                  <c:y val="4.7451626686199108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'[0]年齢調整死亡率（脳血管疾患）'!$B$9:$B$18</c:f>
              <c:strCache>
                <c:ptCount val="10"/>
                <c:pt idx="0">
                  <c:v>H24</c:v>
                </c:pt>
                <c:pt idx="1">
                  <c:v>H25</c:v>
                </c:pt>
                <c:pt idx="2">
                  <c:v>H26</c:v>
                </c:pt>
                <c:pt idx="3">
                  <c:v>H27</c:v>
                </c:pt>
                <c:pt idx="4">
                  <c:v>H28</c:v>
                </c:pt>
                <c:pt idx="5">
                  <c:v>H29</c:v>
                </c:pt>
                <c:pt idx="6">
                  <c:v>H30</c:v>
                </c:pt>
                <c:pt idx="7">
                  <c:v>R1</c:v>
                </c:pt>
                <c:pt idx="8">
                  <c:v>R2</c:v>
                </c:pt>
                <c:pt idx="9">
                  <c:v>R3</c:v>
                </c:pt>
              </c:strCache>
            </c:strRef>
          </c:cat>
          <c:val>
            <c:numRef>
              <c:f>'[【データ02】死亡.xlsx]年齢調整死亡率（脳血管疾患）'!$D$9:$D$18</c:f>
              <c:numCache>
                <c:formatCode>General</c:formatCode>
                <c:ptCount val="10"/>
                <c:pt idx="0">
                  <c:v>139.57</c:v>
                </c:pt>
                <c:pt idx="1">
                  <c:v>130.38999999999999</c:v>
                </c:pt>
                <c:pt idx="2">
                  <c:v>121.7</c:v>
                </c:pt>
                <c:pt idx="3">
                  <c:v>116.08</c:v>
                </c:pt>
                <c:pt idx="4">
                  <c:v>110.23</c:v>
                </c:pt>
                <c:pt idx="5">
                  <c:v>107.93</c:v>
                </c:pt>
                <c:pt idx="6">
                  <c:v>103.09</c:v>
                </c:pt>
                <c:pt idx="7">
                  <c:v>99.21</c:v>
                </c:pt>
                <c:pt idx="8">
                  <c:v>93.8</c:v>
                </c:pt>
                <c:pt idx="9">
                  <c:v>93.74</c:v>
                </c:pt>
              </c:numCache>
            </c:numRef>
          </c:val>
          <c:smooth val="0"/>
        </c:ser>
        <c:ser>
          <c:idx val="3"/>
          <c:order val="2"/>
          <c:tx>
            <c:strRef>
              <c:f>'[0]年齢調整死亡率（脳血管疾患）'!$E$7:$E$8</c:f>
              <c:strCache>
                <c:ptCount val="1"/>
                <c:pt idx="0">
                  <c:v>女性 （高知県）</c:v>
                </c:pt>
              </c:strCache>
            </c:strRef>
          </c:tx>
          <c:spPr>
            <a:solidFill>
              <a:srgbClr val="FF5780"/>
            </a:solidFill>
            <a:ln w="28575" cap="rnd">
              <a:solidFill>
                <a:srgbClr val="FF5780"/>
              </a:solidFill>
              <a:prstDash val="solid"/>
              <a:round/>
            </a:ln>
            <a:effectLst/>
          </c:spPr>
          <c:marker>
            <c:symbol val="square"/>
            <c:size val="7"/>
            <c:spPr>
              <a:solidFill>
                <a:srgbClr val="FF5780"/>
              </a:solidFill>
              <a:ln w="9525">
                <a:solidFill>
                  <a:srgbClr val="FF5780"/>
                </a:solidFill>
                <a:prstDash val="solid"/>
              </a:ln>
              <a:effectLst/>
            </c:spPr>
          </c:marker>
          <c:dPt>
            <c:idx val="3"/>
            <c:invertIfNegative val="0"/>
            <c:marker>
              <c:symbol val="square"/>
              <c:size val="7"/>
              <c:spPr>
                <a:solidFill>
                  <a:srgbClr val="FF5780"/>
                </a:solidFill>
                <a:ln w="9525">
                  <a:solidFill>
                    <a:srgbClr val="FF5780"/>
                  </a:solidFill>
                  <a:prstDash val="solid"/>
                </a:ln>
                <a:effectLst/>
              </c:spPr>
            </c:marker>
            <c:bubble3D val="0"/>
            <c:spPr>
              <a:solidFill>
                <a:srgbClr val="FF5780"/>
              </a:solidFill>
              <a:ln w="28575" cap="rnd">
                <a:solidFill>
                  <a:srgbClr val="FF5780"/>
                </a:solidFill>
                <a:prstDash val="solid"/>
                <a:round/>
              </a:ln>
              <a:effectLst/>
            </c:spPr>
          </c:dPt>
          <c:dPt>
            <c:idx val="4"/>
            <c:invertIfNegative val="0"/>
            <c:marker>
              <c:symbol val="square"/>
              <c:size val="7"/>
              <c:spPr>
                <a:solidFill>
                  <a:srgbClr val="FF5780"/>
                </a:solidFill>
                <a:ln w="9525">
                  <a:solidFill>
                    <a:srgbClr val="FF5780"/>
                  </a:solidFill>
                  <a:prstDash val="solid"/>
                </a:ln>
                <a:effectLst/>
              </c:spPr>
            </c:marker>
            <c:bubble3D val="0"/>
            <c:spPr>
              <a:solidFill>
                <a:srgbClr val="FF5780"/>
              </a:solidFill>
              <a:ln w="28575" cap="rnd">
                <a:solidFill>
                  <a:srgbClr val="FF5780"/>
                </a:solidFill>
                <a:prstDash val="solid"/>
                <a:round/>
              </a:ln>
              <a:effectLst/>
            </c:spPr>
          </c:dPt>
          <c:dPt>
            <c:idx val="5"/>
            <c:invertIfNegative val="0"/>
            <c:marker>
              <c:symbol val="square"/>
              <c:size val="7"/>
              <c:spPr>
                <a:solidFill>
                  <a:srgbClr val="FF5780"/>
                </a:solidFill>
                <a:ln w="9525">
                  <a:solidFill>
                    <a:srgbClr val="FF5780"/>
                  </a:solidFill>
                  <a:prstDash val="solid"/>
                </a:ln>
                <a:effectLst/>
              </c:spPr>
            </c:marker>
            <c:bubble3D val="0"/>
            <c:spPr>
              <a:solidFill>
                <a:srgbClr val="FF5780"/>
              </a:solidFill>
              <a:ln w="28575" cap="rnd">
                <a:solidFill>
                  <a:srgbClr val="FF5780"/>
                </a:solidFill>
                <a:prstDash val="solid"/>
                <a:round/>
              </a:ln>
              <a:effectLst/>
            </c:spPr>
          </c:dPt>
          <c:dPt>
            <c:idx val="7"/>
            <c:invertIfNegative val="0"/>
            <c:marker>
              <c:symbol val="square"/>
              <c:size val="7"/>
              <c:spPr>
                <a:solidFill>
                  <a:srgbClr val="FF5780"/>
                </a:solidFill>
                <a:ln w="9525">
                  <a:solidFill>
                    <a:srgbClr val="FF5780"/>
                  </a:solidFill>
                  <a:prstDash val="solid"/>
                </a:ln>
                <a:effectLst/>
              </c:spPr>
            </c:marker>
            <c:bubble3D val="0"/>
            <c:spPr>
              <a:solidFill>
                <a:srgbClr val="FF5780"/>
              </a:solidFill>
              <a:ln w="28575" cap="rnd">
                <a:solidFill>
                  <a:srgbClr val="FF5780"/>
                </a:solidFill>
                <a:prstDash val="solid"/>
                <a:round/>
              </a:ln>
              <a:effectLst/>
            </c:spPr>
          </c:dPt>
          <c:dPt>
            <c:idx val="8"/>
            <c:invertIfNegative val="0"/>
            <c:marker>
              <c:symbol val="square"/>
              <c:size val="7"/>
              <c:spPr>
                <a:solidFill>
                  <a:srgbClr val="FF5780"/>
                </a:solidFill>
                <a:ln w="9525">
                  <a:solidFill>
                    <a:srgbClr val="FF5780"/>
                  </a:solidFill>
                  <a:prstDash val="solid"/>
                </a:ln>
                <a:effectLst/>
              </c:spPr>
            </c:marker>
            <c:bubble3D val="0"/>
            <c:spPr>
              <a:solidFill>
                <a:srgbClr val="FF5780"/>
              </a:solidFill>
              <a:ln w="28575" cap="rnd">
                <a:solidFill>
                  <a:srgbClr val="FF5780"/>
                </a:solidFill>
                <a:prstDash val="solid"/>
                <a:round/>
              </a:ln>
              <a:effectLst/>
            </c:spPr>
          </c:dPt>
          <c:dLbls>
            <c:dLbl>
              <c:idx val="3"/>
              <c:layout>
                <c:manualLayout>
                  <c:x val="-1.9405377257270272e-002"/>
                  <c:y val="4.699560037009762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t"/>
              <c:showLegendKey val="0"/>
              <c:showVal val="1"/>
              <c:showCatName val="0"/>
              <c:showSerName val="0"/>
              <c:showPercent val="0"/>
              <c:showBubbleSize val="0"/>
            </c:dLbl>
            <c:dLbl>
              <c:idx val="5"/>
              <c:layout/>
              <c:numFmt formatCode="0.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t"/>
              <c:showLegendKey val="0"/>
              <c:showVal val="1"/>
              <c:showCatName val="0"/>
              <c:showSerName val="0"/>
              <c:showPercent val="0"/>
              <c:showBubbleSize val="0"/>
            </c:dLbl>
            <c:dLbl>
              <c:idx val="7"/>
              <c:layout>
                <c:manualLayout>
                  <c:x val="-4.4900294198976426e-002"/>
                  <c:y val="-4.9287327456161004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8"/>
              <c:layout>
                <c:manualLayout>
                  <c:x val="-3.3386665548297806e-002"/>
                  <c:y val="7.5460891129615987e-002"/>
                </c:manualLayout>
              </c:layout>
              <c:numFmt formatCode="0.00_ " sourceLinked="0"/>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'[0]年齢調整死亡率（脳血管疾患）'!$B$9:$B$18</c:f>
              <c:strCache>
                <c:ptCount val="10"/>
                <c:pt idx="0">
                  <c:v>H24</c:v>
                </c:pt>
                <c:pt idx="1">
                  <c:v>H25</c:v>
                </c:pt>
                <c:pt idx="2">
                  <c:v>H26</c:v>
                </c:pt>
                <c:pt idx="3">
                  <c:v>H27</c:v>
                </c:pt>
                <c:pt idx="4">
                  <c:v>H28</c:v>
                </c:pt>
                <c:pt idx="5">
                  <c:v>H29</c:v>
                </c:pt>
                <c:pt idx="6">
                  <c:v>H30</c:v>
                </c:pt>
                <c:pt idx="7">
                  <c:v>R1</c:v>
                </c:pt>
                <c:pt idx="8">
                  <c:v>R2</c:v>
                </c:pt>
                <c:pt idx="9">
                  <c:v>R3</c:v>
                </c:pt>
              </c:strCache>
            </c:strRef>
          </c:cat>
          <c:val>
            <c:numRef>
              <c:f>'[【データ02】死亡.xlsx]年齢調整死亡率（脳血管疾患）'!$E$9:$E$18</c:f>
              <c:numCache>
                <c:formatCode>General</c:formatCode>
                <c:ptCount val="10"/>
                <c:pt idx="0">
                  <c:v>93.64</c:v>
                </c:pt>
                <c:pt idx="1">
                  <c:v>92.92</c:v>
                </c:pt>
                <c:pt idx="2">
                  <c:v>77.75</c:v>
                </c:pt>
                <c:pt idx="3">
                  <c:v>69.98</c:v>
                </c:pt>
                <c:pt idx="4">
                  <c:v>69.709999999999994</c:v>
                </c:pt>
                <c:pt idx="5">
                  <c:v>68.900000000000006</c:v>
                </c:pt>
                <c:pt idx="6">
                  <c:v>65.290000000000006</c:v>
                </c:pt>
                <c:pt idx="7">
                  <c:v>64.510000000000005</c:v>
                </c:pt>
                <c:pt idx="8">
                  <c:v>53.2</c:v>
                </c:pt>
                <c:pt idx="9">
                  <c:v>55.26</c:v>
                </c:pt>
              </c:numCache>
            </c:numRef>
          </c:val>
          <c:smooth val="0"/>
        </c:ser>
        <c:ser>
          <c:idx val="2"/>
          <c:order val="3"/>
          <c:tx>
            <c:strRef>
              <c:f>'[0]年齢調整死亡率（脳血管疾患）'!$F$7:$F$8</c:f>
              <c:strCache>
                <c:ptCount val="1"/>
                <c:pt idx="0">
                  <c:v>女性 （全国）</c:v>
                </c:pt>
              </c:strCache>
            </c:strRef>
          </c:tx>
          <c:spPr>
            <a:solidFill>
              <a:srgbClr val="FFA6A6"/>
            </a:solidFill>
            <a:ln w="28575" cap="rnd">
              <a:solidFill>
                <a:srgbClr val="FFA6A6"/>
              </a:solidFill>
              <a:prstDash val="sysDash"/>
              <a:round/>
            </a:ln>
            <a:effectLst/>
          </c:spPr>
          <c:marker>
            <c:symbol val="circle"/>
            <c:size val="7"/>
            <c:spPr>
              <a:solidFill>
                <a:srgbClr val="FFA6A6"/>
              </a:solidFill>
              <a:ln w="9525">
                <a:solidFill>
                  <a:srgbClr val="FFA6A6"/>
                </a:solidFill>
                <a:prstDash val="sysDash"/>
              </a:ln>
              <a:effectLst/>
            </c:spPr>
          </c:marker>
          <c:dPt>
            <c:idx val="3"/>
            <c:invertIfNegative val="0"/>
            <c:marker>
              <c:symbol val="circle"/>
              <c:size val="7"/>
              <c:spPr>
                <a:solidFill>
                  <a:srgbClr val="FFA6A6"/>
                </a:solidFill>
                <a:ln w="9525">
                  <a:solidFill>
                    <a:srgbClr val="FFA6A6"/>
                  </a:solidFill>
                  <a:prstDash val="sysDash"/>
                </a:ln>
                <a:effectLst/>
              </c:spPr>
            </c:marker>
            <c:bubble3D val="0"/>
            <c:spPr>
              <a:solidFill>
                <a:srgbClr val="FFA6A6"/>
              </a:solidFill>
              <a:ln w="28575" cap="rnd">
                <a:solidFill>
                  <a:srgbClr val="FFA6A6"/>
                </a:solidFill>
                <a:prstDash val="sysDash"/>
                <a:round/>
              </a:ln>
              <a:effectLst/>
            </c:spPr>
          </c:dPt>
          <c:dPt>
            <c:idx val="4"/>
            <c:invertIfNegative val="0"/>
            <c:marker>
              <c:symbol val="circle"/>
              <c:size val="7"/>
              <c:spPr>
                <a:solidFill>
                  <a:srgbClr val="FFA6A6"/>
                </a:solidFill>
                <a:ln w="9525">
                  <a:solidFill>
                    <a:srgbClr val="FFA6A6"/>
                  </a:solidFill>
                  <a:prstDash val="sysDash"/>
                </a:ln>
                <a:effectLst/>
              </c:spPr>
            </c:marker>
            <c:bubble3D val="0"/>
            <c:spPr>
              <a:solidFill>
                <a:srgbClr val="FFA6A6"/>
              </a:solidFill>
              <a:ln w="28575" cap="rnd">
                <a:solidFill>
                  <a:srgbClr val="FFA6A6"/>
                </a:solidFill>
                <a:prstDash val="sysDash"/>
                <a:round/>
              </a:ln>
              <a:effectLst/>
            </c:spPr>
          </c:dPt>
          <c:dPt>
            <c:idx val="8"/>
            <c:invertIfNegative val="0"/>
            <c:marker>
              <c:symbol val="circle"/>
              <c:size val="7"/>
              <c:spPr>
                <a:solidFill>
                  <a:srgbClr val="FFA6A6"/>
                </a:solidFill>
                <a:ln w="9525">
                  <a:solidFill>
                    <a:srgbClr val="FFA6A6"/>
                  </a:solidFill>
                  <a:prstDash val="sysDash"/>
                </a:ln>
                <a:effectLst/>
              </c:spPr>
            </c:marker>
            <c:bubble3D val="0"/>
            <c:spPr>
              <a:solidFill>
                <a:srgbClr val="FFA6A6"/>
              </a:solidFill>
              <a:ln w="28575" cap="rnd">
                <a:solidFill>
                  <a:srgbClr val="FFA6A6"/>
                </a:solidFill>
                <a:prstDash val="sysDash"/>
                <a:round/>
              </a:ln>
              <a:effectLst/>
            </c:spPr>
          </c:dPt>
          <c:dLbls>
            <c:dLbl>
              <c:idx val="3"/>
              <c:layout>
                <c:manualLayout>
                  <c:x val="-2.8060573653326624e-002"/>
                  <c:y val="-4.7310561000018882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b"/>
              <c:showLegendKey val="0"/>
              <c:showVal val="1"/>
              <c:showCatName val="0"/>
              <c:showSerName val="0"/>
              <c:showPercent val="0"/>
              <c:showBubbleSize val="0"/>
            </c:dLbl>
            <c:dLbl>
              <c:idx val="8"/>
              <c:layout>
                <c:manualLayout>
                  <c:x val="-3.4317290649549637e-002"/>
                  <c:y val="-4.7705897227962785e-002"/>
                </c:manualLayout>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'[0]年齢調整死亡率（脳血管疾患）'!$B$9:$B$18</c:f>
              <c:strCache>
                <c:ptCount val="10"/>
                <c:pt idx="0">
                  <c:v>H24</c:v>
                </c:pt>
                <c:pt idx="1">
                  <c:v>H25</c:v>
                </c:pt>
                <c:pt idx="2">
                  <c:v>H26</c:v>
                </c:pt>
                <c:pt idx="3">
                  <c:v>H27</c:v>
                </c:pt>
                <c:pt idx="4">
                  <c:v>H28</c:v>
                </c:pt>
                <c:pt idx="5">
                  <c:v>H29</c:v>
                </c:pt>
                <c:pt idx="6">
                  <c:v>H30</c:v>
                </c:pt>
                <c:pt idx="7">
                  <c:v>R1</c:v>
                </c:pt>
                <c:pt idx="8">
                  <c:v>R2</c:v>
                </c:pt>
                <c:pt idx="9">
                  <c:v>R3</c:v>
                </c:pt>
              </c:strCache>
            </c:strRef>
          </c:cat>
          <c:val>
            <c:numRef>
              <c:f>'[【データ02】死亡.xlsx]年齢調整死亡率（脳血管疾患）'!$F$9:$F$18</c:f>
              <c:numCache>
                <c:formatCode>General</c:formatCode>
                <c:ptCount val="10"/>
                <c:pt idx="0">
                  <c:v>85.97</c:v>
                </c:pt>
                <c:pt idx="1">
                  <c:v>81.239999999999995</c:v>
                </c:pt>
                <c:pt idx="2">
                  <c:v>75.61</c:v>
                </c:pt>
                <c:pt idx="3">
                  <c:v>72.61</c:v>
                </c:pt>
                <c:pt idx="4">
                  <c:v>68.05</c:v>
                </c:pt>
                <c:pt idx="5">
                  <c:v>65.92</c:v>
                </c:pt>
                <c:pt idx="6">
                  <c:v>63.07</c:v>
                </c:pt>
                <c:pt idx="7">
                  <c:v>60.24</c:v>
                </c:pt>
                <c:pt idx="8">
                  <c:v>56.44</c:v>
                </c:pt>
                <c:pt idx="9">
                  <c:v>55.11</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1"/>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_ "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7.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horzOverflow="overflow" wrap="square" anchor="t" anchorCtr="1"/>
          <a:lstStyle/>
          <a:p>
            <a:pPr algn="ctr" rtl="0">
              <a:defRPr kumimoji="0" lang="ja-JP" altLang="en-US" sz="1100" b="0" i="0" u="none" strike="noStrike" kern="1200" spc="0" baseline="0">
                <a:solidFill>
                  <a:schemeClr val="tx1">
                    <a:lumMod val="65000"/>
                    <a:lumOff val="35000"/>
                  </a:schemeClr>
                </a:solidFill>
                <a:latin typeface="ＭＳ ゴシック"/>
                <a:ea typeface="ＭＳ ゴシック"/>
                <a:cs typeface="+mn-cs"/>
              </a:defRPr>
            </a:pPr>
            <a:r>
              <a:rPr kumimoji="0" lang="ja-JP" altLang="en-US" sz="1100" b="0" i="0" u="none" strike="noStrike" kern="1200" spc="0" baseline="0">
                <a:solidFill>
                  <a:schemeClr val="tx1"/>
                </a:solidFill>
                <a:latin typeface="ＭＳ ゴシック"/>
                <a:ea typeface="ＭＳ ゴシック"/>
                <a:cs typeface="+mn-cs"/>
              </a:rPr>
              <a:t>（外来</a:t>
            </a:r>
            <a:r>
              <a:rPr kumimoji="0" lang="ja-JP" altLang="en-US" sz="1100" b="0" i="0" u="none" strike="noStrike" kern="1200" spc="0" baseline="0">
                <a:solidFill>
                  <a:schemeClr val="tx1"/>
                </a:solidFill>
                <a:latin typeface="ＭＳ ゴシック"/>
                <a:ea typeface="ＭＳ ゴシック"/>
                <a:cs typeface="+mn-cs"/>
              </a:rPr>
              <a:t>）</a:t>
            </a:r>
            <a:endParaRPr kumimoji="0" lang="ja-JP" altLang="en-US" sz="1100" b="0" i="0" u="none" strike="noStrike" kern="1200" spc="0" baseline="0">
              <a:solidFill>
                <a:schemeClr val="tx1">
                  <a:lumMod val="65000"/>
                  <a:lumOff val="35000"/>
                </a:schemeClr>
              </a:solidFill>
              <a:latin typeface="ＭＳ ゴシック"/>
              <a:ea typeface="ＭＳ ゴシック"/>
              <a:cs typeface="+mn-cs"/>
            </a:endParaRPr>
          </a:p>
        </c:rich>
      </c:tx>
      <c:layout>
        <c:manualLayout>
          <c:xMode val="edge"/>
          <c:yMode val="edge"/>
          <c:x val="0.3622641509433962"/>
          <c:y val="1.7777528165612681e-002"/>
        </c:manualLayout>
      </c:layout>
      <c:overlay val="0"/>
      <c:spPr>
        <a:noFill/>
        <a:ln>
          <a:noFill/>
        </a:ln>
        <a:effectLst/>
      </c:spPr>
    </c:title>
    <c:autoTitleDeleted val="0"/>
    <c:plotArea>
      <c:layout>
        <c:manualLayout>
          <c:layoutTarget val="inner"/>
          <c:xMode val="edge"/>
          <c:yMode val="edge"/>
          <c:x val="0.11320754716981132"/>
          <c:y val="0.12888888888888889"/>
          <c:w val="0.83396226415094332"/>
          <c:h val="0.62222222222222223"/>
        </c:manualLayout>
      </c:layout>
      <c:lineChart>
        <c:grouping val="standard"/>
        <c:varyColors val="0"/>
        <c:ser>
          <c:idx val="0"/>
          <c:order val="0"/>
          <c:tx>
            <c:strRef>
              <c:f>=グラフ!$F$3</c:f>
              <c:strCache>
                <c:ptCount val="1"/>
                <c:pt idx="0">
                  <c:v>全国</c:v>
                </c:pt>
              </c:strCache>
            </c:strRef>
          </c:tx>
          <c:spPr>
            <a:noFill/>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=グラフ!$E$5:$E$8</c:f>
              <c:strCache>
                <c:ptCount val="4"/>
                <c:pt idx="0">
                  <c:v>H23</c:v>
                </c:pt>
                <c:pt idx="1">
                  <c:v>H26</c:v>
                </c:pt>
                <c:pt idx="2">
                  <c:v>H29</c:v>
                </c:pt>
                <c:pt idx="3">
                  <c:v>R2</c:v>
                </c:pt>
              </c:strCache>
            </c:strRef>
          </c:cat>
          <c:val>
            <c:numRef>
              <c:f>=グラフ!$F$5:$F$8</c:f>
              <c:numCache>
                <c:formatCode>General</c:formatCode>
                <c:ptCount val="4"/>
                <c:pt idx="0">
                  <c:v>89</c:v>
                </c:pt>
                <c:pt idx="1">
                  <c:v>74</c:v>
                </c:pt>
                <c:pt idx="2">
                  <c:v>68</c:v>
                </c:pt>
                <c:pt idx="3">
                  <c:v>59</c:v>
                </c:pt>
              </c:numCache>
            </c:numRef>
          </c:val>
          <c:smooth val="0"/>
        </c:ser>
        <c:ser>
          <c:idx val="1"/>
          <c:order val="1"/>
          <c:tx>
            <c:strRef>
              <c:f>=グラフ!$G$3</c:f>
              <c:strCache>
                <c:ptCount val="1"/>
                <c:pt idx="0">
                  <c:v>高知県</c:v>
                </c:pt>
              </c:strCache>
            </c:strRef>
          </c:tx>
          <c:spPr>
            <a:noFill/>
            <a:ln w="28575" cap="rnd">
              <a:solidFill>
                <a:schemeClr val="accent2"/>
              </a:solidFill>
              <a:round/>
            </a:ln>
            <a:effectLst/>
          </c:spPr>
          <c:marker>
            <c:symbol val="diamond"/>
            <c:size val="5"/>
            <c:spPr>
              <a:solidFill>
                <a:schemeClr val="accent2"/>
              </a:solidFill>
              <a:ln w="9525">
                <a:solidFill>
                  <a:schemeClr val="accent2"/>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=グラフ!$E$5:$E$8</c:f>
              <c:strCache>
                <c:ptCount val="4"/>
                <c:pt idx="0">
                  <c:v>H23</c:v>
                </c:pt>
                <c:pt idx="1">
                  <c:v>H26</c:v>
                </c:pt>
                <c:pt idx="2">
                  <c:v>H29</c:v>
                </c:pt>
                <c:pt idx="3">
                  <c:v>R2</c:v>
                </c:pt>
              </c:strCache>
            </c:strRef>
          </c:cat>
          <c:val>
            <c:numRef>
              <c:f>=グラフ!$G$5:$G$8</c:f>
              <c:numCache>
                <c:formatCode>General</c:formatCode>
                <c:ptCount val="4"/>
                <c:pt idx="0">
                  <c:v>228</c:v>
                </c:pt>
                <c:pt idx="1">
                  <c:v>72</c:v>
                </c:pt>
                <c:pt idx="2">
                  <c:v>181</c:v>
                </c:pt>
                <c:pt idx="3">
                  <c:v>130</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21886792452830189"/>
          <c:y val="0.90222222222222226"/>
          <c:w val="0.55849056603773584"/>
          <c:h val="8.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8.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overflow" horzOverflow="overflow" wrap="square" anchor="t" anchorCtr="1"/>
          <a:lstStyle/>
          <a:p>
            <a:pPr algn="ctr" rtl="0">
              <a:defRPr kumimoji="0" lang="ja-JP" altLang="en-US" sz="1100" b="0" i="0" u="none" strike="noStrike" kern="1200" spc="0" baseline="0">
                <a:solidFill>
                  <a:sysClr val="windowText" lastClr="000000"/>
                </a:solidFill>
                <a:latin typeface="ＭＳ ゴシック"/>
                <a:ea typeface="ＭＳ ゴシック"/>
                <a:cs typeface="+mn-cs"/>
              </a:defRPr>
            </a:pPr>
            <a:r>
              <a:rPr kumimoji="0" lang="ja-JP" altLang="en-US" sz="1100" b="0" i="0" u="none" strike="noStrike" kern="1200" spc="0" baseline="0">
                <a:solidFill>
                  <a:sysClr val="windowText" lastClr="000000"/>
                </a:solidFill>
                <a:latin typeface="ＭＳ ゴシック"/>
                <a:ea typeface="ＭＳ ゴシック"/>
                <a:cs typeface="+mn-cs"/>
              </a:rPr>
              <a:t>（入院）</a:t>
            </a:r>
            <a:endParaRPr kumimoji="0" lang="ja-JP" altLang="en-US" sz="1100" b="0" i="0" u="none" strike="noStrike" kern="1200" spc="0" baseline="0">
              <a:solidFill>
                <a:sysClr val="windowText" lastClr="000000"/>
              </a:solidFill>
              <a:latin typeface="ＭＳ ゴシック"/>
              <a:ea typeface="ＭＳ ゴシック"/>
              <a:cs typeface="+mn-cs"/>
            </a:endParaRPr>
          </a:p>
        </c:rich>
      </c:tx>
      <c:layout>
        <c:manualLayout>
          <c:xMode val="edge"/>
          <c:yMode val="edge"/>
          <c:x val="0.388704553853151"/>
          <c:y val="9.6625745989244137e-003"/>
        </c:manualLayout>
      </c:layout>
      <c:overlay val="0"/>
      <c:spPr>
        <a:noFill/>
        <a:ln>
          <a:noFill/>
        </a:ln>
        <a:effectLst/>
      </c:spPr>
    </c:title>
    <c:autoTitleDeleted val="0"/>
    <c:plotArea>
      <c:layout>
        <c:manualLayout>
          <c:layoutTarget val="inner"/>
          <c:xMode val="edge"/>
          <c:yMode val="edge"/>
          <c:x val="0.12542372881355932"/>
          <c:y val="0.12"/>
          <c:w val="0.82372881355932193"/>
          <c:h val="0.63111111111111107"/>
        </c:manualLayout>
      </c:layout>
      <c:lineChart>
        <c:grouping val="standard"/>
        <c:varyColors val="0"/>
        <c:ser>
          <c:idx val="0"/>
          <c:order val="0"/>
          <c:tx>
            <c:strRef>
              <c:f>=グラフ!$B$3</c:f>
              <c:strCache>
                <c:ptCount val="1"/>
                <c:pt idx="0">
                  <c:v>全国</c:v>
                </c:pt>
              </c:strCache>
            </c:strRef>
          </c:tx>
          <c:spPr>
            <a:noFill/>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lumMod val="75000"/>
                        <a:lumOff val="25000"/>
                      </a:schemeClr>
                    </a:solidFill>
                    <a:latin typeface="ＭＳ ゴシック"/>
                    <a:ea typeface="ＭＳ ゴシック"/>
                    <a:cs typeface="+mn-cs"/>
                  </a:defRPr>
                </a:pPr>
                <a:endParaRPr lang="ja-JP" altLang="en-US"/>
              </a:p>
            </c:txPr>
            <c:dLblPos val="b"/>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=グラフ!$A$5:$A$8</c:f>
              <c:strCache>
                <c:ptCount val="4"/>
                <c:pt idx="0">
                  <c:v>H23</c:v>
                </c:pt>
                <c:pt idx="1">
                  <c:v>H26</c:v>
                </c:pt>
                <c:pt idx="2">
                  <c:v>H29</c:v>
                </c:pt>
                <c:pt idx="3">
                  <c:v>R2</c:v>
                </c:pt>
              </c:strCache>
            </c:strRef>
          </c:cat>
          <c:val>
            <c:numRef>
              <c:f>=グラフ!$B$5:$B$8</c:f>
              <c:numCache>
                <c:formatCode>General</c:formatCode>
                <c:ptCount val="4"/>
                <c:pt idx="0">
                  <c:v>137</c:v>
                </c:pt>
                <c:pt idx="1">
                  <c:v>125</c:v>
                </c:pt>
                <c:pt idx="2">
                  <c:v>115</c:v>
                </c:pt>
                <c:pt idx="3">
                  <c:v>98</c:v>
                </c:pt>
              </c:numCache>
            </c:numRef>
          </c:val>
          <c:smooth val="0"/>
        </c:ser>
        <c:ser>
          <c:idx val="1"/>
          <c:order val="1"/>
          <c:tx>
            <c:strRef>
              <c:f>=グラフ!$C$3</c:f>
              <c:strCache>
                <c:ptCount val="1"/>
                <c:pt idx="0">
                  <c:v>高知県</c:v>
                </c:pt>
              </c:strCache>
            </c:strRef>
          </c:tx>
          <c:spPr>
            <a:noFill/>
            <a:ln w="28575" cap="rnd">
              <a:solidFill>
                <a:schemeClr val="accent2"/>
              </a:solidFill>
              <a:round/>
            </a:ln>
            <a:effectLst/>
          </c:spPr>
          <c:marker>
            <c:symbol val="diamond"/>
            <c:size val="5"/>
            <c:spPr>
              <a:solidFill>
                <a:schemeClr val="accent2"/>
              </a:solidFill>
              <a:ln w="9525">
                <a:solidFill>
                  <a:schemeClr val="accent2"/>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chemeClr val="tx1">
                        <a:lumMod val="75000"/>
                        <a:lumOff val="2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=グラフ!$A$5:$A$8</c:f>
              <c:strCache>
                <c:ptCount val="4"/>
                <c:pt idx="0">
                  <c:v>H23</c:v>
                </c:pt>
                <c:pt idx="1">
                  <c:v>H26</c:v>
                </c:pt>
                <c:pt idx="2">
                  <c:v>H29</c:v>
                </c:pt>
                <c:pt idx="3">
                  <c:v>R2</c:v>
                </c:pt>
              </c:strCache>
            </c:strRef>
          </c:cat>
          <c:val>
            <c:numRef>
              <c:f>=グラフ!$C$5:$C$8</c:f>
              <c:numCache>
                <c:formatCode>General</c:formatCode>
                <c:ptCount val="4"/>
                <c:pt idx="0">
                  <c:v>379</c:v>
                </c:pt>
                <c:pt idx="1">
                  <c:v>261</c:v>
                </c:pt>
                <c:pt idx="2">
                  <c:v>282</c:v>
                </c:pt>
                <c:pt idx="3">
                  <c:v>214</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23920265780730893"/>
          <c:y val="0.91690821256038635"/>
          <c:w val="0.4916943521594685"/>
          <c:h val="8.6956521739130432e-002"/>
        </c:manualLayout>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19.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334494773519168e-002"/>
          <c:y val="5.7251908396946563e-002"/>
          <c:w val="0.87282229965156799"/>
          <c:h val="0.70992366412213737"/>
        </c:manualLayout>
      </c:layout>
      <c:barChart>
        <c:barDir val="col"/>
        <c:grouping val="percentStacked"/>
        <c:varyColors val="0"/>
        <c:ser>
          <c:idx val="0"/>
          <c:order val="0"/>
          <c:tx>
            <c:strRef>
              <c:f>搬送方法!$B$27</c:f>
              <c:strCache>
                <c:ptCount val="1"/>
                <c:pt idx="0">
                  <c:v>救急車</c:v>
                </c:pt>
              </c:strCache>
            </c:strRef>
          </c:tx>
          <c:spPr>
            <a:solidFill>
              <a:srgbClr val="5B9BD5"/>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搬送方法!$A$28:$A$38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[【データ06】脳卒中患者実態調査.xlsx]搬送方法!$B$28:$B$38</c:f>
              <c:numCache>
                <c:formatCode>0.0%</c:formatCode>
                <c:ptCount val="11"/>
                <c:pt idx="0">
                  <c:v>0.48875958741073777</c:v>
                </c:pt>
                <c:pt idx="1">
                  <c:v>0.45993690851735008</c:v>
                </c:pt>
                <c:pt idx="2">
                  <c:v>0.48398576512455521</c:v>
                </c:pt>
                <c:pt idx="3">
                  <c:v>0.49000338868180282</c:v>
                </c:pt>
                <c:pt idx="4">
                  <c:v>0.47487615003538569</c:v>
                </c:pt>
                <c:pt idx="5">
                  <c:v>0.4920687376074025</c:v>
                </c:pt>
                <c:pt idx="6">
                  <c:v>0.51467772814294832</c:v>
                </c:pt>
                <c:pt idx="7">
                  <c:v>0.52433425160697889</c:v>
                </c:pt>
                <c:pt idx="8">
                  <c:v>0.50308832612723908</c:v>
                </c:pt>
                <c:pt idx="9">
                  <c:v>0.50604276417725447</c:v>
                </c:pt>
                <c:pt idx="10">
                  <c:v>0.52329396325459321</c:v>
                </c:pt>
              </c:numCache>
            </c:numRef>
          </c:val>
        </c:ser>
        <c:ser>
          <c:idx val="1"/>
          <c:order val="1"/>
          <c:tx>
            <c:strRef>
              <c:f>搬送方法!$C$27</c:f>
              <c:strCache>
                <c:ptCount val="1"/>
                <c:pt idx="0">
                  <c:v>ヘリ搬送</c:v>
                </c:pt>
              </c:strCache>
            </c:strRef>
          </c:tx>
          <c:spPr>
            <a:solidFill>
              <a:srgbClr val="ED7D31"/>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搬送方法!$A$28:$A$38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[【データ06】脳卒中患者実態調査.xlsx]搬送方法!$C$28:$C$38</c:f>
              <c:numCache>
                <c:formatCode>0.0%</c:formatCode>
                <c:ptCount val="11"/>
                <c:pt idx="0">
                  <c:v>2.089394340121661e-002</c:v>
                </c:pt>
                <c:pt idx="1">
                  <c:v>3.0283911671924291e-002</c:v>
                </c:pt>
                <c:pt idx="2">
                  <c:v>2.7402135231316727e-002</c:v>
                </c:pt>
                <c:pt idx="3">
                  <c:v>4.9474754320569296e-002</c:v>
                </c:pt>
                <c:pt idx="4">
                  <c:v>5.0955414012738856e-002</c:v>
                </c:pt>
                <c:pt idx="5">
                  <c:v>4.3952412425644412e-002</c:v>
                </c:pt>
                <c:pt idx="6">
                  <c:v>3.9885130823229101e-002</c:v>
                </c:pt>
                <c:pt idx="7">
                  <c:v>2.8160391796755432e-002</c:v>
                </c:pt>
                <c:pt idx="8">
                  <c:v>3.2118591723285982e-002</c:v>
                </c:pt>
                <c:pt idx="9">
                  <c:v>3.5636814378679889e-002</c:v>
                </c:pt>
                <c:pt idx="10">
                  <c:v>3.5104986876640418e-002</c:v>
                </c:pt>
              </c:numCache>
            </c:numRef>
          </c:val>
        </c:ser>
        <c:ser>
          <c:idx val="2"/>
          <c:order val="2"/>
          <c:tx>
            <c:strRef>
              <c:f>搬送方法!$D$27</c:f>
              <c:strCache>
                <c:ptCount val="1"/>
                <c:pt idx="0">
                  <c:v>救急車・ヘリ搬送以外</c:v>
                </c:pt>
              </c:strCache>
            </c:strRef>
          </c:tx>
          <c:spPr>
            <a:solidFill>
              <a:srgbClr val="A5A5A5"/>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搬送方法!$A$28:$A$38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[【データ06】脳卒中患者実態調査.xlsx]搬送方法!$D$28:$D$38</c:f>
              <c:numCache>
                <c:formatCode>0.0%</c:formatCode>
                <c:ptCount val="11"/>
                <c:pt idx="0">
                  <c:v>0.46231155778894473</c:v>
                </c:pt>
                <c:pt idx="1">
                  <c:v>0.47444794952681391</c:v>
                </c:pt>
                <c:pt idx="2">
                  <c:v>0.44626334519572952</c:v>
                </c:pt>
                <c:pt idx="3">
                  <c:v>0.42189088444595046</c:v>
                </c:pt>
                <c:pt idx="4">
                  <c:v>0.43205944798301488</c:v>
                </c:pt>
                <c:pt idx="5">
                  <c:v>0.42630535360211502</c:v>
                </c:pt>
                <c:pt idx="6">
                  <c:v>0.40906190172303758</c:v>
                </c:pt>
                <c:pt idx="7">
                  <c:v>0.41536577900214267</c:v>
                </c:pt>
                <c:pt idx="8">
                  <c:v>0.43421865348980848</c:v>
                </c:pt>
                <c:pt idx="9">
                  <c:v>0.41400681747753326</c:v>
                </c:pt>
                <c:pt idx="10">
                  <c:v>0.39927821522309698</c:v>
                </c:pt>
              </c:numCache>
            </c:numRef>
          </c:val>
        </c:ser>
        <c:ser>
          <c:idx val="3"/>
          <c:order val="3"/>
          <c:tx>
            <c:strRef>
              <c:f>搬送方法!$E$27</c:f>
              <c:strCache>
                <c:ptCount val="1"/>
                <c:pt idx="0">
                  <c:v>院内発症</c:v>
                </c:pt>
              </c:strCache>
            </c:strRef>
          </c:tx>
          <c:spPr>
            <a:solidFill>
              <a:srgbClr val="FFC000"/>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dLblPos val="ctr"/>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搬送方法!$A$28:$A$38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[【データ06】脳卒中患者実態調査.xlsx]搬送方法!$E$28:$E$38</c:f>
              <c:numCache>
                <c:formatCode>0.0%</c:formatCode>
                <c:ptCount val="11"/>
                <c:pt idx="0">
                  <c:v>2.3009785770960064e-002</c:v>
                </c:pt>
                <c:pt idx="1">
                  <c:v>3.1545741324921134e-002</c:v>
                </c:pt>
                <c:pt idx="2">
                  <c:v>3.8078291814946617e-002</c:v>
                </c:pt>
                <c:pt idx="3">
                  <c:v>3.4564554388342932e-002</c:v>
                </c:pt>
                <c:pt idx="4">
                  <c:v>3.9985845718329797e-002</c:v>
                </c:pt>
                <c:pt idx="5">
                  <c:v>3.6351619299405155e-002</c:v>
                </c:pt>
                <c:pt idx="6">
                  <c:v>3.4460753031269942e-002</c:v>
                </c:pt>
                <c:pt idx="7">
                  <c:v>3.1221303948576674e-002</c:v>
                </c:pt>
                <c:pt idx="8">
                  <c:v>2.964793082149475e-002</c:v>
                </c:pt>
                <c:pt idx="9">
                  <c:v>4.1524635884722653e-002</c:v>
                </c:pt>
                <c:pt idx="10">
                  <c:v>3.937007874015748e-002</c:v>
                </c:pt>
              </c:numCache>
            </c:numRef>
          </c:val>
        </c:ser>
        <c:ser>
          <c:idx val="4"/>
          <c:order val="4"/>
          <c:tx>
            <c:strRef>
              <c:f>搬送方法!$F$27</c:f>
              <c:strCache>
                <c:ptCount val="1"/>
                <c:pt idx="0">
                  <c:v>不明</c:v>
                </c:pt>
              </c:strCache>
            </c:strRef>
          </c:tx>
          <c:spPr>
            <a:solidFill>
              <a:schemeClr val="accent5"/>
            </a:solidFill>
            <a:ln>
              <a:noFill/>
            </a:ln>
            <a:effectLst/>
          </c:spPr>
          <c:invertIfNegative val="0"/>
          <c:dLbls>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a:p>
            </c:txPr>
            <c:showLegendKey val="0"/>
            <c:showVal val="0"/>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搬送方法!$A$28:$A$38</c:f>
              <c:strCache>
                <c:ptCount val="11"/>
                <c:pt idx="0">
                  <c:v>H24</c:v>
                </c:pt>
                <c:pt idx="1">
                  <c:v>H25</c:v>
                </c:pt>
                <c:pt idx="2">
                  <c:v>H26</c:v>
                </c:pt>
                <c:pt idx="3">
                  <c:v>H27</c:v>
                </c:pt>
                <c:pt idx="4">
                  <c:v>H28</c:v>
                </c:pt>
                <c:pt idx="5">
                  <c:v>H29</c:v>
                </c:pt>
                <c:pt idx="6">
                  <c:v>H30</c:v>
                </c:pt>
                <c:pt idx="7">
                  <c:v>R1</c:v>
                </c:pt>
                <c:pt idx="8">
                  <c:v>R2</c:v>
                </c:pt>
                <c:pt idx="9">
                  <c:v>R3</c:v>
                </c:pt>
                <c:pt idx="10">
                  <c:v>R4</c:v>
                </c:pt>
              </c:strCache>
            </c:strRef>
          </c:cat>
          <c:val>
            <c:numRef>
              <c:f>[【データ06】脳卒中患者実態調査.xlsx]搬送方法!$F$28:$F$38</c:f>
              <c:numCache>
                <c:formatCode>0.0%</c:formatCode>
                <c:ptCount val="11"/>
                <c:pt idx="0">
                  <c:v>5.0251256281407036e-003</c:v>
                </c:pt>
                <c:pt idx="1">
                  <c:v>3.7854889589905363e-003</c:v>
                </c:pt>
                <c:pt idx="2">
                  <c:v>4.2704626334519576e-003</c:v>
                </c:pt>
                <c:pt idx="3">
                  <c:v>4.0664181633344627e-003</c:v>
                </c:pt>
                <c:pt idx="4">
                  <c:v>2.1231422505307855e-003</c:v>
                </c:pt>
                <c:pt idx="5">
                  <c:v>1.3218770654329147e-003</c:v>
                </c:pt>
                <c:pt idx="6">
                  <c:v>1.9144862795149968e-003</c:v>
                </c:pt>
                <c:pt idx="7">
                  <c:v>9.1827364554637281e-004</c:v>
                </c:pt>
                <c:pt idx="8">
                  <c:v>9.2649783817171094e-004</c:v>
                </c:pt>
                <c:pt idx="9">
                  <c:v>2.7889680818097306e-003</c:v>
                </c:pt>
                <c:pt idx="10">
                  <c:v>2.952755905511811e-003</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1"/>
          <c:showCatName val="0"/>
          <c:showSerName val="0"/>
          <c:showPercent val="0"/>
          <c:showBubbleSize val="0"/>
        </c:dLbls>
        <c:gapWidth val="150"/>
        <c:overlap val="100"/>
        <c:serLines>
          <c:spPr>
            <a:noFill/>
            <a:ln w="9525" cap="flat" cmpd="sng" algn="ctr">
              <a:solidFill>
                <a:schemeClr val="tx1">
                  <a:lumMod val="35000"/>
                  <a:lumOff val="65000"/>
                </a:schemeClr>
              </a:solidFill>
              <a:round/>
            </a:ln>
            <a:effectLst/>
          </c:spPr>
        </c:serLines>
        <c:axId val="1"/>
        <c:axId val="2"/>
      </c:barChart>
      <c:catAx>
        <c:axId val="1"/>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10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1"/>
        <c:crosses val="autoZero"/>
        <c:crossBetween val="between"/>
        <c:majorUnit val="0.2"/>
      </c:valAx>
      <c:spPr>
        <a:noFill/>
        <a:ln>
          <a:noFill/>
        </a:ln>
        <a:effectLst/>
      </c:spPr>
    </c:plotArea>
    <c:legend>
      <c:legendPos val="b"/>
      <c:layout/>
      <c:overlay val="0"/>
      <c:spPr>
        <a:noFill/>
        <a:ln>
          <a:noFill/>
        </a:ln>
        <a:effectLst/>
      </c:spPr>
      <c:txPr>
        <a:bodyPr rot="0" spcFirstLastPara="1" vertOverflow="ellipsis" horzOverflow="overflow" wrap="square" anchor="ctr" anchorCtr="1"/>
        <a:lstStyle/>
        <a:p>
          <a:pPr algn="l"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20.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71830985915492"/>
          <c:y val="0.16477272727272729"/>
          <c:w val="0.82746478873239426"/>
          <c:h val="0.57386363636363635"/>
        </c:manualLayout>
      </c:layout>
      <c:lineChart>
        <c:grouping val="standard"/>
        <c:varyColors val="0"/>
        <c:ser>
          <c:idx val="0"/>
          <c:order val="0"/>
          <c:tx>
            <c:strRef>
              <c:f>時間まとめ!$A$3</c:f>
              <c:strCache>
                <c:ptCount val="1"/>
                <c:pt idx="0">
                  <c:v>全国</c:v>
                </c:pt>
              </c:strCache>
            </c:strRef>
          </c:tx>
          <c:spPr>
            <a:noFill/>
            <a:ln w="28575" cap="rnd">
              <a:solidFill>
                <a:schemeClr val="accent1"/>
              </a:solidFill>
              <a:round/>
            </a:ln>
            <a:effectLst/>
          </c:spPr>
          <c:marker>
            <c:symbol val="circle"/>
            <c:size val="5"/>
            <c:spPr>
              <a:solidFill>
                <a:schemeClr val="accent1"/>
              </a:solidFill>
              <a:ln w="9525">
                <a:solidFill>
                  <a:schemeClr val="accent1"/>
                </a:solidFill>
              </a:ln>
              <a:effectLst/>
            </c:spPr>
          </c:marker>
          <c:cat>
            <c:strRef>
              <c:f>時間まとめ!$B$2:$F$2</c:f>
              <c:strCache>
                <c:ptCount val="5"/>
                <c:pt idx="0">
                  <c:v>H29</c:v>
                </c:pt>
                <c:pt idx="1">
                  <c:v>H30</c:v>
                </c:pt>
                <c:pt idx="2">
                  <c:v>R1</c:v>
                </c:pt>
                <c:pt idx="3">
                  <c:v>R2</c:v>
                </c:pt>
                <c:pt idx="4">
                  <c:v>R3</c:v>
                </c:pt>
              </c:strCache>
            </c:strRef>
          </c:cat>
          <c:val>
            <c:numRef>
              <c:f>[【データ08】搬送関連.xlsx]時間まとめ!$B$3:$F$3</c:f>
              <c:numCache>
                <c:formatCode>General</c:formatCode>
                <c:ptCount val="5"/>
                <c:pt idx="0">
                  <c:v>8.6</c:v>
                </c:pt>
                <c:pt idx="1">
                  <c:v>8.6999999999999993</c:v>
                </c:pt>
                <c:pt idx="2">
                  <c:v>8.6999999999999993</c:v>
                </c:pt>
                <c:pt idx="3">
                  <c:v>8.9</c:v>
                </c:pt>
                <c:pt idx="4">
                  <c:v>9.4</c:v>
                </c:pt>
              </c:numCache>
            </c:numRef>
          </c:val>
          <c:smooth val="0"/>
        </c:ser>
        <c:ser>
          <c:idx val="1"/>
          <c:order val="1"/>
          <c:tx>
            <c:strRef>
              <c:f>時間まとめ!$A$4</c:f>
              <c:strCache>
                <c:ptCount val="1"/>
                <c:pt idx="0">
                  <c:v>高知県</c:v>
                </c:pt>
              </c:strCache>
            </c:strRef>
          </c:tx>
          <c:spPr>
            <a:noFill/>
            <a:ln w="28575" cap="rnd">
              <a:solidFill>
                <a:schemeClr val="accent2"/>
              </a:solidFill>
              <a:round/>
            </a:ln>
            <a:effectLst/>
          </c:spPr>
          <c:marker>
            <c:symbol val="diamond"/>
            <c:size val="5"/>
            <c:spPr>
              <a:solidFill>
                <a:schemeClr val="accent2"/>
              </a:solidFill>
              <a:ln w="9525">
                <a:solidFill>
                  <a:schemeClr val="accent2"/>
                </a:solidFill>
              </a:ln>
              <a:effectLst/>
            </c:spPr>
          </c:marker>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時間まとめ!$B$2:$F$2</c:f>
              <c:strCache>
                <c:ptCount val="5"/>
                <c:pt idx="0">
                  <c:v>H29</c:v>
                </c:pt>
                <c:pt idx="1">
                  <c:v>H30</c:v>
                </c:pt>
                <c:pt idx="2">
                  <c:v>R1</c:v>
                </c:pt>
                <c:pt idx="3">
                  <c:v>R2</c:v>
                </c:pt>
                <c:pt idx="4">
                  <c:v>R3</c:v>
                </c:pt>
              </c:strCache>
            </c:strRef>
          </c:cat>
          <c:val>
            <c:numRef>
              <c:f>[【データ08】搬送関連.xlsx]時間まとめ!$B$4:$F$4</c:f>
              <c:numCache>
                <c:formatCode>General</c:formatCode>
                <c:ptCount val="5"/>
                <c:pt idx="0">
                  <c:v>8.9</c:v>
                </c:pt>
                <c:pt idx="1">
                  <c:v>9.1</c:v>
                </c:pt>
                <c:pt idx="2">
                  <c:v>9.1</c:v>
                </c:pt>
                <c:pt idx="3">
                  <c:v>9.4</c:v>
                </c:pt>
                <c:pt idx="4">
                  <c:v>9.5</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min val="8.4"/>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chemeClr val="tx1">
                    <a:lumMod val="65000"/>
                    <a:lumOff val="35000"/>
                  </a:schemeClr>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25352112676056338"/>
          <c:y val="0.88636363636363635"/>
          <c:w val="0.4859154929577465"/>
          <c:h val="9.6590909090909088e-002"/>
        </c:manualLayout>
      </c:layout>
      <c:overlay val="0"/>
      <c:spPr>
        <a:noFill/>
        <a:ln>
          <a:noFill/>
        </a:ln>
        <a:effectLst/>
      </c:spPr>
      <c:txPr>
        <a:bodyPr rot="0" spcFirstLastPara="1" vertOverflow="ellipsis" horzOverflow="overflow" wrap="square" anchor="ctr" anchorCtr="1"/>
        <a:lstStyle/>
        <a:p>
          <a:pPr algn="l" rtl="0">
            <a:defRPr kumimoji="0" lang="ja-JP" altLang="en-US" sz="800" kern="1200">
              <a:solidFill>
                <a:schemeClr val="tx1">
                  <a:lumMod val="65000"/>
                  <a:lumOff val="35000"/>
                </a:schemeClr>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21.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6156583629894"/>
          <c:y val="0.1588235294117647"/>
          <c:w val="0.81138790035587183"/>
          <c:h val="0.57647058823529407"/>
        </c:manualLayout>
      </c:layout>
      <c:lineChart>
        <c:grouping val="standard"/>
        <c:varyColors val="0"/>
        <c:ser>
          <c:idx val="0"/>
          <c:order val="0"/>
          <c:tx>
            <c:strRef>
              <c:f>=時間まとめ!$A$9</c:f>
              <c:strCache>
                <c:ptCount val="1"/>
                <c:pt idx="0">
                  <c:v>全国</c:v>
                </c:pt>
              </c:strCache>
            </c:strRef>
          </c:tx>
          <c:spPr>
            <a:noFill/>
            <a:ln w="28575" cap="rnd">
              <a:solidFill>
                <a:schemeClr val="accent1"/>
              </a:solidFill>
              <a:round/>
            </a:ln>
            <a:effectLst/>
          </c:spPr>
          <c:marker>
            <c:symbol val="circle"/>
            <c:size val="5"/>
            <c:spPr>
              <a:solidFill>
                <a:schemeClr val="accent1"/>
              </a:solidFill>
              <a:ln w="9525">
                <a:solidFill>
                  <a:schemeClr val="accent1"/>
                </a:solidFill>
              </a:ln>
              <a:effectLst/>
            </c:spPr>
          </c:marker>
          <c:cat>
            <c:strRef>
              <c:f>=時間まとめ!$B$8:$F$8</c:f>
              <c:strCache>
                <c:ptCount val="5"/>
                <c:pt idx="0">
                  <c:v>H29</c:v>
                </c:pt>
                <c:pt idx="1">
                  <c:v>H30</c:v>
                </c:pt>
                <c:pt idx="2">
                  <c:v>R1</c:v>
                </c:pt>
                <c:pt idx="3">
                  <c:v>R2</c:v>
                </c:pt>
                <c:pt idx="4">
                  <c:v>R3</c:v>
                </c:pt>
              </c:strCache>
            </c:strRef>
          </c:cat>
          <c:val>
            <c:numRef>
              <c:f>=時間まとめ!$B$9:$F$9</c:f>
              <c:numCache>
                <c:formatCode>General</c:formatCode>
                <c:ptCount val="5"/>
                <c:pt idx="0">
                  <c:v>39.299999999999997</c:v>
                </c:pt>
                <c:pt idx="1">
                  <c:v>39.5</c:v>
                </c:pt>
                <c:pt idx="2">
                  <c:v>39.5</c:v>
                </c:pt>
                <c:pt idx="3">
                  <c:v>40.6</c:v>
                </c:pt>
                <c:pt idx="4">
                  <c:v>42.8</c:v>
                </c:pt>
              </c:numCache>
            </c:numRef>
          </c:val>
          <c:smooth val="0"/>
        </c:ser>
        <c:ser>
          <c:idx val="1"/>
          <c:order val="1"/>
          <c:tx>
            <c:strRef>
              <c:f>=時間まとめ!$A$10</c:f>
              <c:strCache>
                <c:ptCount val="1"/>
                <c:pt idx="0">
                  <c:v>高知県</c:v>
                </c:pt>
              </c:strCache>
            </c:strRef>
          </c:tx>
          <c:spPr>
            <a:noFill/>
            <a:ln w="28575" cap="rnd">
              <a:solidFill>
                <a:schemeClr val="accent2"/>
              </a:solidFill>
              <a:round/>
            </a:ln>
            <a:effectLst/>
          </c:spPr>
          <c:marker>
            <c:symbol val="diamond"/>
            <c:size val="5"/>
            <c:spPr>
              <a:solidFill>
                <a:schemeClr val="accent2"/>
              </a:solidFill>
              <a:ln w="9525">
                <a:solidFill>
                  <a:schemeClr val="accent2"/>
                </a:solidFill>
              </a:ln>
              <a:effectLst/>
            </c:spPr>
          </c:marker>
          <c:dPt>
            <c:idx val="4"/>
            <c:invertIfNegative val="0"/>
            <c:marker>
              <c:symbol val="diamond"/>
              <c:size val="5"/>
              <c:spPr>
                <a:solidFill>
                  <a:schemeClr val="accent2"/>
                </a:solidFill>
                <a:ln w="9525">
                  <a:solidFill>
                    <a:schemeClr val="accent2"/>
                  </a:solidFill>
                </a:ln>
                <a:effectLst/>
              </c:spPr>
            </c:marker>
            <c:bubble3D val="0"/>
            <c:spPr>
              <a:noFill/>
              <a:ln w="28575" cap="rnd">
                <a:solidFill>
                  <a:schemeClr val="accent2"/>
                </a:solidFill>
                <a:round/>
              </a:ln>
              <a:effectLst/>
            </c:spPr>
          </c:dPt>
          <c:dLbls>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chemeClr val="tx1">
                        <a:lumMod val="75000"/>
                        <a:lumOff val="25000"/>
                      </a:schemeClr>
                    </a:solidFill>
                    <a:latin typeface="ＭＳ ゴシック"/>
                    <a:ea typeface="ＭＳ ゴシック"/>
                    <a:cs typeface="+mn-cs"/>
                  </a:defRPr>
                </a:pPr>
                <a:endParaRPr lang="ja-JP" altLang="en-US"/>
              </a:p>
            </c:txPr>
            <c:dLblPos val="t"/>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=時間まとめ!$B$8:$F$8</c:f>
              <c:strCache>
                <c:ptCount val="5"/>
                <c:pt idx="0">
                  <c:v>H29</c:v>
                </c:pt>
                <c:pt idx="1">
                  <c:v>H30</c:v>
                </c:pt>
                <c:pt idx="2">
                  <c:v>R1</c:v>
                </c:pt>
                <c:pt idx="3">
                  <c:v>R2</c:v>
                </c:pt>
                <c:pt idx="4">
                  <c:v>R3</c:v>
                </c:pt>
              </c:strCache>
            </c:strRef>
          </c:cat>
          <c:val>
            <c:numRef>
              <c:f>=時間まとめ!$B$10:$F$10</c:f>
              <c:numCache>
                <c:formatCode>General</c:formatCode>
                <c:ptCount val="5"/>
                <c:pt idx="0">
                  <c:v>40.200000000000003</c:v>
                </c:pt>
                <c:pt idx="1">
                  <c:v>41.3</c:v>
                </c:pt>
                <c:pt idx="2">
                  <c:v>41.6</c:v>
                </c:pt>
                <c:pt idx="3">
                  <c:v>42.1</c:v>
                </c:pt>
                <c:pt idx="4" formatCode="0.0_ ">
                  <c:v>42</c:v>
                </c:pt>
              </c:numCache>
            </c:numRef>
          </c:val>
          <c:smooth val="0"/>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marker val="0"/>
        <c:smooth val="0"/>
        <c:axId val="1"/>
        <c:axId val="2"/>
      </c:lineChart>
      <c:catAx>
        <c:axId val="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chemeClr val="tx1">
                    <a:lumMod val="65000"/>
                    <a:lumOff val="35000"/>
                  </a:schemeClr>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min val="38"/>
        </c:scaling>
        <c:delete val="0"/>
        <c:axPos val="l"/>
        <c:majorGridlines>
          <c:spPr>
            <a:noFill/>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chemeClr val="tx1">
                    <a:lumMod val="65000"/>
                    <a:lumOff val="35000"/>
                  </a:schemeClr>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b"/>
      <c:layout>
        <c:manualLayout>
          <c:xMode val="edge"/>
          <c:yMode val="edge"/>
          <c:x val="0.24031007751937983"/>
          <c:y val="0.87709497206703901"/>
          <c:w val="0.53488372093023251"/>
          <c:h val="9.4972067039106142e-002"/>
        </c:manualLayout>
      </c:layout>
      <c:overlay val="0"/>
      <c:spPr>
        <a:noFill/>
        <a:ln>
          <a:noFill/>
        </a:ln>
        <a:effectLst/>
      </c:spPr>
      <c:txPr>
        <a:bodyPr rot="0" spcFirstLastPara="1" vertOverflow="ellipsis" horzOverflow="overflow" wrap="square" anchor="ctr" anchorCtr="1"/>
        <a:lstStyle/>
        <a:p>
          <a:pPr algn="l" rtl="0">
            <a:defRPr kumimoji="0" lang="ja-JP" altLang="en-US" sz="800" kern="1200">
              <a:solidFill>
                <a:schemeClr val="tx1">
                  <a:lumMod val="65000"/>
                  <a:lumOff val="35000"/>
                </a:schemeClr>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userShapes xmlns:c="http://schemas.openxmlformats.org/drawingml/2006/chart" xmlns:r="http://schemas.openxmlformats.org/officeDocument/2006/relationships" r:id="rId2"/>
  <c:extLst>
    <c:ext xmlns:c14="http://schemas.microsoft.com/office/drawing/2007/8/2/chart" uri="{781A3756-C4B2-4CAC-9D66-4F8BD8637D16}"/>
  </c:extLst>
</c:chartSpace>
</file>

<file path=word/charts/chart22.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'[0]搬送方法とt-PA'!$D$23</c:f>
              <c:strCache>
                <c:ptCount val="1"/>
                <c:pt idx="0">
                  <c:v>救急車・ヘリ</c:v>
                </c:pt>
              </c:strCache>
            </c:strRef>
          </c:tx>
          <c:spPr>
            <a:solidFill>
              <a:schemeClr val="accent1"/>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'[0]搬送方法とt-PA'!$E$22:$F$22</c:f>
              <c:strCache>
                <c:ptCount val="2"/>
                <c:pt idx="0">
                  <c:v>R3</c:v>
                </c:pt>
                <c:pt idx="1">
                  <c:v>R4</c:v>
                </c:pt>
              </c:strCache>
            </c:strRef>
          </c:cat>
          <c:val>
            <c:numRef>
              <c:f>'[【データ06】脳卒中患者実態調査.xlsx]搬送方法とt-PA'!$E$23:$F$23</c:f>
              <c:numCache>
                <c:formatCode>0.0%</c:formatCode>
                <c:ptCount val="2"/>
                <c:pt idx="0">
                  <c:v>0.19387755102040816</c:v>
                </c:pt>
                <c:pt idx="1">
                  <c:v>0.18697478991596639</c:v>
                </c:pt>
              </c:numCache>
            </c:numRef>
          </c:val>
        </c:ser>
        <c:ser>
          <c:idx val="1"/>
          <c:order val="1"/>
          <c:tx>
            <c:strRef>
              <c:f>'[0]搬送方法とt-PA'!$D$24</c:f>
              <c:strCache>
                <c:ptCount val="1"/>
                <c:pt idx="0">
                  <c:v>救急車・ヘリ以外</c:v>
                </c:pt>
              </c:strCache>
            </c:strRef>
          </c:tx>
          <c:spPr>
            <a:solidFill>
              <a:schemeClr val="accent2"/>
            </a:solidFill>
            <a:ln>
              <a:noFill/>
            </a:ln>
            <a:effectLst/>
          </c:spPr>
          <c:invertIfNegative val="0"/>
          <c:dLbls>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dLblPos val="outEnd"/>
            <c:showLegendKey val="0"/>
            <c:showVal val="1"/>
            <c:showCatName val="0"/>
            <c:showSerName val="0"/>
            <c:showPercent val="0"/>
            <c:showBubbleSize val="0"/>
            <c:extLst>
              <c:ext xmlns:c15="http://schemas.microsoft.com/office/drawing/2012/chart" uri="{CE6537A1-D6FC-4f65-9D91-7224C49458BB}">
                <c15:showLeaderLines val="1"/>
                <c15:leaderLines>
                  <c:spPr>
                    <a:noFill/>
                    <a:ln w="9525" cap="flat" cmpd="sng" algn="ctr">
                      <a:solidFill>
                        <a:schemeClr val="tx1">
                          <a:lumMod val="35000"/>
                          <a:lumOff val="65000"/>
                        </a:schemeClr>
                      </a:solidFill>
                      <a:round/>
                    </a:ln>
                    <a:effectLst/>
                  </c:spPr>
                </c15:leaderLines>
              </c:ext>
            </c:extLst>
          </c:dLbls>
          <c:cat>
            <c:strRef>
              <c:f>'[0]搬送方法とt-PA'!$E$22:$F$22</c:f>
              <c:strCache>
                <c:ptCount val="2"/>
                <c:pt idx="0">
                  <c:v>R3</c:v>
                </c:pt>
                <c:pt idx="1">
                  <c:v>R4</c:v>
                </c:pt>
              </c:strCache>
            </c:strRef>
          </c:cat>
          <c:val>
            <c:numRef>
              <c:f>'[【データ06】脳卒中患者実態調査.xlsx]搬送方法とt-PA'!$E$24:$F$24</c:f>
              <c:numCache>
                <c:formatCode>0.0%</c:formatCode>
                <c:ptCount val="2"/>
                <c:pt idx="0">
                  <c:v>2.3612750885478158e-002</c:v>
                </c:pt>
                <c:pt idx="1">
                  <c:v>1.4553014553014554e-002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dLbls>
        <c:gapWidth val="150"/>
        <c:overlap val="0"/>
        <c:axId val="1"/>
        <c:axId val="2"/>
      </c:barChart>
      <c:catAx>
        <c:axId val="1"/>
        <c:scaling>
          <c:orientation val="minMax"/>
        </c:scaling>
        <c:delete val="0"/>
        <c:axPos val="b"/>
        <c:numFmt formatCode="0.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crossAx val="2"/>
        <c:crosses val="autoZero"/>
        <c:auto val="1"/>
        <c:lblAlgn val="ctr"/>
        <c:lblOffset val="100"/>
        <c:noMultiLvlLbl val="0"/>
      </c:catAx>
      <c:valAx>
        <c:axId val="2"/>
        <c:scaling>
          <c:orientation val="minMax"/>
        </c:scaling>
        <c:delete val="0"/>
        <c:axPos val="l"/>
        <c:majorGridlines>
          <c:spPr>
            <a:noFill/>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horzOverflow="overflow" wrap="square" anchor="ctr" anchorCtr="1"/>
          <a:lstStyle/>
          <a:p>
            <a:pPr algn="ctr" rtl="0">
              <a:defRPr kumimoji="0" lang="ja-JP" altLang="en-US" sz="800" kern="1200">
                <a:solidFill>
                  <a:sysClr val="windowText" lastClr="000000"/>
                </a:solidFill>
                <a:latin typeface="ＭＳ ゴシック"/>
                <a:ea typeface="ＭＳ ゴシック"/>
                <a:cs typeface="+mn-cs"/>
              </a:defRPr>
            </a:pPr>
            <a:endParaRPr lang="ja-JP" altLang="en-US"/>
          </a:p>
        </c:txPr>
        <c:crossAx val="1"/>
        <c:crosses val="autoZero"/>
        <c:crossBetween val="between"/>
      </c:valAx>
      <c:spPr>
        <a:noFill/>
        <a:ln>
          <a:noFill/>
        </a:ln>
        <a:effectLst/>
      </c:spPr>
    </c:plotArea>
    <c:legend>
      <c:legendPos val="r"/>
      <c:layout/>
      <c:overlay val="0"/>
      <c:spPr>
        <a:noFill/>
        <a:ln>
          <a:noFill/>
        </a:ln>
        <a:effectLst/>
      </c:spPr>
      <c:txPr>
        <a:bodyPr rot="0" spcFirstLastPara="1" vertOverflow="ellipsis" horzOverflow="overflow" wrap="square" anchor="ctr" anchorCtr="1"/>
        <a:lstStyle/>
        <a:p>
          <a:pPr algn="l" rtl="0">
            <a:defRPr kumimoji="0" lang="ja-JP" altLang="en-US" sz="8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a:pPr>
      <a:endParaRPr lang="ja-JP" altLang="en-US"/>
    </a:p>
  </c:txPr>
  <c:externalData r:id="rId1">
    <c:autoUpdate val="0"/>
  </c:externalData>
  <c:extLst>
    <c:ext xmlns:c14="http://schemas.microsoft.com/office/drawing/2007/8/2/chart" uri="{781A3756-C4B2-4CAC-9D66-4F8BD8637D16}"/>
  </c:extLst>
</c:chartSpace>
</file>

<file path=word/charts/chart23.xml><?xml version="1.0" encoding="utf-8"?>
<c:chartSpace xmlns:a="http://schemas.openxmlformats.org/drawingml/2006/main" xmlns:r="http://schemas.openxmlformats.org/officeDocument/2006/relationships" xmlns:c="http://schemas.openxmlformats.org/drawingml/20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05613305613306"/>
          <c:y val="6.6985645933014357e-002"/>
          <c:w val="0.40595980595980602"/>
          <c:h val="0.9342902711323765"/>
        </c:manualLayout>
      </c:layout>
      <c:pieChart>
        <c:varyColors val="1"/>
        <c:ser>
          <c:idx val="0"/>
          <c:order val="0"/>
          <c:dPt>
            <c:idx val="0"/>
            <c:invertIfNegative val="0"/>
            <c:bubble3D val="0"/>
            <c:spPr>
              <a:solidFill>
                <a:schemeClr val="accent1"/>
              </a:solidFill>
              <a:ln w="19050">
                <a:solidFill>
                  <a:schemeClr val="lt1"/>
                </a:solidFill>
              </a:ln>
              <a:effectLst/>
            </c:spPr>
          </c:dPt>
          <c:dPt>
            <c:idx val="1"/>
            <c:invertIfNegative val="0"/>
            <c:bubble3D val="0"/>
            <c:spPr>
              <a:solidFill>
                <a:schemeClr val="accent2"/>
              </a:solidFill>
              <a:ln w="19050">
                <a:solidFill>
                  <a:schemeClr val="lt1"/>
                </a:solidFill>
              </a:ln>
              <a:effectLst/>
            </c:spPr>
          </c:dPt>
          <c:dPt>
            <c:idx val="2"/>
            <c:invertIfNegative val="0"/>
            <c:bubble3D val="0"/>
            <c:spPr>
              <a:solidFill>
                <a:schemeClr val="accent3"/>
              </a:solidFill>
              <a:ln w="19050">
                <a:solidFill>
                  <a:schemeClr val="lt1"/>
                </a:solidFill>
              </a:ln>
              <a:effectLst/>
            </c:spPr>
          </c:dPt>
          <c:dPt>
            <c:idx val="3"/>
            <c:invertIfNegative val="0"/>
            <c:bubble3D val="0"/>
            <c:spPr>
              <a:solidFill>
                <a:schemeClr val="accent4"/>
              </a:solidFill>
              <a:ln w="19050">
                <a:solidFill>
                  <a:schemeClr val="lt1"/>
                </a:solidFill>
              </a:ln>
              <a:effectLst/>
            </c:spPr>
          </c:dPt>
          <c:dPt>
            <c:idx val="4"/>
            <c:invertIfNegative val="0"/>
            <c:bubble3D val="0"/>
            <c:spPr>
              <a:solidFill>
                <a:schemeClr val="accent5"/>
              </a:solidFill>
              <a:ln w="19050">
                <a:solidFill>
                  <a:schemeClr val="lt1"/>
                </a:solidFill>
              </a:ln>
              <a:effectLst/>
            </c:spPr>
          </c:dPt>
          <c:dPt>
            <c:idx val="5"/>
            <c:invertIfNegative val="0"/>
            <c:bubble3D val="0"/>
            <c:spPr>
              <a:solidFill>
                <a:schemeClr val="accent6"/>
              </a:solidFill>
              <a:ln w="19050">
                <a:solidFill>
                  <a:schemeClr val="lt1"/>
                </a:solidFill>
              </a:ln>
              <a:effectLst/>
            </c:spPr>
          </c:dPt>
          <c:dPt>
            <c:idx val="6"/>
            <c:invertIfNegative val="0"/>
            <c:bubble3D val="0"/>
            <c:spPr>
              <a:solidFill>
                <a:schemeClr val="accent1">
                  <a:lumMod val="60000"/>
                </a:schemeClr>
              </a:solidFill>
              <a:ln w="19050">
                <a:solidFill>
                  <a:schemeClr val="lt1"/>
                </a:solidFill>
              </a:ln>
              <a:effectLst/>
            </c:spPr>
          </c:dPt>
          <c:dLbls>
            <c:dLbl>
              <c:idx val="0"/>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1"/>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2"/>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3"/>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4"/>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5"/>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dLbl>
              <c:idx val="6"/>
              <c:layout/>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dLbl>
            <c:spPr>
              <a:noFill/>
              <a:ln>
                <a:noFill/>
              </a:ln>
              <a:effectLst/>
            </c:spPr>
            <c:txPr>
              <a:bodyPr rot="0" spcFirstLastPara="1" vertOverflow="ellipsis" horzOverflow="overflow" wrap="square" lIns="36576" tIns="18288" rIns="36576" bIns="18288" anchor="ctr" anchorCtr="1">
                <a:spAutoFit/>
              </a:bodyPr>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showLegendKey val="0"/>
            <c:showVal val="1"/>
            <c:showCatName val="0"/>
            <c:showSerName val="0"/>
            <c:showPercent val="0"/>
            <c:showBubbleSize val="0"/>
            <c:showLeaderLines val="1"/>
            <c:leaderLines>
              <c:spPr>
                <a:noFill/>
                <a:ln w="9525" cap="flat" cmpd="sng" algn="ctr">
                  <a:solidFill>
                    <a:schemeClr val="tx1">
                      <a:lumMod val="35000"/>
                      <a:lumOff val="65000"/>
                    </a:schemeClr>
                  </a:solidFill>
                  <a:round/>
                </a:ln>
                <a:effectLst/>
              </c:spPr>
            </c:leaderLines>
          </c:dLbls>
          <c:cat>
            <c:strRef>
              <c:f>転帰!$B$11:$H$11</c:f>
              <c:strCache>
                <c:ptCount val="7"/>
                <c:pt idx="0">
                  <c:v>自宅（在宅施設含む）</c:v>
                </c:pt>
                <c:pt idx="1">
                  <c:v>回復期リハビリ病棟</c:v>
                </c:pt>
                <c:pt idx="2">
                  <c:v>死亡</c:v>
                </c:pt>
                <c:pt idx="3">
                  <c:v>療養病床（医療保険）</c:v>
                </c:pt>
                <c:pt idx="4">
                  <c:v>介護老人福祉施設</c:v>
                </c:pt>
                <c:pt idx="5">
                  <c:v>介護老人保健施設</c:v>
                </c:pt>
                <c:pt idx="6">
                  <c:v>その他</c:v>
                </c:pt>
              </c:strCache>
            </c:strRef>
          </c:cat>
          <c:val>
            <c:numRef>
              <c:f>[【データ06】脳卒中患者実態調査.xlsx]転帰!$B$12:$H$12</c:f>
              <c:numCache>
                <c:formatCode>0.0%</c:formatCode>
                <c:ptCount val="7"/>
                <c:pt idx="0">
                  <c:v>0.42322834645669294</c:v>
                </c:pt>
                <c:pt idx="1">
                  <c:v>0.34645669291338582</c:v>
                </c:pt>
                <c:pt idx="2">
                  <c:v>5.774278215223097e-002</c:v>
                </c:pt>
                <c:pt idx="3">
                  <c:v>5.2165354330708659e-002</c:v>
                </c:pt>
                <c:pt idx="4">
                  <c:v>1.3123359580052493e-002</c:v>
                </c:pt>
                <c:pt idx="5">
                  <c:v>9.8425196850393699e-003</c:v>
                </c:pt>
                <c:pt idx="6">
                  <c:v>9.7440944881889757e-002</c:v>
                </c:pt>
              </c:numCache>
            </c:numRef>
          </c:val>
        </c:ser>
        <c:dLbls>
          <c:spPr>
            <a:noFill/>
            <a:ln>
              <a:noFill/>
            </a:ln>
            <a:effectLst/>
          </c:spPr>
          <c:txPr>
            <a:bodyPr rot="0" spcFirstLastPara="1" vertOverflow="ellipsis" horzOverflow="overflow" wrap="square" anchor="ctr" anchorCtr="1">
              <a:spAutoFit/>
            </a:bodyPr>
            <a:lstStyle/>
            <a:p>
              <a:pPr algn="ctr" rtl="0">
                <a:defRPr lang="ja-JP" altLang="en-US" sz="900" kern="1200">
                  <a:solidFill>
                    <a:schemeClr val="tx1">
                      <a:lumMod val="75000"/>
                      <a:lumOff val="25000"/>
                    </a:schemeClr>
                  </a:solidFill>
                  <a:latin typeface="+mn-lt"/>
                  <a:ea typeface="+mn-ea"/>
                  <a:cs typeface="+mn-cs"/>
                </a:defRPr>
              </a:pPr>
              <a:endParaRPr lang="ja-JP" altLang="en-US" sz="900" kern="1200">
                <a:solidFill>
                  <a:schemeClr val="tx1">
                    <a:lumMod val="75000"/>
                    <a:lumOff val="25000"/>
                  </a:schemeClr>
                </a:solidFill>
                <a:latin typeface="+mn-lt"/>
                <a:ea typeface="+mn-ea"/>
                <a:cs typeface="+mn-cs"/>
              </a:endParaRPr>
            </a:p>
          </c:txPr>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1" vertOverflow="ellipsis" horzOverflow="overflow" wrap="square" anchor="ctr" anchorCtr="1"/>
        <a:lstStyle/>
        <a:p>
          <a:pPr algn="ctr" rtl="0">
            <a:defRPr kumimoji="0" lang="ja-JP" altLang="en-US" sz="900" kern="1200">
              <a:solidFill>
                <a:sysClr val="windowText" lastClr="000000"/>
              </a:solidFill>
              <a:latin typeface="ＭＳ ゴシック"/>
              <a:ea typeface="ＭＳ ゴシック"/>
              <a:cs typeface="+mn-cs"/>
            </a:defRPr>
          </a:pPr>
          <a:endParaRPr lang="ja-JP" altLang="en-US"/>
        </a:p>
      </c:txPr>
    </c:legend>
    <c:plotVisOnly val="1"/>
    <c:dispBlanksAs val="gap"/>
    <c:showDLblsOverMax val="0"/>
  </c:chart>
  <c:spPr>
    <a:solidFill>
      <a:schemeClr val="bg1"/>
    </a:solidFill>
    <a:ln w="9525" cap="flat" cmpd="sng" algn="ctr">
      <a:noFill/>
      <a:round/>
    </a:ln>
    <a:effectLst/>
  </c:spPr>
  <c:txPr>
    <a:bodyPr vertOverflow="overflow" horzOverflow="overflow" anchor="ctr" anchorCtr="1"/>
    <a:lstStyle/>
    <a:p>
      <a:pPr algn="ctr" rtl="0">
        <a:defRPr lang="ja-JP" altLang="en-US" sz="1000"/>
      </a:pPr>
      <a:endParaRPr lang="ja-JP" altLang="en-US"/>
    </a:p>
  </c:txPr>
  <c:externalData r:id="rId1">
    <c:autoUpdate val="0"/>
  </c:externalData>
  <c:extLst>
    <c:ext xmlns:c14="http://schemas.microsoft.com/office/drawing/2007/8/2/chart" uri="{781A3756-C4B2-4CAC-9D66-4F8BD8637D16}"/>
  </c:extLst>
</c:chartSpace>
</file>

<file path=word/charts/colors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a="http://schemas.openxmlformats.org/drawingml/2006/main" xmlns:cs="http://schemas.microsoft.com/office/drawing/2012/chartStyle"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a="http://schemas.openxmlformats.org/drawingml/2006/main" xmlns:cs="http://schemas.microsoft.com/office/drawing/2012/chartStyle"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a="http://schemas.openxmlformats.org/drawingml/2006/main" xmlns:cs="http://schemas.microsoft.com/office/drawing/2012/chartStyle"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a="http://schemas.openxmlformats.org/drawingml/2006/main" xmlns:cs="http://schemas.microsoft.com/office/drawing/2012/chartStyle"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a="http://schemas.openxmlformats.org/drawingml/2006/main" xmlns:cs="http://schemas.microsoft.com/office/drawing/2012/chartStyle"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a="http://schemas.openxmlformats.org/drawingml/2006/main" xmlns:cs="http://schemas.microsoft.com/office/drawing/2012/chartStyle"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a="http://schemas.openxmlformats.org/drawingml/2006/main" xmlns:cs="http://schemas.microsoft.com/office/drawing/2012/chartStyle"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vertOverflow="clip" horzOverflow="clip"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0.54474999999999996</cdr:x>
      <cdr:y>0.31225000000000003</cdr:y>
    </cdr:from>
    <cdr:to>
      <cdr:x>0.99575000000000002</cdr:x>
      <cdr:y>0.58150000000000002</cdr:y>
    </cdr:to>
    <cdr:sp macro="" textlink="">
      <cdr:nvSpPr>
        <cdr:cNvPr id="2" name="テキスト ボックス 1"/>
        <cdr:cNvSpPr txBox="1"/>
      </cdr:nvSpPr>
      <cdr:spPr>
        <a:xfrm xmlns:a="http://schemas.openxmlformats.org/drawingml/2006/main">
          <a:off x="1396463" y="394971"/>
          <a:ext cx="1156136" cy="340579"/>
        </a:xfrm>
        <a:prstGeom xmlns:a="http://schemas.openxmlformats.org/drawingml/2006/main" prst="rect">
          <a:avLst/>
        </a:prstGeom>
        <a:noFill xmlns:a="http://schemas.openxmlformats.org/drawingml/2006/main"/>
      </cdr:spPr>
      <cdr:txBody>
        <a:bodyPr xmlns:a="http://schemas.openxmlformats.org/drawingml/2006/main" vertOverflow="overflow" horzOverflow="overflow" wrap="square" lIns="128015" tIns="64007" rIns="128015" bIns="64007" rtlCol="0">
          <a:spAutoFit/>
        </a:bodyPr>
        <a:lstStyle xmlns:a="http://schemas.openxmlformats.org/drawingml/2006/main">
          <a:defPPr>
            <a:defRPr lang="ja-JP"/>
          </a:defPPr>
          <a:lvl1pPr marL="0" algn="l" defTabSz="914400" rtl="0" eaLnBrk="1" latinLnBrk="0" hangingPunct="1">
            <a:defRPr kumimoji="1" sz="1800" kern="1200">
              <a:solidFill>
                <a:schemeClr val="tx1"/>
              </a:solidFill>
              <a:latin typeface="+mn-lt"/>
              <a:ea typeface="+mn-ea"/>
              <a:cs typeface="+mn-cs"/>
            </a:defRPr>
          </a:lvl1pPr>
          <a:lvl2pPr marL="457200" algn="l" defTabSz="914400" rtl="0" eaLnBrk="1" latinLnBrk="0" hangingPunct="1">
            <a:defRPr kumimoji="1" sz="1800" kern="1200">
              <a:solidFill>
                <a:schemeClr val="tx1"/>
              </a:solidFill>
              <a:latin typeface="+mn-lt"/>
              <a:ea typeface="+mn-ea"/>
              <a:cs typeface="+mn-cs"/>
            </a:defRPr>
          </a:lvl2pPr>
          <a:lvl3pPr marL="914400" algn="l" defTabSz="914400" rtl="0" eaLnBrk="1" latinLnBrk="0" hangingPunct="1">
            <a:defRPr kumimoji="1" sz="1800" kern="1200">
              <a:solidFill>
                <a:schemeClr val="tx1"/>
              </a:solidFill>
              <a:latin typeface="+mn-lt"/>
              <a:ea typeface="+mn-ea"/>
              <a:cs typeface="+mn-cs"/>
            </a:defRPr>
          </a:lvl3pPr>
          <a:lvl4pPr marL="1371600" algn="l" defTabSz="914400" rtl="0" eaLnBrk="1" latinLnBrk="0" hangingPunct="1">
            <a:defRPr kumimoji="1" sz="1800" kern="1200">
              <a:solidFill>
                <a:schemeClr val="tx1"/>
              </a:solidFill>
              <a:latin typeface="+mn-lt"/>
              <a:ea typeface="+mn-ea"/>
              <a:cs typeface="+mn-cs"/>
            </a:defRPr>
          </a:lvl4pPr>
          <a:lvl5pPr marL="1828800" algn="l" defTabSz="914400" rtl="0" eaLnBrk="1" latinLnBrk="0" hangingPunct="1">
            <a:defRPr kumimoji="1" sz="1800" kern="1200">
              <a:solidFill>
                <a:schemeClr val="tx1"/>
              </a:solidFill>
              <a:latin typeface="+mn-lt"/>
              <a:ea typeface="+mn-ea"/>
              <a:cs typeface="+mn-cs"/>
            </a:defRPr>
          </a:lvl5pPr>
          <a:lvl6pPr marL="2286000" algn="l" defTabSz="914400" rtl="0" eaLnBrk="1" latinLnBrk="0" hangingPunct="1">
            <a:defRPr kumimoji="1" sz="1800" kern="1200">
              <a:solidFill>
                <a:schemeClr val="tx1"/>
              </a:solidFill>
              <a:latin typeface="+mn-lt"/>
              <a:ea typeface="+mn-ea"/>
              <a:cs typeface="+mn-cs"/>
            </a:defRPr>
          </a:lvl6pPr>
          <a:lvl7pPr marL="2743200" algn="l" defTabSz="914400" rtl="0" eaLnBrk="1" latinLnBrk="0" hangingPunct="1">
            <a:defRPr kumimoji="1" sz="1800" kern="1200">
              <a:solidFill>
                <a:schemeClr val="tx1"/>
              </a:solidFill>
              <a:latin typeface="+mn-lt"/>
              <a:ea typeface="+mn-ea"/>
              <a:cs typeface="+mn-cs"/>
            </a:defRPr>
          </a:lvl7pPr>
          <a:lvl8pPr marL="3200400" algn="l" defTabSz="914400" rtl="0" eaLnBrk="1" latinLnBrk="0" hangingPunct="1">
            <a:defRPr kumimoji="1" sz="1800" kern="1200">
              <a:solidFill>
                <a:schemeClr val="tx1"/>
              </a:solidFill>
              <a:latin typeface="+mn-lt"/>
              <a:ea typeface="+mn-ea"/>
              <a:cs typeface="+mn-cs"/>
            </a:defRPr>
          </a:lvl8pPr>
          <a:lvl9pPr marL="3657600" algn="l" defTabSz="914400" rtl="0" eaLnBrk="1" latinLnBrk="0" hangingPunct="1">
            <a:defRPr kumimoji="1" sz="1800" kern="1200">
              <a:solidFill>
                <a:schemeClr val="tx1"/>
              </a:solidFill>
              <a:latin typeface="+mn-lt"/>
              <a:ea typeface="+mn-ea"/>
              <a:cs typeface="+mn-cs"/>
            </a:defRPr>
          </a:lvl9pPr>
        </a:lstStyle>
        <a:p xmlns:a="http://schemas.openxmlformats.org/drawingml/2006/main">
          <a:pPr algn="ctr"/>
          <a:r>
            <a:rPr lang="ja-JP" altLang="en-US" sz="1200" b="1" dirty="0" smtClean="0">
              <a:latin typeface="Meiryo UI"/>
              <a:ea typeface="Meiryo UI"/>
            </a:rPr>
            <a:t>46位</a:t>
          </a:r>
          <a:r>
            <a:rPr lang="ja-JP" altLang="en-US" sz="1200" b="1" baseline="30000" dirty="0" smtClean="0">
              <a:latin typeface="Meiryo UI"/>
              <a:ea typeface="Meiryo UI"/>
            </a:rPr>
            <a:t>*</a:t>
          </a:r>
          <a:endParaRPr lang="zh-TW" altLang="en-US" sz="1200" b="1" baseline="30000" dirty="0" smtClean="0">
            <a:latin typeface="Meiryo UI"/>
            <a:ea typeface="Meiryo UI"/>
          </a:endParaRPr>
        </a:p>
      </cdr:txBody>
    </cdr:sp>
  </cdr:relSizeAnchor>
  <cdr:relSizeAnchor xmlns:cdr="http://schemas.openxmlformats.org/drawingml/2006/chartDrawing">
    <cdr:from>
      <cdr:x>8.9999999999999993e-003</cdr:x>
      <cdr:y>2.5749999999999999e-002</cdr:y>
    </cdr:from>
    <cdr:to>
      <cdr:x>0.29175000000000001</cdr:x>
      <cdr:y>0.16225000000000001</cdr:y>
    </cdr:to>
    <cdr:sp macro="" textlink="">
      <cdr:nvSpPr>
        <cdr:cNvPr id="3" name="テキスト ボックス 2"/>
        <cdr:cNvSpPr txBox="1"/>
      </cdr:nvSpPr>
      <cdr:spPr>
        <a:xfrm xmlns:a="http://schemas.openxmlformats.org/drawingml/2006/main">
          <a:off x="23071" y="32571"/>
          <a:ext cx="724828" cy="172661"/>
        </a:xfrm>
        <a:prstGeom xmlns:a="http://schemas.openxmlformats.org/drawingml/2006/main" prst="rect">
          <a:avLst/>
        </a:prstGeom>
      </cdr:spPr>
      <cdr:txBody>
        <a:bodyPr xmlns:a="http://schemas.openxmlformats.org/drawingml/2006/main" vertOverflow="clip" horzOverflow="overflow" wrap="square" rtlCol="0"/>
        <a:lstStyle xmlns:a="http://schemas.openxmlformats.org/drawingml/2006/main"/>
        <a:p xmlns:a="http://schemas.openxmlformats.org/drawingml/2006/main">
          <a:r>
            <a:rPr lang="ja-JP" altLang="en-US" sz="900" dirty="0" smtClean="0">
              <a:latin typeface="+mn-ea"/>
              <a:ea typeface="+mn-ea"/>
            </a:rPr>
            <a:t>（歩）</a:t>
          </a:r>
          <a:endParaRPr lang="ja-JP" altLang="en-US" sz="900" dirty="0">
            <a:latin typeface="+mn-ea"/>
            <a:ea typeface="+mn-ea"/>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5.9749999999999998e-002</cdr:x>
      <cdr:y>3.2000000000000001e-002</cdr:y>
    </cdr:from>
    <cdr:to>
      <cdr:x>0.253</cdr:x>
      <cdr:y>0.1525</cdr:y>
    </cdr:to>
    <cdr:sp macro="" textlink="">
      <cdr:nvSpPr>
        <cdr:cNvPr id="2" name="テキスト ボックス 1"/>
        <cdr:cNvSpPr txBox="1"/>
      </cdr:nvSpPr>
      <cdr:spPr>
        <a:xfrm xmlns:a="http://schemas.openxmlformats.org/drawingml/2006/main">
          <a:off x="235121" y="56591"/>
          <a:ext cx="760457" cy="213101"/>
        </a:xfrm>
        <a:prstGeom xmlns:a="http://schemas.openxmlformats.org/drawingml/2006/main" prst="rect">
          <a:avLst/>
        </a:prstGeom>
      </cdr:spPr>
      <cdr:txBody>
        <a:bodyPr xmlns:a="http://schemas.openxmlformats.org/drawingml/2006/main" vertOverflow="clip" horzOverflow="overflow" wrap="square" rtlCol="0"/>
        <a:lstStyle xmlns:a="http://schemas.openxmlformats.org/drawingml/2006/main"/>
        <a:p xmlns:a="http://schemas.openxmlformats.org/drawingml/2006/main">
          <a:r>
            <a:rPr lang="ja-JP" altLang="en-US" sz="900" dirty="0" smtClean="0">
              <a:latin typeface="ＭＳ ゴシック"/>
              <a:ea typeface="ＭＳ ゴシック"/>
            </a:rPr>
            <a:t>（ｇ）</a:t>
          </a:r>
          <a:endParaRPr lang="ja-JP" altLang="en-US" sz="900" dirty="0">
            <a:latin typeface="ＭＳ ゴシック"/>
            <a:ea typeface="ＭＳ ゴシック"/>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0.57974999999999999</cdr:x>
      <cdr:y>0.26924999999999999</cdr:y>
    </cdr:from>
    <cdr:to>
      <cdr:x>0.96225000000000005</cdr:x>
      <cdr:y>0.49075000000000002</cdr:y>
    </cdr:to>
    <cdr:sp macro="" textlink="">
      <cdr:nvSpPr>
        <cdr:cNvPr id="2" name="テキスト ボックス 1"/>
        <cdr:cNvSpPr txBox="1"/>
      </cdr:nvSpPr>
      <cdr:spPr>
        <a:xfrm xmlns:a="http://schemas.openxmlformats.org/drawingml/2006/main">
          <a:off x="1467779" y="328953"/>
          <a:ext cx="968392" cy="270615"/>
        </a:xfrm>
        <a:prstGeom xmlns:a="http://schemas.openxmlformats.org/drawingml/2006/main" prst="rect">
          <a:avLst/>
        </a:prstGeom>
        <a:noFill xmlns:a="http://schemas.openxmlformats.org/drawingml/2006/main"/>
      </cdr:spPr>
      <cdr:txBody>
        <a:bodyPr xmlns:a="http://schemas.openxmlformats.org/drawingml/2006/main" vertOverflow="overflow" horzOverflow="overflow" wrap="square" lIns="128015" tIns="64007" rIns="128015" bIns="64007" rtlCol="0"/>
        <a:lstStyle xmlns:a="http://schemas.openxmlformats.org/drawingml/2006/main">
          <a:defPPr>
            <a:defRPr lang="ja-JP"/>
          </a:defPPr>
          <a:lvl1pPr marL="0" algn="l" defTabSz="914400" rtl="0" eaLnBrk="1" latinLnBrk="0" hangingPunct="1">
            <a:defRPr kumimoji="1" sz="1800" kern="1200">
              <a:solidFill>
                <a:schemeClr val="tx1"/>
              </a:solidFill>
              <a:latin typeface="+mn-lt"/>
              <a:ea typeface="+mn-ea"/>
              <a:cs typeface="+mn-cs"/>
            </a:defRPr>
          </a:lvl1pPr>
          <a:lvl2pPr marL="457200" algn="l" defTabSz="914400" rtl="0" eaLnBrk="1" latinLnBrk="0" hangingPunct="1">
            <a:defRPr kumimoji="1" sz="1800" kern="1200">
              <a:solidFill>
                <a:schemeClr val="tx1"/>
              </a:solidFill>
              <a:latin typeface="+mn-lt"/>
              <a:ea typeface="+mn-ea"/>
              <a:cs typeface="+mn-cs"/>
            </a:defRPr>
          </a:lvl2pPr>
          <a:lvl3pPr marL="914400" algn="l" defTabSz="914400" rtl="0" eaLnBrk="1" latinLnBrk="0" hangingPunct="1">
            <a:defRPr kumimoji="1" sz="1800" kern="1200">
              <a:solidFill>
                <a:schemeClr val="tx1"/>
              </a:solidFill>
              <a:latin typeface="+mn-lt"/>
              <a:ea typeface="+mn-ea"/>
              <a:cs typeface="+mn-cs"/>
            </a:defRPr>
          </a:lvl3pPr>
          <a:lvl4pPr marL="1371600" algn="l" defTabSz="914400" rtl="0" eaLnBrk="1" latinLnBrk="0" hangingPunct="1">
            <a:defRPr kumimoji="1" sz="1800" kern="1200">
              <a:solidFill>
                <a:schemeClr val="tx1"/>
              </a:solidFill>
              <a:latin typeface="+mn-lt"/>
              <a:ea typeface="+mn-ea"/>
              <a:cs typeface="+mn-cs"/>
            </a:defRPr>
          </a:lvl4pPr>
          <a:lvl5pPr marL="1828800" algn="l" defTabSz="914400" rtl="0" eaLnBrk="1" latinLnBrk="0" hangingPunct="1">
            <a:defRPr kumimoji="1" sz="1800" kern="1200">
              <a:solidFill>
                <a:schemeClr val="tx1"/>
              </a:solidFill>
              <a:latin typeface="+mn-lt"/>
              <a:ea typeface="+mn-ea"/>
              <a:cs typeface="+mn-cs"/>
            </a:defRPr>
          </a:lvl5pPr>
          <a:lvl6pPr marL="2286000" algn="l" defTabSz="914400" rtl="0" eaLnBrk="1" latinLnBrk="0" hangingPunct="1">
            <a:defRPr kumimoji="1" sz="1800" kern="1200">
              <a:solidFill>
                <a:schemeClr val="tx1"/>
              </a:solidFill>
              <a:latin typeface="+mn-lt"/>
              <a:ea typeface="+mn-ea"/>
              <a:cs typeface="+mn-cs"/>
            </a:defRPr>
          </a:lvl6pPr>
          <a:lvl7pPr marL="2743200" algn="l" defTabSz="914400" rtl="0" eaLnBrk="1" latinLnBrk="0" hangingPunct="1">
            <a:defRPr kumimoji="1" sz="1800" kern="1200">
              <a:solidFill>
                <a:schemeClr val="tx1"/>
              </a:solidFill>
              <a:latin typeface="+mn-lt"/>
              <a:ea typeface="+mn-ea"/>
              <a:cs typeface="+mn-cs"/>
            </a:defRPr>
          </a:lvl7pPr>
          <a:lvl8pPr marL="3200400" algn="l" defTabSz="914400" rtl="0" eaLnBrk="1" latinLnBrk="0" hangingPunct="1">
            <a:defRPr kumimoji="1" sz="1800" kern="1200">
              <a:solidFill>
                <a:schemeClr val="tx1"/>
              </a:solidFill>
              <a:latin typeface="+mn-lt"/>
              <a:ea typeface="+mn-ea"/>
              <a:cs typeface="+mn-cs"/>
            </a:defRPr>
          </a:lvl8pPr>
          <a:lvl9pPr marL="3657600" algn="l" defTabSz="914400" rtl="0" eaLnBrk="1" latinLnBrk="0" hangingPunct="1">
            <a:defRPr kumimoji="1" sz="1800" kern="1200">
              <a:solidFill>
                <a:schemeClr val="tx1"/>
              </a:solidFill>
              <a:latin typeface="+mn-lt"/>
              <a:ea typeface="+mn-ea"/>
              <a:cs typeface="+mn-cs"/>
            </a:defRPr>
          </a:lvl9pPr>
        </a:lstStyle>
        <a:p xmlns:a="http://schemas.openxmlformats.org/drawingml/2006/main">
          <a:pPr algn="ctr"/>
          <a:r>
            <a:rPr lang="ja-JP" altLang="en-US" sz="1200" b="1" dirty="0" smtClean="0">
              <a:latin typeface="Meiryo UI"/>
              <a:ea typeface="Meiryo UI"/>
            </a:rPr>
            <a:t>46位</a:t>
          </a:r>
          <a:r>
            <a:rPr lang="ja-JP" altLang="en-US" sz="1200" b="1" baseline="30000" dirty="0" smtClean="0">
              <a:latin typeface="Meiryo UI"/>
              <a:ea typeface="Meiryo UI"/>
            </a:rPr>
            <a:t>*</a:t>
          </a:r>
          <a:endParaRPr lang="zh-TW" altLang="en-US" sz="1200" b="1" baseline="30000" dirty="0" smtClean="0">
            <a:latin typeface="Meiryo UI"/>
            <a:ea typeface="Meiryo UI"/>
          </a:endParaRPr>
        </a:p>
      </cdr:txBody>
    </cdr:sp>
  </cdr:relSizeAnchor>
  <cdr:relSizeAnchor xmlns:cdr="http://schemas.openxmlformats.org/drawingml/2006/chartDrawing">
    <cdr:from>
      <cdr:x>3.925e-002</cdr:x>
      <cdr:y>0</cdr:y>
    </cdr:from>
    <cdr:to>
      <cdr:x>0.32724999999999999</cdr:x>
      <cdr:y>0.13650000000000001</cdr:y>
    </cdr:to>
    <cdr:sp macro="" textlink="">
      <cdr:nvSpPr>
        <cdr:cNvPr id="3" name="テキスト ボックス 2"/>
        <cdr:cNvSpPr txBox="1"/>
      </cdr:nvSpPr>
      <cdr:spPr>
        <a:xfrm xmlns:a="http://schemas.openxmlformats.org/drawingml/2006/main">
          <a:off x="99370" y="0"/>
          <a:ext cx="729142" cy="166767"/>
        </a:xfrm>
        <a:prstGeom xmlns:a="http://schemas.openxmlformats.org/drawingml/2006/main" prst="rect">
          <a:avLst/>
        </a:prstGeom>
      </cdr:spPr>
      <cdr:txBody>
        <a:bodyPr xmlns:a="http://schemas.openxmlformats.org/drawingml/2006/main" vertOverflow="clip" horzOverflow="overflow" wrap="square" rtlCol="0"/>
        <a:lstStyle xmlns:a="http://schemas.openxmlformats.org/drawingml/2006/main"/>
        <a:p xmlns:a="http://schemas.openxmlformats.org/drawingml/2006/main">
          <a:r>
            <a:rPr lang="ja-JP" altLang="en-US" sz="900" dirty="0" smtClean="0">
              <a:latin typeface="+mn-ea"/>
              <a:ea typeface="+mn-ea"/>
            </a:rPr>
            <a:t>（歩）</a:t>
          </a:r>
          <a:endParaRPr lang="ja-JP" altLang="en-US" sz="900" dirty="0">
            <a:latin typeface="+mn-ea"/>
            <a:ea typeface="+mn-ea"/>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2.725e-002</cdr:x>
      <cdr:y>0</cdr:y>
    </cdr:from>
    <cdr:to>
      <cdr:x>0.2165</cdr:x>
      <cdr:y>9.2999999999999999e-002</cdr:y>
    </cdr:to>
    <cdr:sp macro="" textlink="">
      <cdr:nvSpPr>
        <cdr:cNvPr id="3" name="テキスト ボックス 2"/>
        <cdr:cNvSpPr txBox="1"/>
      </cdr:nvSpPr>
      <cdr:spPr>
        <a:xfrm xmlns:a="http://schemas.openxmlformats.org/drawingml/2006/main">
          <a:off x="91138" y="0"/>
          <a:ext cx="632955" cy="154428"/>
        </a:xfrm>
        <a:prstGeom xmlns:a="http://schemas.openxmlformats.org/drawingml/2006/main" prst="rect">
          <a:avLst/>
        </a:prstGeom>
      </cdr:spPr>
      <cdr:txBody>
        <a:bodyPr xmlns:a="http://schemas.openxmlformats.org/drawingml/2006/main" vertOverflow="overflow" horzOverflow="overflow"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ja-JP" altLang="en-US" sz="800" dirty="0">
              <a:latin typeface="ＭＳ ゴシック"/>
              <a:ea typeface="ＭＳ ゴシック"/>
            </a:rPr>
            <a:t>（％）</a:t>
          </a:r>
          <a:endParaRPr sz="800">
            <a:latin typeface="ＭＳ ゴシック"/>
            <a:ea typeface="ＭＳ ゴシック"/>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0.28100000000000003</cdr:x>
      <cdr:y>3.5000000000000001e-003</cdr:y>
    </cdr:from>
    <cdr:to>
      <cdr:x>0.79500000000000004</cdr:x>
      <cdr:y>0.17974999999999999</cdr:y>
    </cdr:to>
    <cdr:sp macro="" textlink="">
      <cdr:nvSpPr>
        <cdr:cNvPr id="2" name="テキスト ボックス 1"/>
        <cdr:cNvSpPr txBox="1">
          <a:spLocks xmlns:a="http://schemas.openxmlformats.org/drawingml/2006/main" noChangeArrowheads="1"/>
        </cdr:cNvSpPr>
      </cdr:nvSpPr>
      <cdr:spPr>
        <a:xfrm xmlns:a="http://schemas.openxmlformats.org/drawingml/2006/main">
          <a:off x="753174" y="5665"/>
          <a:ext cx="1377692" cy="28528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overflow" horzOverflow="overflow" wrap="square"/>
        <a:lstStyle xmlns:a="http://schemas.openxmlformats.org/drawingml/2006/main"/>
        <a:p xmlns:a="http://schemas.openxmlformats.org/drawingml/2006/main">
          <a:pPr marL="0" algn="ctr"/>
          <a:r>
            <a:rPr sz="900">
              <a:solidFill>
                <a:srgbClr val="000000"/>
              </a:solidFill>
              <a:latin typeface="ＭＳ ゴシック"/>
              <a:ea typeface="ＭＳ ゴシック"/>
            </a:rPr>
            <a:t>要請から現場到着まで</a:t>
          </a:r>
          <a:endParaRPr>
            <a:latin typeface="ＭＳ ゴシック"/>
            <a:ea typeface="ＭＳ ゴシック"/>
          </a:endParaRPr>
        </a:p>
      </cdr:txBody>
    </cdr:sp>
  </cdr:relSizeAnchor>
  <cdr:relSizeAnchor xmlns:cdr="http://schemas.openxmlformats.org/drawingml/2006/chartDrawing">
    <cdr:from>
      <cdr:x>4.9500000000000002e-002</cdr:x>
      <cdr:y>4.1500000000000002e-002</cdr:y>
    </cdr:from>
    <cdr:to>
      <cdr:x>0.27124999999999999</cdr:x>
      <cdr:y>0.17224999999999999</cdr:y>
    </cdr:to>
    <cdr:sp macro="" textlink="">
      <cdr:nvSpPr>
        <cdr:cNvPr id="3" name="テキスト 2"/>
        <cdr:cNvSpPr txBox="1"/>
      </cdr:nvSpPr>
      <cdr:spPr>
        <a:xfrm xmlns:a="http://schemas.openxmlformats.org/drawingml/2006/main">
          <a:off x="132676" y="67172"/>
          <a:ext cx="594364" cy="211633"/>
        </a:xfrm>
        <a:prstGeom xmlns:a="http://schemas.openxmlformats.org/drawingml/2006/main" prst="rect">
          <a:avLst/>
        </a:prstGeom>
        <a:noFill xmlns:a="http://schemas.openxmlformats.org/drawingml/2006/main"/>
        <a:ln xmlns:a="http://schemas.openxmlformats.org/drawingml/2006/main" w="9525" cmpd="sng">
          <a:noFill/>
        </a:ln>
      </cdr:spPr>
      <cdr:txBody>
        <a:bodyPr xmlns:a="http://schemas.openxmlformats.org/drawingml/2006/main" vertOverflow="clip" horzOverflow="clip" wrap="square"/>
        <a:lstStyle xmlns:a="http://schemas.openxmlformats.org/drawingml/2006/main"/>
        <a:p xmlns:a="http://schemas.openxmlformats.org/drawingml/2006/main">
          <a:r>
            <a:rPr sz="700">
              <a:solidFill>
                <a:srgbClr val="000000"/>
              </a:solidFill>
              <a:latin typeface="ＭＳ ゴシック"/>
              <a:ea typeface="ＭＳ ゴシック"/>
            </a:rPr>
            <a:t>(</a:t>
          </a:r>
          <a:r>
            <a:rPr sz="700">
              <a:solidFill>
                <a:srgbClr val="000000"/>
              </a:solidFill>
              <a:latin typeface="ＭＳ ゴシック"/>
              <a:ea typeface="ＭＳ ゴシック"/>
            </a:rPr>
            <a:t>分</a:t>
          </a:r>
          <a:r>
            <a:rPr sz="700">
              <a:solidFill>
                <a:srgbClr val="000000"/>
              </a:solidFill>
              <a:latin typeface="ＭＳ ゴシック"/>
              <a:ea typeface="ＭＳ ゴシック"/>
            </a:rPr>
            <a:t>)</a:t>
          </a:r>
        </a:p>
      </cdr:txBody>
    </cdr:sp>
  </cdr:relSizeAnchor>
</c:userShapes>
</file>

<file path=word/drawings/drawing6.xml><?xml version="1.0" encoding="utf-8"?>
<c:userShapes xmlns:c="http://schemas.openxmlformats.org/drawingml/2006/chart">
  <cdr:relSizeAnchor xmlns:cdr="http://schemas.openxmlformats.org/drawingml/2006/chartDrawing">
    <cdr:from>
      <cdr:x>2.725e-002</cdr:x>
      <cdr:y>4.9500000000000002e-002</cdr:y>
    </cdr:from>
    <cdr:to>
      <cdr:x>0.19800000000000001</cdr:x>
      <cdr:y>0.16850000000000001</cdr:y>
    </cdr:to>
    <cdr:sp macro="" textlink="">
      <cdr:nvSpPr>
        <cdr:cNvPr id="6145" name="テキスト 1"/>
        <cdr:cNvSpPr txBox="1"/>
      </cdr:nvSpPr>
      <cdr:spPr>
        <a:xfrm xmlns:a="http://schemas.openxmlformats.org/drawingml/2006/main">
          <a:off x="72744" y="81127"/>
          <a:ext cx="455823" cy="195033"/>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rgbClr val="000000"/>
        </a:lnRef>
        <a:fillRef xmlns:a="http://schemas.openxmlformats.org/drawingml/2006/main" idx="0">
          <a:srgbClr val="000000"/>
        </a:fillRef>
        <a:effectRef xmlns:a="http://schemas.openxmlformats.org/drawingml/2006/main" idx="0">
          <a:srgbClr val="000000"/>
        </a:effectRef>
        <a:fontRef xmlns:a="http://schemas.openxmlformats.org/drawingml/2006/main" idx="minor">
          <a:schemeClr val="dk1"/>
        </a:fontRef>
      </cdr:style>
      <cdr:txBody>
        <a:bodyPr xmlns:a="http://schemas.openxmlformats.org/drawingml/2006/main" vertOverflow="clip" horzOverflow="clip"/>
        <a:lstStyle xmlns:a="http://schemas.openxmlformats.org/drawingml/2006/main"/>
        <a:p xmlns:a="http://schemas.openxmlformats.org/drawingml/2006/main">
          <a:r>
            <a:rPr kumimoji="1" lang="ja-JP" altLang="en-US" sz="700">
              <a:latin typeface="ＭＳ ゴシック"/>
              <a:ea typeface="ＭＳ ゴシック"/>
            </a:rPr>
            <a:t>(分)</a:t>
          </a:r>
          <a:endParaRPr kumimoji="1" lang="ja-JP" altLang="en-US" sz="700">
            <a:latin typeface="ＭＳ ゴシック"/>
            <a:ea typeface="ＭＳ ゴシック"/>
          </a:endParaRPr>
        </a:p>
      </cdr:txBody>
    </cdr:sp>
  </cdr:relSizeAnchor>
  <cdr:relSizeAnchor xmlns:cdr="http://schemas.openxmlformats.org/drawingml/2006/chartDrawing">
    <cdr:from>
      <cdr:x>0.1565</cdr:x>
      <cdr:y>8.2500000000000004e-003</cdr:y>
    </cdr:from>
    <cdr:to>
      <cdr:x>0.85799999999999998</cdr:x>
      <cdr:y>0.18149999999999999</cdr:y>
    </cdr:to>
    <cdr:sp macro="" textlink="">
      <cdr:nvSpPr>
        <cdr:cNvPr id="6146" name="テキスト ボックス 2"/>
        <cdr:cNvSpPr txBox="1">
          <a:spLocks xmlns:a="http://schemas.openxmlformats.org/drawingml/2006/main" noChangeArrowheads="1"/>
        </cdr:cNvSpPr>
      </cdr:nvSpPr>
      <cdr:spPr>
        <a:xfrm xmlns:a="http://schemas.openxmlformats.org/drawingml/2006/main">
          <a:off x="417783" y="13521"/>
          <a:ext cx="1872682" cy="283945"/>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overflow" horzOverflow="overflow" wrap="square"/>
        <a:lstStyle xmlns:a="http://schemas.openxmlformats.org/drawingml/2006/main"/>
        <a:p xmlns:a="http://schemas.openxmlformats.org/drawingml/2006/main">
          <a:pPr marL="0" algn="ctr"/>
          <a:r>
            <a:rPr sz="900">
              <a:solidFill>
                <a:srgbClr val="000000"/>
              </a:solidFill>
              <a:latin typeface="ＭＳ ゴシック"/>
              <a:ea typeface="ＭＳ ゴシック"/>
            </a:rPr>
            <a:t>要請から医療機関収容まで</a:t>
          </a:r>
          <a:endParaRPr>
            <a:latin typeface="ＭＳ ゴシック"/>
            <a:ea typeface="ＭＳ ゴシック"/>
          </a:endParaRPr>
        </a:p>
      </cdr:txBody>
    </cdr:sp>
  </cdr:relSizeAnchor>
</c:userShape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word/theme/themeOverride1.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Override>
</file>

<file path=word/theme/themeOverride3.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4.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5.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Override>
</file>

<file path=word/theme/themeOverride7.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8.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9.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10.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11.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12.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word/theme/themeOverride13.xml><?xml version="1.0" encoding="utf-8"?>
<a:themeOverride xmlns:a="http://schemas.openxmlformats.org/drawingml/2006/main">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Override>
</file>

<file path=docProps/app.xml><?xml version="1.0" encoding="utf-8"?>
<Properties xmlns:vt="http://schemas.openxmlformats.org/officeDocument/2006/docPropsVTypes" xmlns="http://schemas.openxmlformats.org/officeDocument/2006/extended-properties">
  <Template>Normal.dot</Template>
  <TotalTime>5358</TotalTime>
  <Pages>21</Pages>
  <Words>678</Words>
  <Characters>13719</Characters>
  <Application>Microsoft Office Word</Application>
  <Lines>9134</Lines>
  <Paragraphs>679</Paragraphs>
  <CharactersWithSpaces>14242</CharactersWithSpaces>
  <AppVersion>1.20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445265</cp:lastModifiedBy>
  <cp:lastPrinted>2024-06-24T07:52:40Z</cp:lastPrinted>
  <dcterms:created xsi:type="dcterms:W3CDTF">2013-01-07T04:42:00Z</dcterms:created>
  <dcterms:modified xsi:type="dcterms:W3CDTF">2024-06-24T01:48:00Z</dcterms:modified>
  <cp:revision>375</cp:revision>
</cp:coreProperties>
</file>