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0" w:lineRule="exact"/>
        <w:jc w:val="center"/>
        <w:rPr>
          <w:rFonts w:hint="eastAsia" w:ascii="ＭＳ 明朝" w:hAnsi="ＭＳ 明朝" w:eastAsia="ＭＳ 明朝"/>
          <w:u w:val="none" w:color="auto"/>
        </w:rPr>
      </w:pPr>
      <w:r>
        <w:rPr>
          <w:rFonts w:hint="eastAsia" w:ascii="ＭＳ 明朝" w:hAnsi="ＭＳ 明朝" w:eastAsia="ＭＳ 明朝"/>
          <w:u w:val="none" w:color="auto"/>
        </w:rPr>
        <w:t>高知県畜産物販売拡大総合支援事業費補助金交付要綱</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（趣旨）</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第１条　この要綱は、高知県補助金等交付規則（昭和</w:t>
      </w:r>
      <w:r>
        <w:rPr>
          <w:rFonts w:hint="eastAsia" w:ascii="ＭＳ 明朝" w:hAnsi="ＭＳ 明朝" w:eastAsia="ＭＳ 明朝"/>
          <w:u w:val="none" w:color="auto"/>
        </w:rPr>
        <w:t>43</w:t>
      </w:r>
      <w:r>
        <w:rPr>
          <w:rFonts w:hint="eastAsia" w:ascii="ＭＳ 明朝" w:hAnsi="ＭＳ 明朝" w:eastAsia="ＭＳ 明朝"/>
          <w:u w:val="none" w:color="auto"/>
        </w:rPr>
        <w:t>年高知県規則第７号）第</w:t>
      </w:r>
      <w:r>
        <w:rPr>
          <w:rFonts w:hint="eastAsia" w:ascii="ＭＳ 明朝" w:hAnsi="ＭＳ 明朝" w:eastAsia="ＭＳ 明朝"/>
          <w:u w:val="none" w:color="auto"/>
        </w:rPr>
        <w:t>24</w:t>
      </w:r>
      <w:r>
        <w:rPr>
          <w:rFonts w:hint="eastAsia" w:ascii="ＭＳ 明朝" w:hAnsi="ＭＳ 明朝" w:eastAsia="ＭＳ 明朝"/>
          <w:u w:val="none" w:color="auto"/>
        </w:rPr>
        <w:t>条の規定に基づき、高知県畜産物販売拡大総合支援事業費補助金（以下「補助金」という。）の交付に関し必要な事項を定めるものとする。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（補助目的及び補助対象事業）</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第２条　県は、県内で生産された畜産物及びそれらを使用した加工品の販売拡大、ブランド力の向上並びに生産振興を図ることを目的に、市町村、農業協同組合及び県域生産者団体（以下｢補助事業者｣という。）の行う事業に対して予算の範囲内で補助金を交付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（補助率、補助対象経費及び交付額の算定方法）</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第３条　前条に規定する補助対象事業（以下「補助事業」という。）の補助対象経費及び補助率については、別表に定めるとおりとする。</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２　県の他の補助事業により支援を受け、又は受ける予定となっている取組は、本事業の補助の対象外とする。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（補助金の交付の申請）</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第４条　補助事業者は、補助金の交付を受けようとするときは、別記第１号様式による補助金交付申請書１部を知事に提出しなければならない。　</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２　補助金の交付を申請するに当たっては、当該補助金に係る消費税仕入控除税額等（補助対象経費に含まれる消費税及び地方消費税相当額のうち、消費税法（昭和</w:t>
      </w:r>
      <w:r>
        <w:rPr>
          <w:rFonts w:hint="eastAsia" w:ascii="ＭＳ 明朝" w:hAnsi="ＭＳ 明朝" w:eastAsia="ＭＳ 明朝"/>
          <w:u w:val="none" w:color="auto"/>
        </w:rPr>
        <w:t>63</w:t>
      </w:r>
      <w:r>
        <w:rPr>
          <w:rFonts w:hint="eastAsia" w:ascii="ＭＳ 明朝" w:hAnsi="ＭＳ 明朝" w:eastAsia="ＭＳ 明朝"/>
          <w:u w:val="none" w:color="auto"/>
        </w:rPr>
        <w:t>年法律第</w:t>
      </w:r>
      <w:r>
        <w:rPr>
          <w:rFonts w:hint="eastAsia" w:ascii="ＭＳ 明朝" w:hAnsi="ＭＳ 明朝" w:eastAsia="ＭＳ 明朝"/>
          <w:u w:val="none" w:color="auto"/>
        </w:rPr>
        <w:t>108</w:t>
      </w:r>
      <w:r>
        <w:rPr>
          <w:rFonts w:hint="eastAsia" w:ascii="ＭＳ 明朝" w:hAnsi="ＭＳ 明朝" w:eastAsia="ＭＳ 明朝"/>
          <w:u w:val="none" w:color="auto"/>
        </w:rPr>
        <w:t>号）の規定により仕入れに係る消費税額として控除することができる部分の金額及び当該金額に地方税法（昭和</w:t>
      </w:r>
      <w:r>
        <w:rPr>
          <w:rFonts w:hint="eastAsia" w:ascii="ＭＳ 明朝" w:hAnsi="ＭＳ 明朝" w:eastAsia="ＭＳ 明朝"/>
          <w:u w:val="none" w:color="auto"/>
        </w:rPr>
        <w:t>25</w:t>
      </w:r>
      <w:r>
        <w:rPr>
          <w:rFonts w:hint="eastAsia" w:ascii="ＭＳ 明朝" w:hAnsi="ＭＳ 明朝" w:eastAsia="ＭＳ 明朝"/>
          <w:u w:val="none" w:color="auto"/>
        </w:rPr>
        <w:t>年法律第</w:t>
      </w:r>
      <w:r>
        <w:rPr>
          <w:rFonts w:hint="eastAsia" w:ascii="ＭＳ 明朝" w:hAnsi="ＭＳ 明朝" w:eastAsia="ＭＳ 明朝"/>
          <w:u w:val="none" w:color="auto"/>
        </w:rPr>
        <w:t>226</w:t>
      </w:r>
      <w:r>
        <w:rPr>
          <w:rFonts w:hint="eastAsia" w:ascii="ＭＳ 明朝" w:hAnsi="ＭＳ 明朝" w:eastAsia="ＭＳ 明朝"/>
          <w:u w:val="none" w:color="auto"/>
        </w:rPr>
        <w:t>号）に規定する地方消費税の税率を乗じて得た額をいう。以下同じ。）を減額して申請しなければならない。ただし、申請時において当該消費税仕入控除税額等が明らかでないものについては、この限りでない。</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（補助金の交付の決定）</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第５条　知事は、前条の規定による申請が適当であると認めたときは、補助金の交付の決定をし、当該補助事業者に通知するものとする。ただし、当該申請をした者が次の各号のいずれかに該当すると認めるときを除く。</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（１）</w:t>
      </w:r>
      <w:r>
        <w:rPr>
          <w:rFonts w:hint="eastAsia" w:ascii="ＭＳ 明朝" w:hAnsi="ＭＳ 明朝" w:eastAsia="ＭＳ 明朝"/>
          <w:u w:val="none" w:color="auto"/>
        </w:rPr>
        <w:t xml:space="preserve"> </w:t>
      </w:r>
      <w:r>
        <w:rPr>
          <w:rFonts w:hint="eastAsia" w:ascii="ＭＳ 明朝" w:hAnsi="ＭＳ 明朝" w:eastAsia="ＭＳ 明朝"/>
          <w:u w:val="none" w:color="auto"/>
        </w:rPr>
        <w:t>暴力団（高知県暴力団排除条例（平成</w:t>
      </w:r>
      <w:r>
        <w:rPr>
          <w:rFonts w:hint="eastAsia" w:ascii="ＭＳ 明朝" w:hAnsi="ＭＳ 明朝" w:eastAsia="ＭＳ 明朝"/>
          <w:u w:val="none" w:color="auto"/>
        </w:rPr>
        <w:t>22</w:t>
      </w:r>
      <w:r>
        <w:rPr>
          <w:rFonts w:hint="eastAsia" w:ascii="ＭＳ 明朝" w:hAnsi="ＭＳ 明朝" w:eastAsia="ＭＳ 明朝"/>
          <w:u w:val="none" w:color="auto"/>
        </w:rPr>
        <w:t>年高知県条例第</w:t>
      </w:r>
      <w:r>
        <w:rPr>
          <w:rFonts w:hint="eastAsia" w:ascii="ＭＳ 明朝" w:hAnsi="ＭＳ 明朝" w:eastAsia="ＭＳ 明朝"/>
          <w:u w:val="none" w:color="auto"/>
        </w:rPr>
        <w:t>36</w:t>
      </w:r>
      <w:r>
        <w:rPr>
          <w:rFonts w:hint="eastAsia" w:ascii="ＭＳ 明朝" w:hAnsi="ＭＳ 明朝" w:eastAsia="ＭＳ 明朝"/>
          <w:u w:val="none" w:color="auto"/>
        </w:rPr>
        <w:t>号。以下この条において「暴排条例」という。）第２条第１号に規定する暴力団をいう。以下この条において同じ。）又は暴力団員等（同条第３号に規定する暴力団員等をいう。以下この条において同じ。）であるとき。</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（２）暴排条例第</w:t>
      </w:r>
      <w:r>
        <w:rPr>
          <w:rFonts w:hint="eastAsia" w:ascii="ＭＳ 明朝" w:hAnsi="ＭＳ 明朝" w:eastAsia="ＭＳ 明朝"/>
          <w:u w:val="none" w:color="auto"/>
        </w:rPr>
        <w:t>18</w:t>
      </w:r>
      <w:r>
        <w:rPr>
          <w:rFonts w:hint="eastAsia" w:ascii="ＭＳ 明朝" w:hAnsi="ＭＳ 明朝" w:eastAsia="ＭＳ 明朝"/>
          <w:u w:val="none" w:color="auto"/>
        </w:rPr>
        <w:t>条又は第</w:t>
      </w:r>
      <w:r>
        <w:rPr>
          <w:rFonts w:hint="eastAsia" w:ascii="ＭＳ 明朝" w:hAnsi="ＭＳ 明朝" w:eastAsia="ＭＳ 明朝"/>
          <w:u w:val="none" w:color="auto"/>
        </w:rPr>
        <w:t>19</w:t>
      </w:r>
      <w:r>
        <w:rPr>
          <w:rFonts w:hint="eastAsia" w:ascii="ＭＳ 明朝" w:hAnsi="ＭＳ 明朝" w:eastAsia="ＭＳ 明朝"/>
          <w:u w:val="none" w:color="auto"/>
        </w:rPr>
        <w:t>条の規定に違反した事実があるとき。</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（４）暴力団員等がその事業活動を支配しているとき。</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（５）暴力団員等をその業務に従事させ、又はその業務の補助者として使用しているとき。</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（６）暴力団又は暴力団員等がその経営又は運営に実質的に関与しているとき。</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（８）業務に関し、暴力団又は暴力団員等が経営又は運営に実質的に関与していると認められる者であることを知りながら、これを利用したとき。</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（９）その役員が、自己、その属する法人その他の団体若しくは第三者の利益を図り、又は第三者に損害を加えることを目的として、暴力団又は暴力団員等を利用したとき。</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10</w:t>
      </w:r>
      <w:r>
        <w:rPr>
          <w:rFonts w:hint="eastAsia" w:ascii="ＭＳ 明朝" w:hAnsi="ＭＳ 明朝" w:eastAsia="ＭＳ 明朝"/>
          <w:u w:val="none" w:color="auto"/>
        </w:rPr>
        <w:t>）その役員が暴力団又は暴力団員等と社会的に非難されるべき関係を有しているとき。</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（補助金の交付の決定の取消し）</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第６条　知事は、補助事業者が前条各号に掲げるいずれかに該当すると認めたときは、補助金の交付の決定の全部又は一部を取り消すことができる。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（補助の条件）</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第７条　補助事業者は、補助金の交付の目的を達成するため、次に掲げる事項を遵守しなければならない。</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（１）補助事業の執行に際しては、県が行う契約手続の取扱いに準じて行わなければならないこと。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２）補助事業を遂行するため、売買、請負その他の契約をする場合には、一般の競争に付さなければならないこと。ただし、補助事業の運営上、一般の競争に付すことが困難又は不適当である場合は、指名競争に付し、又は随意契約をすることができる。</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（３）補助事業が予定の期間内に完了しない場合又は補助事業の遂行が困難となった場合は、速やかに知事に報告し、その指示を受けなければならないこと。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（４）補助金に係る収入及び支出を明らかにした帳簿並びに当該収入</w:t>
      </w:r>
      <w:bookmarkStart w:id="0" w:name="_GoBack"/>
      <w:bookmarkEnd w:id="0"/>
      <w:r>
        <w:rPr>
          <w:rFonts w:hint="eastAsia" w:ascii="ＭＳ 明朝" w:hAnsi="ＭＳ 明朝" w:eastAsia="ＭＳ 明朝"/>
          <w:u w:val="none" w:color="auto"/>
        </w:rPr>
        <w:t>及び支出についての証拠書類を補助事業の終了の翌年度から起算して５年間保管しなければならないこと。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（５）補助事業により取得し、又は効用の増加した財産は善良な管理者の注意をもって適正に管理するとともに、補助金の交付の目的に従って効率的に運用しなければならないこと。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（６）補助事業により取得した財産は、原価償却資産の耐用年数等に関する省令（昭和</w:t>
      </w:r>
      <w:r>
        <w:rPr>
          <w:rFonts w:hint="eastAsia" w:ascii="ＭＳ 明朝" w:hAnsi="ＭＳ 明朝" w:eastAsia="ＭＳ 明朝"/>
          <w:u w:val="none" w:color="auto"/>
        </w:rPr>
        <w:t>40</w:t>
      </w:r>
      <w:r>
        <w:rPr>
          <w:rFonts w:hint="eastAsia" w:ascii="ＭＳ 明朝" w:hAnsi="ＭＳ 明朝" w:eastAsia="ＭＳ 明朝"/>
          <w:u w:val="none" w:color="auto"/>
        </w:rPr>
        <w:t>年大蔵省令第</w:t>
      </w:r>
      <w:r>
        <w:rPr>
          <w:rFonts w:hint="eastAsia" w:ascii="ＭＳ 明朝" w:hAnsi="ＭＳ 明朝" w:eastAsia="ＭＳ 明朝"/>
          <w:u w:val="none" w:color="auto"/>
        </w:rPr>
        <w:t>15</w:t>
      </w:r>
      <w:r>
        <w:rPr>
          <w:rFonts w:hint="eastAsia" w:ascii="ＭＳ 明朝" w:hAnsi="ＭＳ 明朝" w:eastAsia="ＭＳ 明朝"/>
          <w:u w:val="none" w:color="auto"/>
        </w:rPr>
        <w:t>号）に規定する耐用年数の期間内において、補助金の交付の目的に反して使用し、譲渡し、交換し、廃棄し、貸し付け、又は担保に供する場合は、事前に知事の承認を受けなければならないこと。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（７）前号の規定により知事の承認を得て財産を処分したことにより収入があった場合は、当該収入の全部又は一部を県に納付しなければならないこと。</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（８）県税の滞納がないこと。ただし、県税の納税義務がない場合は、別記第１号様式別紙２による申立書を提出しなければならない。</w:t>
      </w:r>
    </w:p>
    <w:p>
      <w:pPr>
        <w:pStyle w:val="0"/>
        <w:spacing w:line="350" w:lineRule="exact"/>
        <w:ind w:left="420" w:hanging="420" w:hangingChars="200"/>
        <w:rPr>
          <w:rFonts w:hint="eastAsia" w:ascii="ＭＳ 明朝" w:hAnsi="ＭＳ 明朝" w:eastAsia="ＭＳ 明朝"/>
          <w:u w:val="none" w:color="auto"/>
        </w:rPr>
      </w:pPr>
      <w:r>
        <w:rPr>
          <w:rFonts w:hint="eastAsia" w:ascii="ＭＳ 明朝" w:hAnsi="ＭＳ 明朝" w:eastAsia="ＭＳ 明朝"/>
          <w:u w:val="none" w:color="auto"/>
        </w:rPr>
        <w:t>（９）県に対する税外未収金債務の滞納がないこと。この場合において、県に対する税外未収金債務の滞納がないことについて、別記第１号様式別紙３の誓約書兼同意書を補助金交付申請時に提出しなければならない。</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（補助事業の重要な変更等）</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第８条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１</w:t>
      </w:r>
      <w:r>
        <w:rPr>
          <w:rFonts w:hint="eastAsia" w:ascii="ＭＳ 明朝" w:hAnsi="ＭＳ 明朝" w:eastAsia="ＭＳ 明朝"/>
          <w:u w:val="none" w:color="auto"/>
        </w:rPr>
        <w:t xml:space="preserve">) </w:t>
      </w:r>
      <w:r>
        <w:rPr>
          <w:rFonts w:hint="eastAsia" w:ascii="ＭＳ 明朝" w:hAnsi="ＭＳ 明朝" w:eastAsia="ＭＳ 明朝"/>
          <w:u w:val="none" w:color="auto"/>
        </w:rPr>
        <w:t>補助金額が増額となる場合</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２</w:t>
      </w:r>
      <w:r>
        <w:rPr>
          <w:rFonts w:hint="eastAsia" w:ascii="ＭＳ 明朝" w:hAnsi="ＭＳ 明朝" w:eastAsia="ＭＳ 明朝"/>
          <w:u w:val="none" w:color="auto"/>
        </w:rPr>
        <w:t xml:space="preserve">) </w:t>
      </w:r>
      <w:r>
        <w:rPr>
          <w:rFonts w:hint="eastAsia" w:ascii="ＭＳ 明朝" w:hAnsi="ＭＳ 明朝" w:eastAsia="ＭＳ 明朝"/>
          <w:u w:val="none" w:color="auto"/>
        </w:rPr>
        <w:t>補助金額の</w:t>
      </w:r>
      <w:r>
        <w:rPr>
          <w:rFonts w:hint="eastAsia" w:ascii="ＭＳ 明朝" w:hAnsi="ＭＳ 明朝" w:eastAsia="ＭＳ 明朝"/>
          <w:u w:val="none" w:color="auto"/>
        </w:rPr>
        <w:t>20</w:t>
      </w:r>
      <w:r>
        <w:rPr>
          <w:rFonts w:hint="eastAsia" w:ascii="ＭＳ 明朝" w:hAnsi="ＭＳ 明朝" w:eastAsia="ＭＳ 明朝"/>
          <w:u w:val="none" w:color="auto"/>
        </w:rPr>
        <w:t>パーセントを超えて減額する場合</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３</w:t>
      </w:r>
      <w:r>
        <w:rPr>
          <w:rFonts w:hint="eastAsia" w:ascii="ＭＳ 明朝" w:hAnsi="ＭＳ 明朝" w:eastAsia="ＭＳ 明朝"/>
          <w:u w:val="none" w:color="auto"/>
        </w:rPr>
        <w:t xml:space="preserve">) </w:t>
      </w:r>
      <w:r>
        <w:rPr>
          <w:rFonts w:hint="eastAsia" w:ascii="ＭＳ 明朝" w:hAnsi="ＭＳ 明朝" w:eastAsia="ＭＳ 明朝"/>
          <w:u w:val="none" w:color="auto"/>
        </w:rPr>
        <w:t>補助事業を中止し、又は廃止しようとする場合</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（補助金の概算払の請求）</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第９条　補助事業者は、補助金の概算払を請求しようとするときは、別記第３号様式による概算払請求書を１部知事に提出しなければならない。</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（実績報告等）</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10</w:t>
      </w:r>
      <w:r>
        <w:rPr>
          <w:rFonts w:hint="eastAsia" w:ascii="ＭＳ 明朝" w:hAnsi="ＭＳ 明朝" w:eastAsia="ＭＳ 明朝"/>
          <w:u w:val="none" w:color="auto"/>
        </w:rPr>
        <w:t>条　補助事業者は、補助事業が完了したときは、補助事業の完了の日若しくは廃止の承認を受けた日から起算して</w:t>
      </w:r>
      <w:r>
        <w:rPr>
          <w:rFonts w:hint="eastAsia" w:ascii="ＭＳ 明朝" w:hAnsi="ＭＳ 明朝" w:eastAsia="ＭＳ 明朝"/>
          <w:u w:val="none" w:color="auto"/>
        </w:rPr>
        <w:t>30</w:t>
      </w:r>
      <w:r>
        <w:rPr>
          <w:rFonts w:hint="eastAsia" w:ascii="ＭＳ 明朝" w:hAnsi="ＭＳ 明朝" w:eastAsia="ＭＳ 明朝"/>
          <w:u w:val="none" w:color="auto"/>
        </w:rPr>
        <w:t>日を経過した日又は当該年度の３月</w:t>
      </w:r>
      <w:r>
        <w:rPr>
          <w:rFonts w:hint="eastAsia" w:ascii="ＭＳ 明朝" w:hAnsi="ＭＳ 明朝" w:eastAsia="ＭＳ 明朝"/>
          <w:u w:val="none" w:color="auto"/>
        </w:rPr>
        <w:t>31</w:t>
      </w:r>
      <w:r>
        <w:rPr>
          <w:rFonts w:hint="eastAsia" w:ascii="ＭＳ 明朝" w:hAnsi="ＭＳ 明朝" w:eastAsia="ＭＳ 明朝"/>
          <w:u w:val="none" w:color="auto"/>
        </w:rPr>
        <w:t>日のいずれか早い日までに別記第４号様式による実績報告書１部を知事に提出しなければならない。ただし、これにより難い場合は、翌年度の４月</w:t>
      </w:r>
      <w:r>
        <w:rPr>
          <w:rFonts w:hint="eastAsia" w:ascii="ＭＳ 明朝" w:hAnsi="ＭＳ 明朝" w:eastAsia="ＭＳ 明朝"/>
          <w:u w:val="none" w:color="auto"/>
        </w:rPr>
        <w:t>15</w:t>
      </w:r>
      <w:r>
        <w:rPr>
          <w:rFonts w:hint="eastAsia" w:ascii="ＭＳ 明朝" w:hAnsi="ＭＳ 明朝" w:eastAsia="ＭＳ 明朝"/>
          <w:u w:val="none" w:color="auto"/>
        </w:rPr>
        <w:t>日までに提出しなければならない。</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２　補助事業者は、第４条第２項ただし書の規定により補助金の交付を申請した場合は、前項の実績報告書の提出に当たり、当該補助金に係る消費税仕入控除税額等が明らかになったときは、これを補助金額から減額して報告しなければならない。</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３　補助事業者は、第４条第２項ただし書の規定により補助金の交付を申請した場合は、第１項の実績報告書を提出した後に、消費税及び地方消費税の申告により当該補助金に係る消費税仕入控除税額等が確定したときは、その金額を別記第５号様式により、速やかに知事に報告するとともに、当該金額を知事に返還しなければならない。</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（補助金額の確定）</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11</w:t>
      </w:r>
      <w:r>
        <w:rPr>
          <w:rFonts w:hint="eastAsia" w:ascii="ＭＳ 明朝" w:hAnsi="ＭＳ 明朝" w:eastAsia="ＭＳ 明朝"/>
          <w:u w:val="none" w:color="auto"/>
        </w:rPr>
        <w:t>条　知事は、前条第１項の規定による報告を受けた場合は、報告書の書類審査及び必要に応じて現地調査を行い、その報告に係る補助事業の成果が補助金の交付の決定内容及びこれに付した条件に適合すると認めた場合は、交付すべき補助金の額を確定し、当該補助事業者に通知するものと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（遂行状況の報告等）</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12</w:t>
      </w:r>
      <w:r>
        <w:rPr>
          <w:rFonts w:hint="eastAsia" w:ascii="ＭＳ 明朝" w:hAnsi="ＭＳ 明朝" w:eastAsia="ＭＳ 明朝"/>
          <w:u w:val="none" w:color="auto"/>
        </w:rPr>
        <w:t>条　知事は、必要があると認めるときは、補助事業者に対し、補助事業の遂行状況の報告を求め、又は必要な調査を行うことができる。</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（グリーン購入）</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13</w:t>
      </w:r>
      <w:r>
        <w:rPr>
          <w:rFonts w:hint="eastAsia" w:ascii="ＭＳ 明朝" w:hAnsi="ＭＳ 明朝" w:eastAsia="ＭＳ 明朝"/>
          <w:u w:val="none" w:color="auto"/>
        </w:rPr>
        <w:t>条　補助事業者は、補助事業の実施において物品等を調達する場合は、県が定める「高知県グリーン購入基本方針」に基づき環境物品等の調達に努めるものとする。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（情報の開示）</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14</w:t>
      </w:r>
      <w:r>
        <w:rPr>
          <w:rFonts w:hint="eastAsia" w:ascii="ＭＳ 明朝" w:hAnsi="ＭＳ 明朝" w:eastAsia="ＭＳ 明朝"/>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（委任）</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第</w:t>
      </w:r>
      <w:r>
        <w:rPr>
          <w:rFonts w:hint="eastAsia" w:ascii="ＭＳ 明朝" w:hAnsi="ＭＳ 明朝" w:eastAsia="ＭＳ 明朝"/>
          <w:u w:val="none" w:color="auto"/>
        </w:rPr>
        <w:t>15</w:t>
      </w:r>
      <w:r>
        <w:rPr>
          <w:rFonts w:hint="eastAsia" w:ascii="ＭＳ 明朝" w:hAnsi="ＭＳ 明朝" w:eastAsia="ＭＳ 明朝"/>
          <w:u w:val="none" w:color="auto"/>
        </w:rPr>
        <w:t>条　この要綱に定めるもののほか、補助金の交付に関し必要な事項は、知事が別に定める。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附　則</w:t>
      </w:r>
    </w:p>
    <w:p>
      <w:pPr>
        <w:pStyle w:val="0"/>
        <w:spacing w:line="350" w:lineRule="exact"/>
        <w:rPr>
          <w:rFonts w:hint="eastAsia" w:ascii="ＭＳ 明朝" w:hAnsi="ＭＳ 明朝" w:eastAsia="ＭＳ 明朝"/>
          <w:u w:val="none" w:color="auto"/>
        </w:rPr>
      </w:pPr>
      <w:r>
        <w:rPr>
          <w:rFonts w:hint="eastAsia" w:ascii="ＭＳ 明朝" w:hAnsi="ＭＳ 明朝" w:eastAsia="ＭＳ 明朝"/>
          <w:u w:val="none" w:color="auto"/>
        </w:rPr>
        <w:t>１　この要綱は、令和７年４月１日から施行する。</w:t>
      </w:r>
    </w:p>
    <w:p>
      <w:pPr>
        <w:pStyle w:val="0"/>
        <w:spacing w:line="350" w:lineRule="exact"/>
        <w:ind w:left="210" w:hanging="210" w:hangingChars="100"/>
        <w:rPr>
          <w:rFonts w:hint="eastAsia" w:ascii="ＭＳ 明朝" w:hAnsi="ＭＳ 明朝" w:eastAsia="ＭＳ 明朝"/>
          <w:u w:val="none" w:color="auto"/>
        </w:rPr>
      </w:pPr>
      <w:r>
        <w:rPr>
          <w:rFonts w:hint="eastAsia" w:ascii="ＭＳ 明朝" w:hAnsi="ＭＳ 明朝" w:eastAsia="ＭＳ 明朝"/>
          <w:u w:val="none" w:color="auto"/>
        </w:rPr>
        <w:t>２　この要綱は、令和</w:t>
      </w:r>
      <w:r>
        <w:rPr>
          <w:rFonts w:hint="eastAsia" w:ascii="ＭＳ 明朝" w:hAnsi="ＭＳ 明朝" w:eastAsia="ＭＳ 明朝"/>
          <w:color w:val="000000" w:themeColor="text1"/>
          <w:u w:val="none" w:color="auto"/>
        </w:rPr>
        <w:t>８</w:t>
      </w:r>
      <w:r>
        <w:rPr>
          <w:rFonts w:hint="eastAsia" w:ascii="ＭＳ 明朝" w:hAnsi="ＭＳ 明朝" w:eastAsia="ＭＳ 明朝"/>
          <w:u w:val="none" w:color="auto"/>
        </w:rPr>
        <w:t>年５月</w:t>
      </w:r>
      <w:r>
        <w:rPr>
          <w:rFonts w:hint="eastAsia" w:ascii="ＭＳ 明朝" w:hAnsi="ＭＳ 明朝" w:eastAsia="ＭＳ 明朝"/>
          <w:u w:val="none" w:color="auto"/>
        </w:rPr>
        <w:t>31</w:t>
      </w:r>
      <w:r>
        <w:rPr>
          <w:rFonts w:hint="eastAsia" w:ascii="ＭＳ 明朝" w:hAnsi="ＭＳ 明朝" w:eastAsia="ＭＳ 明朝"/>
          <w:u w:val="none" w:color="auto"/>
        </w:rPr>
        <w:t>日限り、その効力を失う。ただし、この要綱に基づき交付された補助金については、第６条、第７条第４号から第７号まで、第</w:t>
      </w:r>
      <w:r>
        <w:rPr>
          <w:rFonts w:hint="eastAsia" w:ascii="ＭＳ 明朝" w:hAnsi="ＭＳ 明朝" w:eastAsia="ＭＳ 明朝"/>
          <w:u w:val="none" w:color="auto"/>
        </w:rPr>
        <w:t>10</w:t>
      </w:r>
      <w:r>
        <w:rPr>
          <w:rFonts w:hint="eastAsia" w:ascii="ＭＳ 明朝" w:hAnsi="ＭＳ 明朝" w:eastAsia="ＭＳ 明朝"/>
          <w:u w:val="none" w:color="auto"/>
        </w:rPr>
        <w:t>条第３項、第</w:t>
      </w:r>
      <w:r>
        <w:rPr>
          <w:rFonts w:hint="eastAsia" w:ascii="ＭＳ 明朝" w:hAnsi="ＭＳ 明朝" w:eastAsia="ＭＳ 明朝"/>
          <w:u w:val="none" w:color="auto"/>
        </w:rPr>
        <w:t>12</w:t>
      </w:r>
      <w:r>
        <w:rPr>
          <w:rFonts w:hint="eastAsia" w:ascii="ＭＳ 明朝" w:hAnsi="ＭＳ 明朝" w:eastAsia="ＭＳ 明朝"/>
          <w:u w:val="none" w:color="auto"/>
        </w:rPr>
        <w:t>条及び第</w:t>
      </w:r>
      <w:r>
        <w:rPr>
          <w:rFonts w:hint="eastAsia" w:ascii="ＭＳ 明朝" w:hAnsi="ＭＳ 明朝" w:eastAsia="ＭＳ 明朝"/>
          <w:u w:val="none" w:color="auto"/>
        </w:rPr>
        <w:t>14</w:t>
      </w:r>
      <w:r>
        <w:rPr>
          <w:rFonts w:hint="eastAsia" w:ascii="ＭＳ 明朝" w:hAnsi="ＭＳ 明朝" w:eastAsia="ＭＳ 明朝"/>
          <w:u w:val="none" w:color="auto"/>
        </w:rPr>
        <w:t>条の規定は、同日以降もなおその効力を有する。</w:t>
      </w:r>
    </w:p>
    <w:p>
      <w:pPr>
        <w:pStyle w:val="0"/>
        <w:spacing w:line="350" w:lineRule="exact"/>
        <w:rPr>
          <w:rFonts w:hint="eastAsia" w:ascii="ＭＳ 明朝" w:hAnsi="ＭＳ 明朝" w:eastAsia="ＭＳ 明朝"/>
          <w:u w:val="none" w:color="auto"/>
        </w:rPr>
      </w:pPr>
    </w:p>
    <w:p>
      <w:pPr>
        <w:pStyle w:val="0"/>
        <w:spacing w:line="350" w:lineRule="exact"/>
        <w:rPr>
          <w:rFonts w:hint="eastAsia" w:ascii="ＭＳ 明朝" w:hAnsi="ＭＳ 明朝" w:eastAsia="ＭＳ 明朝"/>
          <w:u w:val="single" w:color="auto"/>
        </w:rPr>
      </w:pP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1005</TotalTime>
  <Pages>4</Pages>
  <Words>27</Words>
  <Characters>3714</Characters>
  <Application>JUST Note</Application>
  <Lines>138</Lines>
  <Paragraphs>60</Paragraphs>
  <CharactersWithSpaces>3741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468701</cp:lastModifiedBy>
  <cp:lastPrinted>2025-02-25T01:38:25Z</cp:lastPrinted>
  <dcterms:modified xsi:type="dcterms:W3CDTF">2025-02-25T01:41:22Z</dcterms:modified>
  <cp:revision>10</cp:revision>
</cp:coreProperties>
</file>