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left="2920" w:leftChars="1000" w:right="2920" w:rightChars="1000"/>
        <w:jc w:val="distribute"/>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規則</w:t>
      </w:r>
    </w:p>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firstLine="292" w:firstLineChars="100"/>
        <w:rPr>
          <w:rFonts w:hint="eastAsia"/>
        </w:rPr>
      </w:pPr>
      <w:r>
        <w:rPr>
          <w:rFonts w:hint="eastAsia"/>
        </w:rPr>
        <w:t>高知県南海トラフ地震による災害に強い地域社会づくり条例施行規則の一部を改正する規則をここに公布する。</w:t>
      </w:r>
    </w:p>
    <w:p>
      <w:pPr>
        <w:pStyle w:val="0"/>
        <w:overflowPunct w:val="0"/>
        <w:autoSpaceDE w:val="0"/>
        <w:autoSpaceDN w:val="0"/>
        <w:ind w:firstLine="584" w:firstLineChars="200"/>
        <w:rPr>
          <w:rFonts w:hint="eastAsia"/>
        </w:rPr>
      </w:pPr>
      <w:r>
        <w:rPr>
          <w:rFonts w:hint="eastAsia"/>
        </w:rPr>
        <w:t>令和７年９月</w:t>
      </w:r>
      <w:r>
        <w:rPr>
          <w:rFonts w:hint="eastAsia"/>
        </w:rPr>
        <w:t>30</w:t>
      </w:r>
      <w:r>
        <w:rPr>
          <w:rFonts w:hint="eastAsia"/>
        </w:rPr>
        <w:t>日</w:t>
      </w:r>
    </w:p>
    <w:p>
      <w:pPr>
        <w:pStyle w:val="0"/>
        <w:overflowPunct w:val="0"/>
        <w:autoSpaceDE w:val="0"/>
        <w:autoSpaceDN w:val="0"/>
        <w:ind w:firstLine="4999" w:firstLineChars="1712"/>
        <w:rPr>
          <w:rFonts w:hint="eastAsia"/>
        </w:rPr>
      </w:pPr>
      <w:r>
        <w:rPr>
          <w:rFonts w:hint="eastAsia"/>
        </w:rPr>
        <w:t>高知県知事　濵田　省司</w:t>
      </w:r>
    </w:p>
    <w:p>
      <w:pPr>
        <w:pStyle w:val="0"/>
        <w:overflowPunct w:val="0"/>
        <w:autoSpaceDE w:val="0"/>
        <w:autoSpaceDN w:val="0"/>
        <w:rPr>
          <w:rFonts w:hint="eastAsia" w:ascii="ＭＳ ゴシック" w:hAnsi="ＭＳ ゴシック" w:eastAsia="ＭＳ ゴシック"/>
          <w:b w:val="1"/>
        </w:rPr>
      </w:pPr>
      <w:r>
        <w:rPr>
          <w:rFonts w:hint="eastAsia" w:ascii="ＭＳ ゴシック" w:hAnsi="ＭＳ ゴシック" w:eastAsia="ＭＳ ゴシック"/>
          <w:b w:val="1"/>
        </w:rPr>
        <w:t>高知県規則第　号</w:t>
      </w:r>
    </w:p>
    <w:p>
      <w:pPr>
        <w:pStyle w:val="0"/>
        <w:overflowPunct w:val="0"/>
        <w:autoSpaceDE w:val="0"/>
        <w:autoSpaceDN w:val="0"/>
        <w:ind w:left="876" w:leftChars="300" w:right="292" w:rightChars="100" w:firstLineChars="0"/>
        <w:rPr>
          <w:rFonts w:hint="eastAsia" w:ascii="ＭＳ ゴシック" w:hAnsi="ＭＳ ゴシック" w:eastAsia="ＭＳ ゴシック"/>
          <w:b w:val="1"/>
        </w:rPr>
      </w:pPr>
      <w:r>
        <w:rPr>
          <w:rFonts w:hint="eastAsia" w:ascii="ＭＳ ゴシック" w:hAnsi="ＭＳ ゴシック" w:eastAsia="ＭＳ ゴシック"/>
          <w:b w:val="1"/>
        </w:rPr>
        <w:t>高知県南海トラフ地震による災害に強い地域社会づくり条例施行規則の一部を改正する規則</w:t>
      </w:r>
    </w:p>
    <w:p>
      <w:pPr>
        <w:pStyle w:val="0"/>
        <w:overflowPunct w:val="0"/>
        <w:autoSpaceDE w:val="0"/>
        <w:autoSpaceDN w:val="0"/>
        <w:ind w:firstLine="292" w:firstLineChars="100"/>
        <w:rPr>
          <w:rFonts w:hint="default"/>
          <w:kern w:val="22"/>
          <w:highlight w:val="none"/>
        </w:rPr>
      </w:pPr>
      <w:r>
        <w:rPr>
          <w:rFonts w:hint="eastAsia"/>
        </w:rPr>
        <w:t>高知県南海トラフ地震による災害に強い地域社会づくり条例施行規則（平成</w:t>
      </w:r>
      <w:r>
        <w:rPr>
          <w:rFonts w:hint="eastAsia"/>
        </w:rPr>
        <w:t>20</w:t>
      </w:r>
      <w:r>
        <w:rPr>
          <w:rFonts w:hint="eastAsia"/>
        </w:rPr>
        <w:t>年高知県規則第</w:t>
      </w:r>
      <w:r>
        <w:rPr>
          <w:rFonts w:hint="eastAsia"/>
        </w:rPr>
        <w:t>32</w:t>
      </w:r>
      <w:r>
        <w:rPr>
          <w:rFonts w:hint="eastAsia"/>
        </w:rPr>
        <w:t>号）の一部を次のように改正する。</w:t>
      </w:r>
    </w:p>
    <w:p>
      <w:pPr>
        <w:pStyle w:val="0"/>
        <w:overflowPunct w:val="0"/>
        <w:autoSpaceDE w:val="0"/>
        <w:autoSpaceDN w:val="0"/>
        <w:ind w:firstLine="292" w:firstLineChars="100"/>
        <w:rPr>
          <w:rFonts w:hint="eastAsia"/>
          <w:kern w:val="22"/>
        </w:rPr>
      </w:pPr>
      <w:r>
        <w:rPr>
          <w:rFonts w:hint="eastAsia"/>
        </w:rPr>
        <w:t>第５条第１号中「第</w:t>
      </w:r>
      <w:r>
        <w:rPr>
          <w:rFonts w:hint="eastAsia"/>
        </w:rPr>
        <w:t>12</w:t>
      </w:r>
      <w:r>
        <w:rPr>
          <w:rFonts w:hint="eastAsia"/>
        </w:rPr>
        <w:t>条の４の児童相談所の児童を一時保護する施設」を「第</w:t>
      </w:r>
      <w:r>
        <w:rPr>
          <w:rFonts w:hint="eastAsia"/>
        </w:rPr>
        <w:t>12</w:t>
      </w:r>
      <w:r>
        <w:rPr>
          <w:rFonts w:hint="eastAsia"/>
        </w:rPr>
        <w:t>条の４第１項に規定する一時保護施設」に改め、同条第７号中「同条第</w:t>
      </w:r>
      <w:r>
        <w:rPr>
          <w:rFonts w:hint="eastAsia"/>
        </w:rPr>
        <w:t>13</w:t>
      </w:r>
      <w:r>
        <w:rPr>
          <w:rFonts w:hint="eastAsia"/>
        </w:rPr>
        <w:t>項」を「同条第</w:t>
      </w:r>
      <w:r>
        <w:rPr>
          <w:rFonts w:hint="eastAsia"/>
        </w:rPr>
        <w:t>14</w:t>
      </w:r>
      <w:r>
        <w:rPr>
          <w:rFonts w:hint="eastAsia"/>
        </w:rPr>
        <w:t>項」に、「同条第</w:t>
      </w:r>
      <w:r>
        <w:rPr>
          <w:rFonts w:hint="eastAsia"/>
        </w:rPr>
        <w:t>14</w:t>
      </w:r>
      <w:r>
        <w:rPr>
          <w:rFonts w:hint="eastAsia"/>
        </w:rPr>
        <w:t>項」を「同条第</w:t>
      </w:r>
      <w:r>
        <w:rPr>
          <w:rFonts w:hint="eastAsia"/>
        </w:rPr>
        <w:t>15</w:t>
      </w:r>
      <w:r>
        <w:rPr>
          <w:rFonts w:hint="eastAsia"/>
        </w:rPr>
        <w:t>項」に、「同条第</w:t>
      </w:r>
      <w:r>
        <w:rPr>
          <w:rFonts w:hint="eastAsia"/>
        </w:rPr>
        <w:t>17</w:t>
      </w:r>
      <w:r>
        <w:rPr>
          <w:rFonts w:hint="eastAsia"/>
        </w:rPr>
        <w:t>項」を「同条第</w:t>
      </w:r>
      <w:r>
        <w:rPr>
          <w:rFonts w:hint="eastAsia"/>
        </w:rPr>
        <w:t>18</w:t>
      </w:r>
      <w:r>
        <w:rPr>
          <w:rFonts w:hint="eastAsia"/>
        </w:rPr>
        <w:t>項」に、「同条第</w:t>
      </w:r>
      <w:r>
        <w:rPr>
          <w:rFonts w:hint="eastAsia"/>
        </w:rPr>
        <w:t>27</w:t>
      </w:r>
      <w:r>
        <w:rPr>
          <w:rFonts w:hint="eastAsia"/>
        </w:rPr>
        <w:t>項」を「同条第</w:t>
      </w:r>
      <w:r>
        <w:rPr>
          <w:rFonts w:hint="eastAsia"/>
        </w:rPr>
        <w:t>28</w:t>
      </w:r>
      <w:r>
        <w:rPr>
          <w:rFonts w:hint="eastAsia"/>
        </w:rPr>
        <w:t>項」に、「同条第</w:t>
      </w:r>
      <w:r>
        <w:rPr>
          <w:rFonts w:hint="eastAsia"/>
        </w:rPr>
        <w:t>28</w:t>
      </w:r>
      <w:r>
        <w:rPr>
          <w:rFonts w:hint="eastAsia"/>
        </w:rPr>
        <w:t>項」を「同条第</w:t>
      </w:r>
      <w:r>
        <w:rPr>
          <w:rFonts w:hint="eastAsia"/>
        </w:rPr>
        <w:t>29</w:t>
      </w:r>
      <w:r>
        <w:rPr>
          <w:rFonts w:hint="eastAsia"/>
        </w:rPr>
        <w:t>項」に改める。</w:t>
      </w:r>
    </w:p>
    <w:p>
      <w:pPr>
        <w:pStyle w:val="0"/>
        <w:overflowPunct w:val="0"/>
        <w:autoSpaceDE w:val="0"/>
        <w:autoSpaceDN w:val="0"/>
        <w:ind w:firstLine="876" w:firstLineChars="300"/>
        <w:rPr>
          <w:rFonts w:hint="eastAsia"/>
          <w:kern w:val="22"/>
        </w:rPr>
      </w:pPr>
      <w:r>
        <w:rPr>
          <w:rFonts w:hint="eastAsia" w:ascii="ＭＳ ゴシック" w:hAnsi="ＭＳ ゴシック" w:eastAsia="ＭＳ ゴシック"/>
          <w:b w:val="1"/>
          <w:kern w:val="22"/>
        </w:rPr>
        <w:t>附　則</w:t>
      </w:r>
    </w:p>
    <w:p>
      <w:pPr>
        <w:pStyle w:val="0"/>
        <w:overflowPunct w:val="0"/>
        <w:autoSpaceDE w:val="0"/>
        <w:autoSpaceDN w:val="0"/>
        <w:ind w:firstLine="292" w:firstLineChars="100"/>
        <w:rPr>
          <w:rFonts w:hint="eastAsia"/>
          <w:kern w:val="22"/>
        </w:rPr>
      </w:pPr>
      <w:r>
        <w:rPr>
          <w:rFonts w:hint="eastAsia"/>
          <w:kern w:val="22"/>
        </w:rPr>
        <w:t>この規則は、令和７</w:t>
      </w:r>
      <w:bookmarkStart w:id="0" w:name="_GoBack"/>
      <w:bookmarkEnd w:id="0"/>
      <w:r>
        <w:rPr>
          <w:rFonts w:hint="eastAsia"/>
          <w:kern w:val="22"/>
        </w:rPr>
        <w:t>年</w:t>
      </w:r>
      <w:r>
        <w:rPr>
          <w:rFonts w:hint="eastAsia"/>
          <w:kern w:val="22"/>
        </w:rPr>
        <w:t>10</w:t>
      </w:r>
      <w:r>
        <w:rPr>
          <w:rFonts w:hint="eastAsia"/>
          <w:kern w:val="22"/>
        </w:rPr>
        <w:t>月１日から施行する。</w:t>
      </w: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ind w:firstLine="292" w:firstLineChars="100"/>
        <w:rPr>
          <w:rFonts w:hint="default"/>
          <w:kern w:val="22"/>
        </w:rPr>
      </w:pPr>
    </w:p>
    <w:p>
      <w:pPr>
        <w:pStyle w:val="0"/>
        <w:overflowPunct w:val="0"/>
        <w:autoSpaceDE w:val="0"/>
        <w:autoSpaceDN w:val="0"/>
        <w:rPr>
          <w:rFonts w:hint="default"/>
          <w:kern w:val="22"/>
        </w:rPr>
      </w:pPr>
      <w:r>
        <w:rPr>
          <w:rFonts w:hint="eastAsia"/>
          <w:kern w:val="22"/>
        </w:rPr>
        <w:t>規　則</w:t>
      </w:r>
    </w:p>
    <w:p>
      <w:pPr>
        <w:pStyle w:val="0"/>
        <w:overflowPunct w:val="0"/>
        <w:autoSpaceDE w:val="0"/>
        <w:autoSpaceDN w:val="0"/>
        <w:ind w:left="584" w:leftChars="100" w:right="876" w:rightChars="300" w:hanging="292" w:hangingChars="100"/>
        <w:rPr>
          <w:rFonts w:hint="default"/>
          <w:kern w:val="22"/>
        </w:rPr>
      </w:pPr>
      <w:r>
        <w:rPr>
          <w:rFonts w:hint="eastAsia"/>
          <w:kern w:val="22"/>
        </w:rPr>
        <w:t>◎高知県南海トラフ地震による災害に強い地域社会づくり条例施行規則の一部を改正する規則</w:t>
      </w:r>
    </w:p>
    <w:p>
      <w:pPr>
        <w:pStyle w:val="0"/>
        <w:overflowPunct w:val="0"/>
        <w:autoSpaceDE w:val="0"/>
        <w:autoSpaceDN w:val="0"/>
        <w:ind w:left="584" w:leftChars="100" w:right="876" w:rightChars="300" w:hanging="292" w:hangingChars="100"/>
        <w:rPr>
          <w:rFonts w:hint="default"/>
          <w:kern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pPr>
    <w:rPr>
      <w:rFonts w:ascii="ＭＳ ゴシック" w:hAnsi="ＭＳ ゴシック" w:eastAsia="ＭＳ ゴシック"/>
      <w:b w:val="1"/>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rFonts w:ascii="ＭＳ 明朝" w:hAnsi="ＭＳ 明朝"/>
      <w:kern w:val="22"/>
      <w:sz w:val="22"/>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rFonts w:ascii="ＭＳ 明朝" w:hAnsi="ＭＳ 明朝"/>
      <w:kern w:val="22"/>
      <w:sz w:val="22"/>
    </w:rPr>
  </w:style>
  <w:style w:type="character" w:styleId="20">
    <w:name w:val="Hyperlink"/>
    <w:next w:val="20"/>
    <w:link w:val="0"/>
    <w:uiPriority w:val="0"/>
    <w:rPr>
      <w:color w:val="0000FF"/>
      <w:u w:val="single" w:color="auto"/>
    </w:rPr>
  </w:style>
  <w:style w:type="paragraph" w:styleId="21" w:customStyle="1">
    <w:name w:val="改正文段落ブロックスタイル_通常_indent0"/>
    <w:basedOn w:val="0"/>
    <w:next w:val="21"/>
    <w:link w:val="0"/>
    <w:uiPriority w:val="0"/>
    <w:pPr>
      <w:widowControl w:val="1"/>
      <w:ind w:firstLine="100" w:firstLineChars="100"/>
      <w:jc w:val="left"/>
    </w:pPr>
    <w:rPr>
      <w:kern w:val="0"/>
    </w:rPr>
  </w:style>
  <w:style w:type="paragraph" w:styleId="22" w:customStyle="1">
    <w:name w:val="項ブロックスタイル_通常_項建て単項以外"/>
    <w:basedOn w:val="0"/>
    <w:next w:val="22"/>
    <w:link w:val="0"/>
    <w:uiPriority w:val="0"/>
    <w:pPr>
      <w:widowControl w:val="1"/>
      <w:ind w:hanging="100" w:hangingChars="100"/>
      <w:jc w:val="left"/>
    </w:pPr>
    <w:rPr>
      <w:kern w:val="0"/>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rPr>
  </w:style>
  <w:style w:type="paragraph" w:styleId="24" w:customStyle="1">
    <w:name w:val="別系ブロックスタイル_通常"/>
    <w:basedOn w:val="0"/>
    <w:next w:val="24"/>
    <w:link w:val="0"/>
    <w:uiPriority w:val="0"/>
    <w:pPr>
      <w:widowControl w:val="1"/>
      <w:jc w:val="left"/>
    </w:pPr>
    <w:rPr>
      <w:kern w:val="0"/>
    </w:rPr>
  </w:style>
  <w:style w:type="paragraph" w:styleId="25" w:customStyle="1">
    <w:name w:val="枠名ブロックスタイル_通常"/>
    <w:basedOn w:val="0"/>
    <w:next w:val="25"/>
    <w:link w:val="0"/>
    <w:uiPriority w:val="0"/>
    <w:pPr>
      <w:widowControl w:val="1"/>
      <w:ind w:left="100" w:leftChars="100"/>
      <w:jc w:val="left"/>
    </w:pPr>
    <w:rPr>
      <w:kern w:val="0"/>
    </w:rPr>
  </w:style>
  <w:style w:type="paragraph" w:styleId="26" w:customStyle="1">
    <w:name w:val="様式内容ブロックスタイル_通常"/>
    <w:basedOn w:val="0"/>
    <w:next w:val="26"/>
    <w:link w:val="0"/>
    <w:uiPriority w:val="0"/>
    <w:pPr>
      <w:widowControl w:val="1"/>
      <w:ind w:left="100" w:leftChars="100"/>
      <w:jc w:val="left"/>
    </w:pPr>
    <w:rPr>
      <w:kern w:val="0"/>
    </w:rPr>
  </w:style>
  <w:style w:type="paragraph" w:styleId="27" w:customStyle="1">
    <w:name w:val="見出しブロックスタイル_通常"/>
    <w:basedOn w:val="0"/>
    <w:next w:val="27"/>
    <w:link w:val="0"/>
    <w:uiPriority w:val="0"/>
    <w:pPr>
      <w:widowControl w:val="1"/>
      <w:ind w:left="100" w:leftChars="100" w:hanging="100" w:hanging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paragraph" w:styleId="30" w:customStyle="1">
    <w:name w:val="題名ブロックスタイル_通常"/>
    <w:basedOn w:val="0"/>
    <w:next w:val="30"/>
    <w:link w:val="0"/>
    <w:uiPriority w:val="0"/>
    <w:pPr>
      <w:widowControl w:val="1"/>
      <w:ind w:left="300" w:leftChars="300"/>
      <w:jc w:val="left"/>
    </w:pPr>
    <w:rPr>
      <w:kern w:val="0"/>
    </w:rPr>
  </w:style>
  <w:style w:type="paragraph" w:styleId="31">
    <w:name w:val="Date"/>
    <w:basedOn w:val="0"/>
    <w:next w:val="0"/>
    <w:link w:val="32"/>
    <w:uiPriority w:val="0"/>
  </w:style>
  <w:style w:type="character" w:styleId="32" w:customStyle="1">
    <w:name w:val="日付 (文字)"/>
    <w:next w:val="32"/>
    <w:link w:val="31"/>
    <w:uiPriority w:val="0"/>
    <w:rPr>
      <w:rFonts w:ascii="ＭＳ 明朝" w:hAnsi="ＭＳ 明朝"/>
      <w:kern w:val="2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13080</TotalTime>
  <Pages>4</Pages>
  <Words>75</Words>
  <Characters>2048</Characters>
  <Application>JUST Note</Application>
  <Lines>133</Lines>
  <Paragraphs>62</Paragraphs>
  <Company>高知県</Company>
  <CharactersWithSpaces>2087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高知県</dc:creator>
  <cp:lastModifiedBy>446349</cp:lastModifiedBy>
  <cp:lastPrinted>2025-07-08T06:00:06Z</cp:lastPrinted>
  <dcterms:created xsi:type="dcterms:W3CDTF">2019-06-18T07:19:00Z</dcterms:created>
  <dcterms:modified xsi:type="dcterms:W3CDTF">2025-07-25T02:56:32Z</dcterms:modified>
  <cp:revision>115</cp:revision>
</cp:coreProperties>
</file>