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6510" w:firstLineChars="3100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高知県水産振興部漁業管理課　行</w:t>
      </w:r>
      <w:r>
        <w:rPr>
          <w:rFonts w:hint="eastAsia"/>
          <w:sz w:val="24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○うなぎ稚魚漁業の許可方針の一部改正について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400"/>
      </w:tblGrid>
      <w:tr>
        <w:trPr>
          <w:trHeight w:val="705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79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6747" w:hRule="atLeast"/>
        </w:trPr>
        <w:tc>
          <w:tcPr>
            <w:tcW w:w="79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28</Words>
  <Characters>160</Characters>
  <Application>JUST Note</Application>
  <Lines>1</Lines>
  <Paragraphs>1</Paragraphs>
  <Company>ioas</Company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509833</cp:lastModifiedBy>
  <cp:lastPrinted>2016-09-15T10:02:00Z</cp:lastPrinted>
  <dcterms:created xsi:type="dcterms:W3CDTF">2019-07-29T02:24:00Z</dcterms:created>
  <dcterms:modified xsi:type="dcterms:W3CDTF">2019-07-29T02:27:27Z</dcterms:modified>
  <cp:revision>3</cp:revision>
</cp:coreProperties>
</file>