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デジタルリテラシーを含むカリキュラムチェックシート</w:t>
      </w:r>
    </w:p>
    <w:p>
      <w:pPr>
        <w:pStyle w:val="0"/>
        <w:spacing w:line="240" w:lineRule="exact"/>
        <w:ind w:firstLine="22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2"/>
        </w:rPr>
        <w:t>下記の「デジタルリテラシーを含むカリキュラム例」の中から、就職先業界で必要なカリキュラムを検討の上、訓練コースの中で実施するものに、チェック欄にチェック（☑）を入れてください。下記の中に該当するものがない場合は、その他の欄に別紙「</w:t>
      </w:r>
      <w:r>
        <w:rPr>
          <w:rFonts w:hint="eastAsia" w:ascii="ＭＳ ゴシック" w:hAnsi="ＭＳ ゴシック" w:eastAsia="ＭＳ ゴシック"/>
          <w:sz w:val="22"/>
        </w:rPr>
        <w:t>DX</w:t>
      </w:r>
      <w:r>
        <w:rPr>
          <w:rFonts w:hint="eastAsia" w:ascii="ＭＳ ゴシック" w:hAnsi="ＭＳ ゴシック" w:eastAsia="ＭＳ ゴシック"/>
          <w:sz w:val="22"/>
        </w:rPr>
        <w:t>リテラシー標準の項目の一覧」を参考に検討したカリキュラム内容と該当項目の番号を記載してください。複数の欄にチェックしていただいても差し支えありません。</w:t>
      </w:r>
    </w:p>
    <w:tbl>
      <w:tblPr>
        <w:tblStyle w:val="29"/>
        <w:tblW w:w="10627" w:type="dxa"/>
        <w:tblInd w:w="0" w:type="dxa"/>
        <w:tblLayout w:type="fixed"/>
        <w:tblLook w:firstRow="1" w:lastRow="0" w:firstColumn="1" w:lastColumn="0" w:noHBand="0" w:noVBand="1" w:val="04A0"/>
      </w:tblPr>
      <w:tblGrid>
        <w:gridCol w:w="9067"/>
        <w:gridCol w:w="1560"/>
      </w:tblGrid>
      <w:tr>
        <w:trPr/>
        <w:tc>
          <w:tcPr>
            <w:tcW w:w="9067"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デジタルリテラシーを含むカリキュラムの例</w:t>
            </w:r>
          </w:p>
        </w:tc>
        <w:tc>
          <w:tcPr>
            <w:tcW w:w="1560" w:type="dxa"/>
            <w:vAlign w:val="top"/>
          </w:tcPr>
          <w:p>
            <w:pPr>
              <w:pStyle w:val="0"/>
              <w:ind w:left="160" w:hanging="160" w:hangingChars="100"/>
              <w:rPr>
                <w:rFonts w:hint="default" w:ascii="ＭＳ ゴシック" w:hAnsi="ＭＳ ゴシック" w:eastAsia="ＭＳ ゴシック"/>
                <w:sz w:val="22"/>
              </w:rPr>
            </w:pPr>
            <w:r>
              <w:rPr>
                <w:rFonts w:hint="eastAsia" w:ascii="ＭＳ ゴシック" w:hAnsi="ＭＳ ゴシック" w:eastAsia="ＭＳ ゴシック"/>
                <w:sz w:val="16"/>
              </w:rPr>
              <w:t>チェック欄（☑）</w:t>
            </w:r>
          </w:p>
        </w:tc>
      </w:tr>
      <w:tr>
        <w:trPr/>
        <w:tc>
          <w:tcPr>
            <w:tcW w:w="9067"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・就職先業界の社会課題とデータやデジタルによる解決【項目１】</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　　介護・美容・飲食・病院・流通等のデジタル活用による効率化の事例の紹介等</w:t>
            </w:r>
          </w:p>
        </w:tc>
        <w:tc>
          <w:tcPr>
            <w:tcW w:w="1560"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9067"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・就職先業界の顧客・ユーザーの行動変化と変化への対応【項目２】</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効果的な</w:t>
            </w:r>
            <w:r>
              <w:rPr>
                <w:rFonts w:hint="eastAsia" w:ascii="ＭＳ ゴシック" w:hAnsi="ＭＳ ゴシック" w:eastAsia="ＭＳ ゴシック"/>
                <w:sz w:val="22"/>
              </w:rPr>
              <w:t>SNS</w:t>
            </w:r>
            <w:r>
              <w:rPr>
                <w:rFonts w:hint="eastAsia" w:ascii="ＭＳ ゴシック" w:hAnsi="ＭＳ ゴシック" w:eastAsia="ＭＳ ゴシック"/>
                <w:sz w:val="22"/>
              </w:rPr>
              <w:t>広報の事例、データ・デジタル技術を活用した顧客・ユーザー行動の分析の紹介等</w:t>
            </w:r>
          </w:p>
        </w:tc>
        <w:tc>
          <w:tcPr>
            <w:tcW w:w="1560"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9067"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・就職先業界の顧客・ユーザーを取り巻くデジタルサービス【項目２】</w:t>
            </w:r>
          </w:p>
          <w:p>
            <w:pPr>
              <w:pStyle w:val="0"/>
              <w:ind w:left="210" w:leftChars="100" w:firstLine="220" w:firstLineChars="100"/>
              <w:rPr>
                <w:rFonts w:hint="default" w:ascii="ＭＳ ゴシック" w:hAnsi="ＭＳ ゴシック" w:eastAsia="ＭＳ ゴシック"/>
                <w:sz w:val="22"/>
              </w:rPr>
            </w:pPr>
            <w:r>
              <w:rPr>
                <w:rFonts w:hint="default" w:ascii="ＭＳ ゴシック" w:hAnsi="ＭＳ ゴシック" w:eastAsia="ＭＳ ゴシック"/>
                <w:sz w:val="22"/>
              </w:rPr>
              <w:t>e</w:t>
            </w:r>
            <w:r>
              <w:rPr>
                <w:rFonts w:hint="default" w:ascii="ＭＳ ゴシック" w:hAnsi="ＭＳ ゴシック" w:eastAsia="ＭＳ ゴシック"/>
                <w:sz w:val="22"/>
              </w:rPr>
              <w:t>コマース</w:t>
            </w:r>
            <w:r>
              <w:rPr>
                <w:rFonts w:hint="eastAsia" w:ascii="ＭＳ ゴシック" w:hAnsi="ＭＳ ゴシック" w:eastAsia="ＭＳ ゴシック"/>
                <w:sz w:val="22"/>
              </w:rPr>
              <w:t>、</w:t>
            </w:r>
            <w:r>
              <w:rPr>
                <w:rFonts w:hint="default" w:ascii="ＭＳ ゴシック" w:hAnsi="ＭＳ ゴシック" w:eastAsia="ＭＳ ゴシック"/>
                <w:sz w:val="22"/>
              </w:rPr>
              <w:t>デリバリーサービス</w:t>
            </w:r>
            <w:r>
              <w:rPr>
                <w:rFonts w:hint="eastAsia" w:ascii="ＭＳ ゴシック" w:hAnsi="ＭＳ ゴシック" w:eastAsia="ＭＳ ゴシック"/>
                <w:sz w:val="22"/>
              </w:rPr>
              <w:t>等の事例の紹介等</w:t>
            </w:r>
          </w:p>
        </w:tc>
        <w:tc>
          <w:tcPr>
            <w:tcW w:w="1560"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9067"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・就職先業界のデジタル技術の活用による競争環境変化の具体的事例【項目３】</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小売・流通業界・観光業界等の事例の紹介等</w:t>
            </w:r>
          </w:p>
        </w:tc>
        <w:tc>
          <w:tcPr>
            <w:tcW w:w="1560"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9067"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・就職先で想定されるハードウェア、ソフトウェアの活用【項目</w:t>
            </w:r>
            <w:r>
              <w:rPr>
                <w:rFonts w:hint="default" w:ascii="ＭＳ ゴシック" w:hAnsi="ＭＳ ゴシック" w:eastAsia="ＭＳ ゴシック"/>
                <w:sz w:val="22"/>
              </w:rPr>
              <w:t>10</w:t>
            </w:r>
            <w:r>
              <w:rPr>
                <w:rFonts w:hint="default" w:ascii="ＭＳ ゴシック" w:hAnsi="ＭＳ ゴシック" w:eastAsia="ＭＳ ゴシック"/>
                <w:sz w:val="22"/>
              </w:rPr>
              <w:t>】</w:t>
            </w:r>
          </w:p>
          <w:p>
            <w:pPr>
              <w:pStyle w:val="0"/>
              <w:ind w:left="210" w:leftChars="100"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スマートフォン、タブレット等のハードウェア、</w:t>
            </w:r>
            <w:r>
              <w:rPr>
                <w:rFonts w:hint="default" w:ascii="ＭＳ ゴシック" w:hAnsi="ＭＳ ゴシック" w:eastAsia="ＭＳ ゴシック"/>
                <w:sz w:val="22"/>
              </w:rPr>
              <w:t>Java</w:t>
            </w:r>
            <w:r>
              <w:rPr>
                <w:rFonts w:hint="default" w:ascii="ＭＳ ゴシック" w:hAnsi="ＭＳ ゴシック" w:eastAsia="ＭＳ ゴシック"/>
                <w:sz w:val="22"/>
              </w:rPr>
              <w:t>や</w:t>
            </w:r>
            <w:r>
              <w:rPr>
                <w:rFonts w:hint="default" w:ascii="ＭＳ ゴシック" w:hAnsi="ＭＳ ゴシック" w:eastAsia="ＭＳ ゴシック"/>
                <w:sz w:val="22"/>
              </w:rPr>
              <w:t>Python</w:t>
            </w:r>
            <w:r>
              <w:rPr>
                <w:rFonts w:hint="default" w:ascii="ＭＳ ゴシック" w:hAnsi="ＭＳ ゴシック" w:eastAsia="ＭＳ ゴシック"/>
                <w:sz w:val="22"/>
              </w:rPr>
              <w:t>等の代表的なプログラミング言語の特徴・利用方法等</w:t>
            </w:r>
          </w:p>
        </w:tc>
        <w:tc>
          <w:tcPr>
            <w:tcW w:w="1560" w:type="dxa"/>
            <w:vAlign w:val="center"/>
          </w:tcPr>
          <w:p>
            <w:pPr>
              <w:pStyle w:val="0"/>
              <w:jc w:val="center"/>
              <w:rPr>
                <w:rFonts w:hint="eastAsia" w:ascii="ＭＳ ゴシック" w:hAnsi="ＭＳ ゴシック" w:eastAsia="ＭＳ ゴシック"/>
                <w:sz w:val="24"/>
              </w:rPr>
            </w:pPr>
            <w:bookmarkStart w:id="0" w:name="_GoBack"/>
            <w:bookmarkEnd w:id="0"/>
            <w:r>
              <w:rPr>
                <w:rFonts w:hint="eastAsia" w:ascii="ＭＳ ゴシック" w:hAnsi="ＭＳ ゴシック" w:eastAsia="ＭＳ ゴシック"/>
                <w:sz w:val="24"/>
              </w:rPr>
              <w:t>□</w:t>
            </w:r>
          </w:p>
        </w:tc>
      </w:tr>
      <w:tr>
        <w:trPr/>
        <w:tc>
          <w:tcPr>
            <w:tcW w:w="9067"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・就職先で想定されるインターネットサービスの活用【項目</w:t>
            </w:r>
            <w:r>
              <w:rPr>
                <w:rFonts w:hint="eastAsia" w:ascii="ＭＳ ゴシック" w:hAnsi="ＭＳ ゴシック" w:eastAsia="ＭＳ ゴシック"/>
                <w:sz w:val="22"/>
              </w:rPr>
              <w:t>11</w:t>
            </w:r>
            <w:r>
              <w:rPr>
                <w:rFonts w:hint="eastAsia" w:ascii="ＭＳ ゴシック" w:hAnsi="ＭＳ ゴシック" w:eastAsia="ＭＳ ゴシック"/>
                <w:sz w:val="22"/>
              </w:rPr>
              <w:t>】</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ZOOM</w:t>
            </w:r>
            <w:r>
              <w:rPr>
                <w:rFonts w:hint="eastAsia" w:ascii="ＭＳ ゴシック" w:hAnsi="ＭＳ ゴシック" w:eastAsia="ＭＳ ゴシック"/>
                <w:sz w:val="22"/>
              </w:rPr>
              <w:t>、</w:t>
            </w:r>
            <w:r>
              <w:rPr>
                <w:rFonts w:hint="eastAsia" w:ascii="ＭＳ ゴシック" w:hAnsi="ＭＳ ゴシック" w:eastAsia="ＭＳ ゴシック"/>
                <w:sz w:val="22"/>
              </w:rPr>
              <w:t>Teams</w:t>
            </w:r>
            <w:r>
              <w:rPr>
                <w:rFonts w:hint="eastAsia" w:ascii="ＭＳ ゴシック" w:hAnsi="ＭＳ ゴシック" w:eastAsia="ＭＳ ゴシック"/>
                <w:sz w:val="22"/>
              </w:rPr>
              <w:t>等の代表的な</w:t>
            </w:r>
            <w:r>
              <w:rPr>
                <w:rFonts w:hint="eastAsia" w:ascii="ＭＳ ゴシック" w:hAnsi="ＭＳ ゴシック" w:eastAsia="ＭＳ ゴシック"/>
                <w:sz w:val="22"/>
              </w:rPr>
              <w:t>WEB</w:t>
            </w:r>
            <w:r>
              <w:rPr>
                <w:rFonts w:hint="eastAsia" w:ascii="ＭＳ ゴシック" w:hAnsi="ＭＳ ゴシック" w:eastAsia="ＭＳ ゴシック"/>
                <w:sz w:val="22"/>
              </w:rPr>
              <w:t>会議用ソフト、グループウェアの利用方法・紹介等</w:t>
            </w:r>
          </w:p>
        </w:tc>
        <w:tc>
          <w:tcPr>
            <w:tcW w:w="1560"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9067"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・就職先で想定されるデータ・デジタル技術の活用事例【項目</w:t>
            </w:r>
            <w:r>
              <w:rPr>
                <w:rFonts w:hint="eastAsia" w:ascii="ＭＳ ゴシック" w:hAnsi="ＭＳ ゴシック" w:eastAsia="ＭＳ ゴシック"/>
                <w:sz w:val="22"/>
              </w:rPr>
              <w:t>12</w:t>
            </w:r>
            <w:r>
              <w:rPr>
                <w:rFonts w:hint="default" w:ascii="ＭＳ ゴシック" w:hAnsi="ＭＳ ゴシック" w:eastAsia="ＭＳ ゴシック"/>
                <w:sz w:val="22"/>
              </w:rPr>
              <w:t>】</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default" w:ascii="ＭＳ ゴシック" w:hAnsi="ＭＳ ゴシック" w:eastAsia="ＭＳ ゴシック"/>
                <w:sz w:val="22"/>
              </w:rPr>
              <w:t>POS</w:t>
            </w:r>
            <w:r>
              <w:rPr>
                <w:rFonts w:hint="default" w:ascii="ＭＳ ゴシック" w:hAnsi="ＭＳ ゴシック" w:eastAsia="ＭＳ ゴシック"/>
                <w:sz w:val="22"/>
              </w:rPr>
              <w:t>システム、</w:t>
            </w:r>
            <w:r>
              <w:rPr>
                <w:rFonts w:hint="eastAsia" w:ascii="ＭＳ ゴシック" w:hAnsi="ＭＳ ゴシック" w:eastAsia="ＭＳ ゴシック"/>
                <w:sz w:val="22"/>
              </w:rPr>
              <w:t>キャッシュレス決済、モバイル</w:t>
            </w:r>
            <w:r>
              <w:rPr>
                <w:rFonts w:hint="default" w:ascii="ＭＳ ゴシック" w:hAnsi="ＭＳ ゴシック" w:eastAsia="ＭＳ ゴシック"/>
                <w:sz w:val="22"/>
              </w:rPr>
              <w:t>POS</w:t>
            </w:r>
            <w:r>
              <w:rPr>
                <w:rFonts w:hint="default" w:ascii="ＭＳ ゴシック" w:hAnsi="ＭＳ ゴシック" w:eastAsia="ＭＳ ゴシック"/>
                <w:sz w:val="22"/>
              </w:rPr>
              <w:t>レジ</w:t>
            </w:r>
            <w:r>
              <w:rPr>
                <w:rFonts w:hint="eastAsia" w:ascii="ＭＳ ゴシック" w:hAnsi="ＭＳ ゴシック" w:eastAsia="ＭＳ ゴシック"/>
                <w:sz w:val="22"/>
              </w:rPr>
              <w:t>、電子カルテ、介護ソフト、</w:t>
            </w:r>
            <w:r>
              <w:rPr>
                <w:rFonts w:hint="default" w:ascii="ＭＳ ゴシック" w:hAnsi="ＭＳ ゴシック" w:eastAsia="ＭＳ ゴシック"/>
                <w:sz w:val="22"/>
              </w:rPr>
              <w:t>施工管理や勤怠管理の</w:t>
            </w:r>
            <w:r>
              <w:rPr>
                <w:rFonts w:hint="default" w:ascii="ＭＳ ゴシック" w:hAnsi="ＭＳ ゴシック" w:eastAsia="ＭＳ ゴシック"/>
                <w:sz w:val="22"/>
              </w:rPr>
              <w:t>ICT</w:t>
            </w:r>
            <w:r>
              <w:rPr>
                <w:rFonts w:hint="default" w:ascii="ＭＳ ゴシック" w:hAnsi="ＭＳ ゴシック" w:eastAsia="ＭＳ ゴシック"/>
                <w:sz w:val="22"/>
              </w:rPr>
              <w:t>化</w:t>
            </w:r>
            <w:r>
              <w:rPr>
                <w:rFonts w:hint="eastAsia" w:ascii="ＭＳ ゴシック" w:hAnsi="ＭＳ ゴシック" w:eastAsia="ＭＳ ゴシック"/>
                <w:sz w:val="22"/>
              </w:rPr>
              <w:t>導入、生成ＡＩの活用事例の紹介等</w:t>
            </w:r>
          </w:p>
        </w:tc>
        <w:tc>
          <w:tcPr>
            <w:tcW w:w="1560"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9067"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・就職先で想定される日常業務に関するパソコン等のツールの利用方法【項目</w:t>
            </w:r>
            <w:r>
              <w:rPr>
                <w:rFonts w:hint="eastAsia" w:ascii="ＭＳ ゴシック" w:hAnsi="ＭＳ ゴシック" w:eastAsia="ＭＳ ゴシック"/>
                <w:sz w:val="22"/>
              </w:rPr>
              <w:t>13</w:t>
            </w:r>
            <w:r>
              <w:rPr>
                <w:rFonts w:hint="eastAsia" w:ascii="ＭＳ ゴシック" w:hAnsi="ＭＳ ゴシック" w:eastAsia="ＭＳ ゴシック"/>
                <w:sz w:val="22"/>
              </w:rPr>
              <w:t>】</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オフィスソフトの操作（就職先での報告書やリーフレット等の作成で使用が想定される文字のサイズやフォントを変更した文書作成、就職先での資料作成、データ管理等で使用が想定される基本的な関数、表作成などのレベルのものに限る）等</w:t>
            </w:r>
          </w:p>
        </w:tc>
        <w:tc>
          <w:tcPr>
            <w:tcW w:w="1560"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9067"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・就職先で想定されるツール利用方法【項目</w:t>
            </w:r>
            <w:r>
              <w:rPr>
                <w:rFonts w:hint="eastAsia" w:ascii="ＭＳ ゴシック" w:hAnsi="ＭＳ ゴシック" w:eastAsia="ＭＳ ゴシック"/>
                <w:sz w:val="22"/>
              </w:rPr>
              <w:t>13</w:t>
            </w:r>
            <w:r>
              <w:rPr>
                <w:rFonts w:hint="eastAsia" w:ascii="ＭＳ ゴシック" w:hAnsi="ＭＳ ゴシック" w:eastAsia="ＭＳ ゴシック"/>
                <w:sz w:val="22"/>
              </w:rPr>
              <w:t>】</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会計ソフト、医療事務システム、</w:t>
            </w:r>
            <w:r>
              <w:rPr>
                <w:rFonts w:hint="eastAsia" w:ascii="ＭＳ ゴシック" w:hAnsi="ＭＳ ゴシック" w:eastAsia="ＭＳ ゴシック"/>
                <w:sz w:val="22"/>
              </w:rPr>
              <w:t>CAD</w:t>
            </w:r>
            <w:r>
              <w:rPr>
                <w:rFonts w:hint="eastAsia" w:ascii="ＭＳ ゴシック" w:hAnsi="ＭＳ ゴシック" w:eastAsia="ＭＳ ゴシック"/>
                <w:sz w:val="22"/>
              </w:rPr>
              <w:t>システム、</w:t>
            </w:r>
            <w:r>
              <w:rPr>
                <w:rFonts w:hint="eastAsia" w:ascii="ＭＳ ゴシック" w:hAnsi="ＭＳ ゴシック" w:eastAsia="ＭＳ ゴシック"/>
                <w:sz w:val="22"/>
              </w:rPr>
              <w:t>CMS</w:t>
            </w:r>
            <w:r>
              <w:rPr>
                <w:rFonts w:hint="eastAsia" w:ascii="ＭＳ ゴシック" w:hAnsi="ＭＳ ゴシック" w:eastAsia="ＭＳ ゴシック"/>
                <w:sz w:val="22"/>
              </w:rPr>
              <w:t>などの利用方法・紹介等</w:t>
            </w:r>
          </w:p>
        </w:tc>
        <w:tc>
          <w:tcPr>
            <w:tcW w:w="1560"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9067"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・就職先で想定される情報セキュリティ関係【項目</w:t>
            </w:r>
            <w:r>
              <w:rPr>
                <w:rFonts w:hint="eastAsia" w:ascii="ＭＳ ゴシック" w:hAnsi="ＭＳ ゴシック" w:eastAsia="ＭＳ ゴシック"/>
                <w:sz w:val="22"/>
              </w:rPr>
              <w:t>14</w:t>
            </w:r>
            <w:r>
              <w:rPr>
                <w:rFonts w:hint="eastAsia" w:ascii="ＭＳ ゴシック" w:hAnsi="ＭＳ ゴシック" w:eastAsia="ＭＳ ゴシック"/>
                <w:sz w:val="22"/>
              </w:rPr>
              <w:t>】</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デジタルデータに係る情報セキュリティの重要性、情報セキュリティ事故の原因、個人がとるべきセキュリティ対策等</w:t>
            </w:r>
          </w:p>
        </w:tc>
        <w:tc>
          <w:tcPr>
            <w:tcW w:w="1560"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9067"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・就職先で想定されるインターネット、</w:t>
            </w:r>
            <w:r>
              <w:rPr>
                <w:rFonts w:hint="default" w:ascii="ＭＳ ゴシック" w:hAnsi="ＭＳ ゴシック" w:eastAsia="ＭＳ ゴシック"/>
                <w:sz w:val="22"/>
              </w:rPr>
              <w:t>SNS</w:t>
            </w:r>
            <w:r>
              <w:rPr>
                <w:rFonts w:hint="default" w:ascii="ＭＳ ゴシック" w:hAnsi="ＭＳ ゴシック" w:eastAsia="ＭＳ ゴシック"/>
                <w:sz w:val="22"/>
              </w:rPr>
              <w:t>等を利用する際の注意点</w:t>
            </w:r>
            <w:r>
              <w:rPr>
                <w:rFonts w:hint="eastAsia" w:ascii="ＭＳ ゴシック" w:hAnsi="ＭＳ ゴシック" w:eastAsia="ＭＳ ゴシック"/>
                <w:sz w:val="22"/>
              </w:rPr>
              <w:t>【項目</w:t>
            </w:r>
            <w:r>
              <w:rPr>
                <w:rFonts w:hint="eastAsia" w:ascii="ＭＳ ゴシック" w:hAnsi="ＭＳ ゴシック" w:eastAsia="ＭＳ ゴシック"/>
                <w:sz w:val="22"/>
              </w:rPr>
              <w:t>15</w:t>
            </w:r>
            <w:r>
              <w:rPr>
                <w:rFonts w:hint="eastAsia" w:ascii="ＭＳ ゴシック" w:hAnsi="ＭＳ ゴシック" w:eastAsia="ＭＳ ゴシック"/>
                <w:sz w:val="22"/>
              </w:rPr>
              <w:t>】</w:t>
            </w:r>
          </w:p>
          <w:p>
            <w:pPr>
              <w:pStyle w:val="0"/>
              <w:ind w:left="210" w:leftChars="100" w:firstLine="220" w:firstLineChars="100"/>
              <w:rPr>
                <w:rFonts w:hint="default" w:ascii="ＭＳ ゴシック" w:hAnsi="ＭＳ ゴシック" w:eastAsia="ＭＳ ゴシック"/>
                <w:sz w:val="22"/>
              </w:rPr>
            </w:pPr>
            <w:r>
              <w:rPr>
                <w:rFonts w:hint="default" w:ascii="ＭＳ ゴシック" w:hAnsi="ＭＳ ゴシック" w:eastAsia="ＭＳ ゴシック"/>
                <w:sz w:val="22"/>
              </w:rPr>
              <w:t>投稿内容</w:t>
            </w:r>
            <w:r>
              <w:rPr>
                <w:rFonts w:hint="eastAsia" w:ascii="ＭＳ ゴシック" w:hAnsi="ＭＳ ゴシック" w:eastAsia="ＭＳ ゴシック"/>
                <w:sz w:val="22"/>
              </w:rPr>
              <w:t>、ネットエチケット</w:t>
            </w:r>
            <w:r>
              <w:rPr>
                <w:rFonts w:hint="default" w:ascii="ＭＳ ゴシック" w:hAnsi="ＭＳ ゴシック" w:eastAsia="ＭＳ ゴシック"/>
                <w:sz w:val="22"/>
              </w:rPr>
              <w:t>等</w:t>
            </w:r>
            <w:r>
              <w:rPr>
                <w:rFonts w:hint="eastAsia" w:ascii="ＭＳ ゴシック" w:hAnsi="ＭＳ ゴシック" w:eastAsia="ＭＳ ゴシック"/>
                <w:sz w:val="22"/>
              </w:rPr>
              <w:t>の注意点</w:t>
            </w:r>
          </w:p>
        </w:tc>
        <w:tc>
          <w:tcPr>
            <w:tcW w:w="1560"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9067"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・就職先業界のデジタルデータを扱う際の法令遵守【項目</w:t>
            </w:r>
            <w:r>
              <w:rPr>
                <w:rFonts w:hint="eastAsia" w:ascii="ＭＳ ゴシック" w:hAnsi="ＭＳ ゴシック" w:eastAsia="ＭＳ ゴシック"/>
                <w:sz w:val="22"/>
              </w:rPr>
              <w:t>16</w:t>
            </w:r>
            <w:r>
              <w:rPr>
                <w:rFonts w:hint="eastAsia" w:ascii="ＭＳ ゴシック" w:hAnsi="ＭＳ ゴシック" w:eastAsia="ＭＳ ゴシック"/>
                <w:sz w:val="22"/>
              </w:rPr>
              <w:t>】</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顧客等のデジタルデータを扱う際の個人情報保護法、画像等のデジタルデータを扱う際の著作権などのルール等</w:t>
            </w:r>
          </w:p>
        </w:tc>
        <w:tc>
          <w:tcPr>
            <w:tcW w:w="1560"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878" w:hRule="atLeast"/>
        </w:trPr>
        <w:tc>
          <w:tcPr>
            <w:tcW w:w="9067"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・その他【項目　　　　】</w:t>
            </w:r>
          </w:p>
          <w:p>
            <w:pPr>
              <w:pStyle w:val="0"/>
              <w:rPr>
                <w:rFonts w:hint="default" w:ascii="ＭＳ ゴシック" w:hAnsi="ＭＳ ゴシック" w:eastAsia="ＭＳ ゴシック"/>
                <w:sz w:val="22"/>
              </w:rPr>
            </w:pPr>
            <w:r>
              <w:rPr>
                <w:rFonts w:hint="default" w:ascii="ＭＳ ゴシック" w:hAnsi="ＭＳ ゴシック" w:eastAsia="ＭＳ ゴシック"/>
                <w:sz w:val="22"/>
              </w:rPr>
              <mc:AlternateContent>
                <mc:Choice Requires="wps">
                  <w:drawing>
                    <wp:anchor distT="0" distB="0" distL="114300" distR="114300" simplePos="0" relativeHeight="2" behindDoc="0" locked="0" layoutInCell="1" hidden="0" allowOverlap="1">
                      <wp:simplePos x="0" y="0"/>
                      <wp:positionH relativeFrom="column">
                        <wp:posOffset>-12700</wp:posOffset>
                      </wp:positionH>
                      <wp:positionV relativeFrom="paragraph">
                        <wp:posOffset>27305</wp:posOffset>
                      </wp:positionV>
                      <wp:extent cx="5581650" cy="304800"/>
                      <wp:effectExtent l="635" t="635" r="29845" b="10795"/>
                      <wp:wrapNone/>
                      <wp:docPr id="1026" name="大かっこ 2"/>
                      <a:graphic xmlns:a="http://schemas.openxmlformats.org/drawingml/2006/main">
                        <a:graphicData uri="http://schemas.microsoft.com/office/word/2010/wordprocessingShape">
                          <wps:wsp>
                            <wps:cNvPr id="1026" name="大かっこ 2"/>
                            <wps:cNvSpPr/>
                            <wps:spPr>
                              <a:xfrm>
                                <a:off x="0" y="0"/>
                                <a:ext cx="5581650" cy="30480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2.15pt;mso-position-vertical-relative:text;mso-position-horizontal-relative:text;position:absolute;height:24pt;mso-wrap-distance-top:0pt;width:439.5pt;mso-wrap-distance-left:9pt;margin-left:-1pt;z-index:2;" o:spid="_x0000_s102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jc w:val="right"/>
              <w:rPr>
                <w:rFonts w:hint="default" w:ascii="ＭＳ ゴシック" w:hAnsi="ＭＳ ゴシック" w:eastAsia="ＭＳ ゴシック"/>
                <w:sz w:val="22"/>
              </w:rPr>
            </w:pPr>
          </w:p>
        </w:tc>
        <w:tc>
          <w:tcPr>
            <w:tcW w:w="156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4"/>
              </w:rPr>
              <w:t>□</w:t>
            </w:r>
          </w:p>
        </w:tc>
      </w:tr>
    </w:tbl>
    <w:p>
      <w:pPr>
        <w:pStyle w:val="0"/>
        <w:spacing w:line="240" w:lineRule="exact"/>
        <w:rPr>
          <w:rFonts w:hint="default" w:ascii="ＭＳ ゴシック" w:hAnsi="ＭＳ ゴシック" w:eastAsia="ＭＳ ゴシック"/>
          <w:sz w:val="22"/>
        </w:rPr>
      </w:pPr>
      <w:r>
        <w:rPr>
          <w:rFonts w:hint="eastAsia" w:ascii="ＭＳ ゴシック" w:hAnsi="ＭＳ ゴシック" w:eastAsia="ＭＳ ゴシック"/>
          <w:sz w:val="22"/>
        </w:rPr>
        <w:t>※　【項目】の番号は別紙「</w:t>
      </w:r>
      <w:r>
        <w:rPr>
          <w:rFonts w:hint="eastAsia" w:ascii="ＭＳ ゴシック" w:hAnsi="ＭＳ ゴシック" w:eastAsia="ＭＳ ゴシック"/>
          <w:sz w:val="22"/>
        </w:rPr>
        <w:t>DX</w:t>
      </w:r>
      <w:r>
        <w:rPr>
          <w:rFonts w:hint="eastAsia" w:ascii="ＭＳ ゴシック" w:hAnsi="ＭＳ ゴシック" w:eastAsia="ＭＳ ゴシック"/>
          <w:sz w:val="22"/>
        </w:rPr>
        <w:t>リテラシー標準の項目の一覧」のどの項目に該当するか示しています。</w:t>
      </w:r>
    </w:p>
    <w:p>
      <w:pPr>
        <w:pStyle w:val="0"/>
        <w:spacing w:line="240" w:lineRule="exact"/>
        <w:rPr>
          <w:rFonts w:hint="default" w:ascii="ＭＳ ゴシック" w:hAnsi="ＭＳ ゴシック" w:eastAsia="ＭＳ ゴシック"/>
          <w:sz w:val="22"/>
        </w:rPr>
      </w:pPr>
      <w:r>
        <w:rPr>
          <w:rFonts w:hint="eastAsia" w:ascii="ＭＳ ゴシック" w:hAnsi="ＭＳ ゴシック" w:eastAsia="ＭＳ ゴシック"/>
          <w:sz w:val="22"/>
        </w:rPr>
        <w:t>※　実際のデジタル機器の操作だけではなく、操作方法、活用方法の説明等もデジタルリテラシーに含みます。</w:t>
      </w:r>
    </w:p>
    <w:sectPr>
      <w:headerReference r:id="rId5" w:type="default"/>
      <w:footerReference r:id="rId6" w:type="default"/>
      <w:pgSz w:w="11906" w:h="16838"/>
      <w:pgMar w:top="850" w:right="567" w:bottom="567" w:left="567" w:header="454"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3241"/>
      </w:tabs>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left"/>
      <w:rPr>
        <w:rFonts w:hint="default" w:ascii="ＭＳ ゴシック" w:hAnsi="ＭＳ ゴシック" w:eastAsia="ＭＳ ゴシック"/>
        <w:sz w:val="24"/>
      </w:rPr>
    </w:pPr>
    <w:r>
      <w:rPr>
        <w:rFonts w:hint="eastAsia" w:ascii="ＭＳ ゴシック" w:hAnsi="ＭＳ ゴシック" w:eastAsia="ＭＳ ゴシック"/>
        <w:color w:val="000000" w:themeColor="text1"/>
        <w:sz w:val="22"/>
      </w:rPr>
      <w:t>(</w:t>
    </w:r>
    <w:r>
      <w:rPr>
        <w:rFonts w:hint="eastAsia" w:ascii="ＭＳ ゴシック" w:hAnsi="ＭＳ ゴシック" w:eastAsia="ＭＳ ゴシック"/>
        <w:color w:val="000000" w:themeColor="text1"/>
        <w:sz w:val="22"/>
      </w:rPr>
      <w:t>様式３）添付書類</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Revision"/>
    <w:next w:val="15"/>
    <w:link w:val="0"/>
    <w:uiPriority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537</TotalTime>
  <Pages>1</Pages>
  <Words>23</Words>
  <Characters>1295</Characters>
  <Application>JUST Note</Application>
  <Lines>56</Lines>
  <Paragraphs>44</Paragraphs>
  <CharactersWithSpaces>1305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安井 雄一(yasui-yuuichi)</dc:creator>
  <cp:lastModifiedBy>460574</cp:lastModifiedBy>
  <cp:lastPrinted>2025-05-26T08:01:49Z</cp:lastPrinted>
  <dcterms:created xsi:type="dcterms:W3CDTF">2023-11-16T04:34:00Z</dcterms:created>
  <dcterms:modified xsi:type="dcterms:W3CDTF">2025-05-26T07:59:03Z</dcterms:modified>
  <cp:revision>92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0x01010063DE0247FA6CF740A979A7C2633CC5AA</vt:lpwstr>
  </property>
  <property fmtid="{D5CDD505-2E9C-101B-9397-08002B2CF9AE}" pid="3" name="MediaServiceImageTags">
    <vt:lpwstr/>
  </property>
</Properties>
</file>