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rPr>
      </w:pPr>
      <w:r>
        <w:rPr>
          <w:rFonts w:hint="eastAsia"/>
          <w:b w:val="1"/>
          <w:kern w:val="0"/>
        </w:rPr>
        <w:t>様式一覧表</w:t>
      </w:r>
      <w:r>
        <w:rPr>
          <w:rFonts w:hint="eastAsia"/>
          <w:b w:val="1"/>
        </w:rPr>
        <w:t>（紙入札・事後審査・総合評価なし）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000000" w:themeColor="text1"/>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FF0000"/>
          <w:sz w:val="18"/>
        </w:rPr>
      </w:pPr>
      <w:r>
        <w:rPr>
          <w:rFonts w:hint="eastAsia"/>
          <w:sz w:val="18"/>
        </w:rPr>
        <w:t>２　発注機関名は、具体的に記すこと。</w:t>
      </w: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2026-03-23T03:07:54Z</cp:lastPrinted>
  <dcterms:created xsi:type="dcterms:W3CDTF">2018-03-20T11:53:00Z</dcterms:created>
  <dcterms:modified xsi:type="dcterms:W3CDTF">2026-03-23T03:20:20Z</dcterms:modified>
  <cp:revision>75</cp:revision>
</cp:coreProperties>
</file>