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総合評価方式関係資料</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様式５（※別添ファイル）</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3" w:hRule="atLeast"/>
        </w:trPr>
        <w:tc>
          <w:tcPr>
            <w:tcW w:w="2976" w:type="dxa"/>
            <w:tcBorders>
              <w:top w:val="none" w:color="auto" w:sz="0"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480" w:hRule="atLeast"/>
        </w:trPr>
        <w:tc>
          <w:tcPr>
            <w:tcW w:w="2976" w:type="dxa"/>
            <w:tcBorders>
              <w:top w:val="single" w:color="auto"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auto"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0"/>
        <w:ind w:left="810" w:leftChars="300" w:hanging="180" w:hangingChars="100"/>
        <w:jc w:val="left"/>
        <w:rPr>
          <w:rFonts w:hint="default" w:ascii="ＭＳ ゴシック" w:hAnsi="ＭＳ ゴシック" w:eastAsia="ＭＳ ゴシック"/>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w:t>
      </w:r>
      <w:bookmarkStart w:id="0" w:name="_GoBack"/>
      <w:bookmarkEnd w:id="0"/>
      <w:r>
        <w:rPr>
          <w:rFonts w:hint="eastAsia"/>
          <w:sz w:val="18"/>
        </w:rPr>
        <w:t>実施については、低入札価格調査制度に基づく低入札調査資料の提出期限内であれば、辞退を申し出ることができること（このときは、指名停止を伴わない。）。</w:t>
      </w: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pPr>
      <w:r>
        <w:rPr>
          <w:rFonts w:hint="default" w:ascii="ＭＳ ゴシック" w:hAnsi="ＭＳ ゴシック" w:eastAsia="ＭＳ ゴシック"/>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eastAsia"/>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tabs>
          <w:tab w:val="left" w:leader="none" w:pos="8943"/>
        </w:tabs>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1333</TotalTime>
  <Pages>11</Pages>
  <Words>196</Words>
  <Characters>4887</Characters>
  <Application>JUST Note</Application>
  <Lines>6887</Lines>
  <Paragraphs>466</Paragraphs>
  <CharactersWithSpaces>5286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Z23201</cp:lastModifiedBy>
  <cp:lastPrinted>2026-03-23T03:07:54Z</cp:lastPrinted>
  <dcterms:created xsi:type="dcterms:W3CDTF">2018-03-20T11:53:00Z</dcterms:created>
  <dcterms:modified xsi:type="dcterms:W3CDTF">2026-04-23T04:20:54Z</dcterms:modified>
  <cp:revision>75</cp:revision>
</cp:coreProperties>
</file>