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ascii="ＭＳ Ｐゴシック" w:hAnsi="ＭＳ Ｐゴシック" w:eastAsia="ＭＳ Ｐゴシック"/>
          <w:color w:val="auto"/>
          <w:spacing w:val="18"/>
          <w:sz w:val="24"/>
        </w:rPr>
      </w:pPr>
      <w:r>
        <w:rPr>
          <w:rFonts w:hint="eastAsia" w:ascii="ＭＳ Ｐゴシック" w:hAnsi="ＭＳ Ｐゴシック" w:eastAsia="ＭＳ Ｐゴシック"/>
          <w:color w:val="auto"/>
          <w:sz w:val="24"/>
        </w:rPr>
        <w:t>高知県障害者計画等策定委託業務プロポーザル審査要領</w:t>
      </w:r>
    </w:p>
    <w:p>
      <w:pPr>
        <w:pStyle w:val="0"/>
        <w:spacing w:line="320" w:lineRule="exact"/>
        <w:rPr>
          <w:rFonts w:hint="default" w:ascii="ＭＳ Ｐゴシック" w:hAnsi="ＭＳ Ｐゴシック" w:eastAsia="ＭＳ Ｐゴシック"/>
          <w:color w:val="auto"/>
          <w:sz w:val="24"/>
        </w:rPr>
      </w:pPr>
    </w:p>
    <w:p>
      <w:pPr>
        <w:pStyle w:val="0"/>
        <w:spacing w:line="320" w:lineRule="exact"/>
        <w:ind w:firstLine="241" w:firstLineChars="10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高知県障害者計画等策定委託業務に関するプロポーザルの審査に関する事項を次に定めます。</w:t>
      </w:r>
    </w:p>
    <w:p>
      <w:pPr>
        <w:pStyle w:val="0"/>
        <w:spacing w:line="320" w:lineRule="exact"/>
        <w:rPr>
          <w:rFonts w:hint="default" w:ascii="ＭＳ Ｐゴシック" w:hAnsi="ＭＳ Ｐゴシック" w:eastAsia="ＭＳ Ｐゴシック"/>
          <w:color w:val="auto"/>
          <w:sz w:val="24"/>
        </w:rPr>
      </w:pPr>
    </w:p>
    <w:p>
      <w:pPr>
        <w:pStyle w:val="0"/>
        <w:spacing w:line="320" w:lineRule="exact"/>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審査の対象となる事業者</w:t>
      </w:r>
    </w:p>
    <w:p>
      <w:pPr>
        <w:pStyle w:val="0"/>
        <w:spacing w:line="32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審査は、次の各号をすべて満たす事業者を対象に行います。</w:t>
      </w:r>
    </w:p>
    <w:p>
      <w:pPr>
        <w:pStyle w:val="0"/>
        <w:spacing w:line="32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別途定める「高知県障害者計画等策定委託業務プロポーザル募集要領」（以下、「募集要領」という。）に規定する資格要件を満たす参加者</w:t>
      </w:r>
    </w:p>
    <w:p>
      <w:pPr>
        <w:pStyle w:val="0"/>
        <w:spacing w:line="32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（２）　募集要領に規定する期限内に、必要な書類のすべてを提出した参加者</w:t>
      </w:r>
    </w:p>
    <w:p>
      <w:pPr>
        <w:pStyle w:val="0"/>
        <w:spacing w:line="32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（３）　募集要領により、適正に書類を作成した参加者</w:t>
      </w:r>
    </w:p>
    <w:p>
      <w:pPr>
        <w:pStyle w:val="0"/>
        <w:spacing w:line="320" w:lineRule="exact"/>
        <w:rPr>
          <w:rFonts w:hint="eastAsia" w:ascii="ＭＳ Ｐゴシック" w:hAnsi="ＭＳ Ｐゴシック" w:eastAsia="ＭＳ Ｐゴシック"/>
          <w:color w:val="auto"/>
          <w:sz w:val="24"/>
        </w:rPr>
      </w:pPr>
    </w:p>
    <w:p>
      <w:pPr>
        <w:pStyle w:val="0"/>
        <w:spacing w:line="320" w:lineRule="exact"/>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２　審査の項目及び点数</w:t>
      </w:r>
    </w:p>
    <w:p>
      <w:pPr>
        <w:pStyle w:val="0"/>
        <w:spacing w:line="32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総合点数は６００点（審査員１人あたり１２０点）とし、審査項目と審査項目ごとの配点は次のとおりです。</w:t>
      </w:r>
    </w:p>
    <w:p>
      <w:pPr>
        <w:pStyle w:val="0"/>
        <w:spacing w:line="32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（１）　次期計画策定にあたっての考え方　　　（７０点）</w:t>
      </w:r>
    </w:p>
    <w:p>
      <w:pPr>
        <w:pStyle w:val="0"/>
        <w:spacing w:line="32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（２）　業務実績　　　　　　　　　　　　　　　　　　</w:t>
      </w:r>
      <w:r>
        <w:rPr>
          <w:rFonts w:hint="eastAsia" w:ascii="ＭＳ Ｐゴシック" w:hAnsi="ＭＳ Ｐゴシック" w:eastAsia="ＭＳ Ｐゴシック"/>
          <w:color w:val="auto"/>
          <w:sz w:val="18"/>
          <w:u w:val="single" w:color="auto"/>
        </w:rPr>
        <w:t>　</w:t>
      </w:r>
      <w:r>
        <w:rPr>
          <w:rFonts w:hint="eastAsia" w:ascii="ＭＳ Ｐゴシック" w:hAnsi="ＭＳ Ｐゴシック" w:eastAsia="ＭＳ Ｐゴシック"/>
          <w:color w:val="auto"/>
          <w:sz w:val="24"/>
          <w:u w:val="single" w:color="auto"/>
        </w:rPr>
        <w:t>（２０点）</w:t>
      </w:r>
    </w:p>
    <w:p>
      <w:pPr>
        <w:pStyle w:val="0"/>
        <w:spacing w:line="32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（３）　実施体制　　　　　　　　　　　　　　　　　</w:t>
      </w:r>
      <w:r>
        <w:rPr>
          <w:rFonts w:hint="eastAsia" w:ascii="ＭＳ Ｐゴシック" w:hAnsi="ＭＳ Ｐゴシック" w:eastAsia="ＭＳ Ｐゴシック"/>
          <w:color w:val="auto"/>
          <w:sz w:val="18"/>
          <w:u w:val="single" w:color="auto"/>
        </w:rPr>
        <w:t>　</w:t>
      </w:r>
      <w:r>
        <w:rPr>
          <w:rFonts w:hint="eastAsia" w:ascii="ＭＳ Ｐゴシック" w:hAnsi="ＭＳ Ｐゴシック" w:eastAsia="ＭＳ Ｐゴシック"/>
          <w:color w:val="auto"/>
          <w:sz w:val="24"/>
          <w:u w:val="single" w:color="auto"/>
        </w:rPr>
        <w:t>　（１０点）</w:t>
      </w:r>
    </w:p>
    <w:p>
      <w:pPr>
        <w:pStyle w:val="0"/>
        <w:spacing w:line="32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（４）　スケジュール　　　　　　　　　　　　　　　　</w:t>
      </w:r>
      <w:r>
        <w:rPr>
          <w:rFonts w:hint="eastAsia" w:ascii="ＭＳ Ｐゴシック" w:hAnsi="ＭＳ Ｐゴシック" w:eastAsia="ＭＳ Ｐゴシック"/>
          <w:color w:val="auto"/>
          <w:sz w:val="12"/>
          <w:u w:val="single" w:color="auto"/>
        </w:rPr>
        <w:t>　</w:t>
      </w:r>
      <w:r>
        <w:rPr>
          <w:rFonts w:hint="eastAsia" w:ascii="ＭＳ Ｐゴシック" w:hAnsi="ＭＳ Ｐゴシック" w:eastAsia="ＭＳ Ｐゴシック"/>
          <w:color w:val="auto"/>
          <w:sz w:val="24"/>
          <w:u w:val="single" w:color="auto"/>
        </w:rPr>
        <w:t>（１０点）</w:t>
      </w:r>
    </w:p>
    <w:p>
      <w:pPr>
        <w:pStyle w:val="0"/>
        <w:spacing w:line="32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（５）　経費見積書</w:t>
      </w:r>
      <w:r>
        <w:rPr>
          <w:rFonts w:hint="eastAsia" w:ascii="ＭＳ Ｐゴシック" w:hAnsi="ＭＳ Ｐゴシック" w:eastAsia="ＭＳ Ｐゴシック"/>
          <w:color w:val="auto"/>
          <w:sz w:val="24"/>
          <w:u w:val="single" w:color="auto"/>
        </w:rPr>
        <w:t xml:space="preserve"> </w:t>
      </w:r>
      <w:r>
        <w:rPr>
          <w:rFonts w:hint="eastAsia" w:ascii="ＭＳ Ｐゴシック" w:hAnsi="ＭＳ Ｐゴシック" w:eastAsia="ＭＳ Ｐゴシック"/>
          <w:color w:val="auto"/>
          <w:sz w:val="24"/>
          <w:u w:val="single" w:color="auto"/>
        </w:rPr>
        <w:t>　　　　　　　　　　　　　　　　</w:t>
      </w:r>
      <w:r>
        <w:rPr>
          <w:rFonts w:hint="eastAsia" w:ascii="ＭＳ Ｐゴシック" w:hAnsi="ＭＳ Ｐゴシック" w:eastAsia="ＭＳ Ｐゴシック"/>
          <w:color w:val="auto"/>
          <w:sz w:val="10"/>
          <w:u w:val="single" w:color="auto"/>
        </w:rPr>
        <w:t>　</w:t>
      </w:r>
      <w:r>
        <w:rPr>
          <w:rFonts w:hint="eastAsia" w:ascii="ＭＳ Ｐゴシック" w:hAnsi="ＭＳ Ｐゴシック" w:eastAsia="ＭＳ Ｐゴシック"/>
          <w:color w:val="auto"/>
          <w:sz w:val="24"/>
          <w:u w:val="single" w:color="auto"/>
        </w:rPr>
        <w:t>（１０点）</w:t>
      </w:r>
    </w:p>
    <w:p>
      <w:pPr>
        <w:pStyle w:val="0"/>
        <w:spacing w:line="320" w:lineRule="exact"/>
        <w:rPr>
          <w:rFonts w:hint="eastAsia" w:ascii="ＭＳ Ｐゴシック" w:hAnsi="ＭＳ Ｐゴシック" w:eastAsia="ＭＳ Ｐゴシック"/>
          <w:color w:val="auto"/>
          <w:sz w:val="24"/>
        </w:rPr>
      </w:pPr>
    </w:p>
    <w:p>
      <w:pPr>
        <w:pStyle w:val="0"/>
        <w:spacing w:line="320" w:lineRule="exact"/>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３　審査委員会</w:t>
      </w:r>
    </w:p>
    <w:p>
      <w:pPr>
        <w:pStyle w:val="0"/>
        <w:spacing w:line="320" w:lineRule="exact"/>
        <w:ind w:left="241" w:leftChars="109" w:firstLine="241" w:firstLineChars="100"/>
        <w:rPr>
          <w:rFonts w:hint="eastAsia" w:ascii="ＭＳ Ｐゴシック" w:hAnsi="ＭＳ Ｐゴシック" w:eastAsia="ＭＳ Ｐゴシック"/>
          <w:color w:val="auto"/>
          <w:sz w:val="24"/>
        </w:rPr>
      </w:pPr>
      <w:r>
        <w:rPr>
          <w:rFonts w:hint="eastAsia" w:eastAsia="ＭＳ Ｐゴシック"/>
          <w:color w:val="auto"/>
          <w:sz w:val="24"/>
        </w:rPr>
        <w:t>参加者から提出された企画提案書に基づきプレゼンテーションを行う審査委員会を開催します。</w:t>
      </w:r>
    </w:p>
    <w:p>
      <w:pPr>
        <w:pStyle w:val="0"/>
        <w:spacing w:line="32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日時、場所</w:t>
      </w:r>
    </w:p>
    <w:p>
      <w:pPr>
        <w:pStyle w:val="0"/>
        <w:spacing w:line="320" w:lineRule="exact"/>
        <w:ind w:firstLine="964" w:firstLineChars="4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令和８年６月下旬～７月上旬</w:t>
      </w:r>
      <w:bookmarkStart w:id="0" w:name="_GoBack"/>
      <w:bookmarkEnd w:id="0"/>
      <w:r>
        <w:rPr>
          <w:rFonts w:hint="eastAsia" w:ascii="ＭＳ Ｐゴシック" w:hAnsi="ＭＳ Ｐゴシック" w:eastAsia="ＭＳ Ｐゴシック"/>
          <w:color w:val="auto"/>
          <w:sz w:val="24"/>
        </w:rPr>
        <w:t>（予定）</w:t>
      </w:r>
    </w:p>
    <w:p>
      <w:pPr>
        <w:pStyle w:val="0"/>
        <w:spacing w:line="320" w:lineRule="exact"/>
        <w:ind w:firstLine="964" w:firstLineChars="400"/>
        <w:rPr>
          <w:rFonts w:hint="eastAsia" w:eastAsia="ＭＳ Ｐゴシック"/>
          <w:color w:val="auto"/>
          <w:sz w:val="24"/>
        </w:rPr>
      </w:pPr>
      <w:r>
        <w:rPr>
          <w:rFonts w:hint="eastAsia" w:ascii="ＭＳ Ｐゴシック" w:hAnsi="ＭＳ Ｐゴシック" w:eastAsia="ＭＳ Ｐゴシック"/>
          <w:color w:val="auto"/>
          <w:sz w:val="24"/>
          <w:u w:val="single" w:color="auto"/>
        </w:rPr>
        <w:t>場所</w:t>
      </w:r>
      <w:r>
        <w:rPr>
          <w:rFonts w:hint="eastAsia" w:eastAsia="ＭＳ Ｐゴシック"/>
          <w:color w:val="auto"/>
          <w:sz w:val="24"/>
          <w:u w:val="single" w:color="auto"/>
        </w:rPr>
        <w:t>　　未定　　</w:t>
      </w:r>
      <w:r>
        <w:rPr>
          <w:rFonts w:hint="eastAsia" w:eastAsia="ＭＳ Ｐゴシック"/>
          <w:color w:val="auto"/>
          <w:sz w:val="24"/>
        </w:rPr>
        <w:t>　　</w:t>
      </w:r>
    </w:p>
    <w:p>
      <w:pPr>
        <w:pStyle w:val="0"/>
        <w:spacing w:line="320" w:lineRule="exact"/>
        <w:ind w:firstLine="241" w:firstLineChars="100"/>
        <w:rPr>
          <w:rFonts w:hint="eastAsia" w:eastAsia="ＭＳ Ｐゴシック"/>
          <w:color w:val="auto"/>
          <w:sz w:val="24"/>
        </w:rPr>
      </w:pPr>
      <w:r>
        <w:rPr>
          <w:rFonts w:hint="eastAsia" w:eastAsia="ＭＳ Ｐゴシック"/>
          <w:color w:val="auto"/>
          <w:sz w:val="24"/>
        </w:rPr>
        <w:t>（２）　プレゼンテーション</w:t>
      </w:r>
    </w:p>
    <w:p>
      <w:pPr>
        <w:pStyle w:val="0"/>
        <w:spacing w:line="320" w:lineRule="exact"/>
        <w:ind w:firstLine="482" w:firstLineChars="200"/>
        <w:rPr>
          <w:rFonts w:hint="eastAsia" w:eastAsia="ＭＳ Ｐゴシック"/>
          <w:color w:val="auto"/>
          <w:sz w:val="24"/>
        </w:rPr>
      </w:pPr>
      <w:r>
        <w:rPr>
          <w:rFonts w:hint="eastAsia" w:eastAsia="ＭＳ Ｐゴシック"/>
          <w:color w:val="auto"/>
          <w:sz w:val="24"/>
        </w:rPr>
        <w:t>①　プレゼンテーションの時間は１社２０分とします。</w:t>
      </w:r>
    </w:p>
    <w:p>
      <w:pPr>
        <w:pStyle w:val="0"/>
        <w:spacing w:line="320" w:lineRule="exact"/>
        <w:ind w:firstLine="482" w:firstLineChars="200"/>
        <w:rPr>
          <w:rFonts w:hint="eastAsia" w:eastAsia="ＭＳ Ｐゴシック"/>
          <w:color w:val="auto"/>
          <w:sz w:val="24"/>
        </w:rPr>
      </w:pPr>
      <w:r>
        <w:rPr>
          <w:rFonts w:hint="eastAsia" w:eastAsia="ＭＳ Ｐゴシック"/>
          <w:color w:val="auto"/>
          <w:sz w:val="24"/>
        </w:rPr>
        <w:t>②　順番は別途お知らせします。</w:t>
      </w:r>
    </w:p>
    <w:p>
      <w:pPr>
        <w:pStyle w:val="0"/>
        <w:spacing w:line="320" w:lineRule="exact"/>
        <w:ind w:firstLine="482" w:firstLineChars="200"/>
        <w:rPr>
          <w:rFonts w:hint="eastAsia" w:eastAsia="ＭＳ Ｐゴシック"/>
          <w:color w:val="auto"/>
          <w:sz w:val="24"/>
        </w:rPr>
      </w:pPr>
      <w:r>
        <w:rPr>
          <w:rFonts w:hint="eastAsia" w:eastAsia="ＭＳ Ｐゴシック"/>
          <w:color w:val="auto"/>
          <w:sz w:val="24"/>
        </w:rPr>
        <w:t>③　各社のプレゼンテーション終了後、審査委員からの質疑の時間を設けます。</w:t>
      </w:r>
    </w:p>
    <w:p>
      <w:pPr>
        <w:pStyle w:val="0"/>
        <w:spacing w:line="320" w:lineRule="exact"/>
        <w:rPr>
          <w:rFonts w:hint="eastAsia" w:eastAsia="ＭＳ Ｐゴシック"/>
          <w:color w:val="auto"/>
          <w:sz w:val="24"/>
        </w:rPr>
      </w:pPr>
    </w:p>
    <w:p>
      <w:pPr>
        <w:pStyle w:val="0"/>
        <w:spacing w:line="320" w:lineRule="exact"/>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４　審査の方法</w:t>
      </w:r>
    </w:p>
    <w:p>
      <w:pPr>
        <w:pStyle w:val="0"/>
        <w:spacing w:line="32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審査委員会では、提出された企画提案書と、審査委員会におけるプレゼンテーションに対する審査を行います。</w:t>
      </w:r>
    </w:p>
    <w:p>
      <w:pPr>
        <w:pStyle w:val="0"/>
        <w:spacing w:line="32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（２）　各審査委員は、プレゼンテーションと質疑の終了後、別途定める「審査基準」に基づいて審査を行います。</w:t>
      </w:r>
    </w:p>
    <w:p>
      <w:pPr>
        <w:pStyle w:val="0"/>
        <w:spacing w:line="32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（３）　すべての参加者の審査が終了したときには、各審査委員の審査結果を集計後、候補者と次点者を決定します。　　　　</w:t>
      </w:r>
    </w:p>
    <w:p>
      <w:pPr>
        <w:pStyle w:val="0"/>
        <w:spacing w:line="32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（４）　審査の結果、最高点の者が同点で２者以上ある場合は、経費見積が安価な者から順に候補者と次点者を選定します。</w:t>
      </w:r>
    </w:p>
    <w:p>
      <w:pPr>
        <w:pStyle w:val="0"/>
        <w:ind w:left="723" w:leftChars="109" w:hanging="482" w:hangingChars="200"/>
        <w:rPr>
          <w:rFonts w:hint="eastAsia" w:ascii="ＭＳ Ｐゴシック" w:hAnsi="ＭＳ Ｐゴシック" w:eastAsia="ＭＳ Ｐゴシック"/>
          <w:color w:val="auto"/>
          <w:sz w:val="24"/>
        </w:rPr>
      </w:pPr>
    </w:p>
    <w:p>
      <w:pPr>
        <w:pStyle w:val="0"/>
        <w:ind w:left="723" w:leftChars="109" w:hanging="482" w:hangingChars="200"/>
        <w:rPr>
          <w:rFonts w:hint="eastAsia" w:ascii="ＭＳ Ｐゴシック" w:hAnsi="ＭＳ Ｐゴシック" w:eastAsia="ＭＳ Ｐゴシック"/>
          <w:color w:val="auto"/>
          <w:sz w:val="24"/>
        </w:rPr>
      </w:pPr>
    </w:p>
    <w:p>
      <w:pPr>
        <w:pStyle w:val="0"/>
        <w:ind w:left="723" w:leftChars="109" w:hanging="482" w:hangingChars="200"/>
        <w:rPr>
          <w:rFonts w:hint="eastAsia" w:ascii="ＭＳ Ｐゴシック" w:hAnsi="ＭＳ Ｐゴシック" w:eastAsia="ＭＳ Ｐゴシック"/>
          <w:color w:val="auto"/>
          <w:sz w:val="24"/>
        </w:rPr>
      </w:pPr>
    </w:p>
    <w:p>
      <w:pPr>
        <w:pStyle w:val="0"/>
        <w:ind w:left="723" w:leftChars="109" w:hanging="482" w:hangingChars="200"/>
        <w:rPr>
          <w:rFonts w:hint="eastAsia" w:ascii="ＭＳ Ｐゴシック" w:hAnsi="ＭＳ Ｐゴシック" w:eastAsia="ＭＳ Ｐゴシック"/>
          <w:color w:val="auto"/>
          <w:sz w:val="24"/>
        </w:rPr>
      </w:pPr>
    </w:p>
    <w:p>
      <w:pPr>
        <w:pStyle w:val="0"/>
        <w:ind w:left="723" w:leftChars="109" w:hanging="482" w:hangingChars="200"/>
        <w:rPr>
          <w:rFonts w:hint="eastAsia" w:ascii="ＭＳ Ｐゴシック" w:hAnsi="ＭＳ Ｐゴシック" w:eastAsia="ＭＳ Ｐゴシック"/>
          <w:color w:val="auto"/>
          <w:sz w:val="24"/>
        </w:rPr>
      </w:pPr>
    </w:p>
    <w:p>
      <w:pPr>
        <w:pStyle w:val="0"/>
        <w:ind w:left="723" w:leftChars="109" w:hanging="482" w:hangingChars="200"/>
        <w:rPr>
          <w:rFonts w:hint="eastAsia" w:ascii="ＭＳ Ｐゴシック" w:hAnsi="ＭＳ Ｐゴシック" w:eastAsia="ＭＳ Ｐゴシック"/>
          <w:color w:val="auto"/>
          <w:sz w:val="24"/>
        </w:rPr>
      </w:pPr>
    </w:p>
    <w:p>
      <w:pPr>
        <w:pStyle w:val="0"/>
        <w:jc w:val="right"/>
        <w:rPr>
          <w:rFonts w:hint="eastAsia" w:ascii="ＭＳ Ｐゴシック" w:hAnsi="ＭＳ Ｐゴシック" w:eastAsia="ＭＳ Ｐゴシック"/>
          <w:color w:val="auto"/>
          <w:sz w:val="24"/>
          <w:bdr w:val="single" w:color="auto" w:sz="4" w:space="0"/>
        </w:rPr>
      </w:pPr>
      <w:r>
        <w:rPr>
          <w:rFonts w:hint="eastAsia" w:ascii="ＭＳ Ｐゴシック" w:hAnsi="ＭＳ Ｐゴシック" w:eastAsia="ＭＳ Ｐゴシック"/>
          <w:color w:val="auto"/>
          <w:sz w:val="24"/>
          <w:bdr w:val="single" w:color="auto" w:sz="4" w:space="0"/>
        </w:rPr>
        <w:t>別紙</w:t>
      </w:r>
    </w:p>
    <w:p>
      <w:pPr>
        <w:pStyle w:val="0"/>
        <w:rPr>
          <w:rFonts w:hint="eastAsia" w:ascii="ＭＳ Ｐゴシック" w:hAnsi="ＭＳ Ｐゴシック" w:eastAsia="ＭＳ Ｐゴシック"/>
          <w:color w:val="auto"/>
          <w:sz w:val="24"/>
        </w:rPr>
      </w:pPr>
    </w:p>
    <w:p>
      <w:pPr>
        <w:pStyle w:val="0"/>
        <w:jc w:val="center"/>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審査基準</w:t>
      </w:r>
    </w:p>
    <w:tbl>
      <w:tblPr>
        <w:tblStyle w:val="11"/>
        <w:tblW w:w="965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2"/>
        <w:gridCol w:w="1687"/>
        <w:gridCol w:w="6025"/>
        <w:gridCol w:w="1446"/>
      </w:tblGrid>
      <w:tr>
        <w:trPr>
          <w:cantSplit/>
          <w:trHeight w:val="664" w:hRule="atLeast"/>
        </w:trPr>
        <w:tc>
          <w:tcPr>
            <w:tcW w:w="217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審査の項目</w:t>
            </w:r>
          </w:p>
        </w:tc>
        <w:tc>
          <w:tcPr>
            <w:tcW w:w="60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審査の視点</w:t>
            </w:r>
          </w:p>
        </w:tc>
        <w:tc>
          <w:tcPr>
            <w:tcW w:w="14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配点</w:t>
            </w:r>
          </w:p>
        </w:tc>
      </w:tr>
      <w:tr>
        <w:trPr>
          <w:cantSplit/>
          <w:trHeight w:val="545" w:hRule="atLeast"/>
        </w:trPr>
        <w:tc>
          <w:tcPr>
            <w:tcW w:w="217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0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545" w:hRule="atLeast"/>
        </w:trPr>
        <w:tc>
          <w:tcPr>
            <w:tcW w:w="9650"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sz w:val="20"/>
              </w:rPr>
              <w:t>１　次期計画作成にあたっての考え方</w:t>
            </w:r>
          </w:p>
        </w:tc>
      </w:tr>
      <w:tr>
        <w:trPr>
          <w:cantSplit/>
          <w:trHeight w:val="1484" w:hRule="atLeast"/>
        </w:trPr>
        <w:tc>
          <w:tcPr>
            <w:tcW w:w="492"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sz w:val="20"/>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sz w:val="20"/>
              </w:rPr>
              <w:t>目的の理解と計画の構成</w:t>
            </w:r>
          </w:p>
        </w:tc>
        <w:tc>
          <w:tcPr>
            <w:tcW w:w="6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autoSpaceDE w:val="0"/>
              <w:autoSpaceDN w:val="0"/>
              <w:ind w:leftChars="0" w:firstLine="0" w:firstLineChars="0"/>
              <w:jc w:val="left"/>
              <w:textAlignment w:val="auto"/>
              <w:rPr>
                <w:rFonts w:hint="eastAsia" w:ascii="ＭＳ Ｐゴシック" w:hAnsi="ＭＳ Ｐゴシック" w:eastAsia="ＭＳ Ｐゴシック"/>
                <w:sz w:val="20"/>
              </w:rPr>
            </w:pPr>
            <w:r>
              <w:rPr>
                <w:rFonts w:hint="eastAsia" w:ascii="ＭＳ Ｐゴシック" w:hAnsi="ＭＳ Ｐゴシック" w:eastAsia="ＭＳ Ｐゴシック"/>
                <w:color w:val="auto"/>
                <w:sz w:val="20"/>
              </w:rPr>
              <w:t>本業務の目的を理解し、障害者計画の中間見直し及び障害（児）福祉計画の次期計画策定に対する考え方が有意義な項目構成とともに示されているか。</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１０</w:t>
            </w:r>
          </w:p>
        </w:tc>
      </w:tr>
      <w:tr>
        <w:trPr>
          <w:cantSplit/>
          <w:trHeight w:val="1418" w:hRule="atLeast"/>
        </w:trPr>
        <w:tc>
          <w:tcPr>
            <w:tcW w:w="4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調査の実施・集計・分析</w:t>
            </w:r>
          </w:p>
        </w:tc>
        <w:tc>
          <w:tcPr>
            <w:tcW w:w="6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集計の正確さや単純な項目比較のみならず、障害者の現状把握を行う視点による的確なクロス集計や状況に応じた分析が可能であるか。</w:t>
            </w:r>
          </w:p>
          <w:p>
            <w:pPr>
              <w:pStyle w:val="0"/>
              <w:ind w:leftChars="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また、報告書は、適切な集計や見やすさが期待できるか。</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２０</w:t>
            </w:r>
          </w:p>
        </w:tc>
      </w:tr>
      <w:tr>
        <w:trPr>
          <w:cantSplit/>
          <w:trHeight w:val="1418" w:hRule="atLeast"/>
        </w:trPr>
        <w:tc>
          <w:tcPr>
            <w:tcW w:w="4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課題整理・政策動向の把握</w:t>
            </w:r>
          </w:p>
        </w:tc>
        <w:tc>
          <w:tcPr>
            <w:tcW w:w="6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高知県の障害福祉の現状と障害者福祉をめぐる法改正などの政策動向等に対する情報を正確に捉え、それに対応した施策が反映された計画策定等が期待できるか。</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Chars="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２０</w:t>
            </w:r>
          </w:p>
        </w:tc>
      </w:tr>
      <w:tr>
        <w:trPr>
          <w:cantSplit/>
          <w:trHeight w:val="1323" w:hRule="atLeast"/>
        </w:trPr>
        <w:tc>
          <w:tcPr>
            <w:tcW w:w="4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障害者計画の編集・作成</w:t>
            </w:r>
          </w:p>
        </w:tc>
        <w:tc>
          <w:tcPr>
            <w:tcW w:w="6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デザインやレイアウト等、子どもから大人まで県民に分かりやすく見やすい計画書となるよう、工夫された提案がされているか。</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２０</w:t>
            </w:r>
          </w:p>
        </w:tc>
      </w:tr>
      <w:tr>
        <w:trPr>
          <w:cantSplit/>
          <w:trHeight w:val="942" w:hRule="atLeast"/>
        </w:trPr>
        <w:tc>
          <w:tcPr>
            <w:tcW w:w="21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sz w:val="20"/>
              </w:rPr>
            </w:pPr>
            <w:r>
              <w:rPr>
                <w:rFonts w:hint="eastAsia" w:ascii="ＭＳ Ｐゴシック" w:hAnsi="ＭＳ Ｐゴシック" w:eastAsia="ＭＳ Ｐゴシック"/>
                <w:sz w:val="20"/>
              </w:rPr>
              <w:t>２　業務実績</w:t>
            </w:r>
          </w:p>
        </w:tc>
        <w:tc>
          <w:tcPr>
            <w:tcW w:w="6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実績や成果物の総合的な仕上がり程度から、本事業の十分な成果が期待できるか。</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２０</w:t>
            </w:r>
          </w:p>
        </w:tc>
      </w:tr>
      <w:tr>
        <w:trPr>
          <w:cantSplit/>
          <w:trHeight w:val="1103" w:hRule="atLeast"/>
        </w:trPr>
        <w:tc>
          <w:tcPr>
            <w:tcW w:w="21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sz w:val="20"/>
              </w:rPr>
              <w:t>３　実施体制</w:t>
            </w:r>
          </w:p>
        </w:tc>
        <w:tc>
          <w:tcPr>
            <w:tcW w:w="6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本業務の実施体制について具体的に記載され、本業務が確実に遂行されるよう、必要な体制が確保されているか。</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１０</w:t>
            </w:r>
          </w:p>
        </w:tc>
      </w:tr>
      <w:tr>
        <w:trPr>
          <w:cantSplit/>
          <w:trHeight w:val="1418" w:hRule="atLeast"/>
        </w:trPr>
        <w:tc>
          <w:tcPr>
            <w:tcW w:w="21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４　スケジュール</w:t>
            </w:r>
          </w:p>
        </w:tc>
        <w:tc>
          <w:tcPr>
            <w:tcW w:w="6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契約締結後から納品までの業務スケジュール及び各工程は、履行期間内に無理なく終えることができる内容となっているか。</w:t>
            </w:r>
          </w:p>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計画策定等を進めていく各工程において、特に留意すべきことやその理由が記載されているか。</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１０</w:t>
            </w:r>
          </w:p>
        </w:tc>
      </w:tr>
      <w:tr>
        <w:trPr>
          <w:cantSplit/>
          <w:trHeight w:val="995" w:hRule="atLeast"/>
        </w:trPr>
        <w:tc>
          <w:tcPr>
            <w:tcW w:w="21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５　経費見積書</w:t>
            </w:r>
          </w:p>
        </w:tc>
        <w:tc>
          <w:tcPr>
            <w:tcW w:w="6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実施内容に対し、必要な経費が無駄なく算定されているか。</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１０</w:t>
            </w:r>
          </w:p>
        </w:tc>
      </w:tr>
    </w:tbl>
    <w:p>
      <w:pPr>
        <w:pStyle w:val="0"/>
        <w:rPr>
          <w:rFonts w:hint="eastAsia" w:ascii="ＭＳ Ｐゴシック" w:hAnsi="ＭＳ Ｐゴシック" w:eastAsia="ＭＳ Ｐゴシック"/>
          <w:color w:val="auto"/>
          <w:sz w:val="24"/>
        </w:rPr>
      </w:pPr>
    </w:p>
    <w:sectPr>
      <w:headerReference r:id="rId5" w:type="default"/>
      <w:footerReference r:id="rId6" w:type="even"/>
      <w:footerReference r:id="rId7" w:type="default"/>
      <w:footnotePr>
        <w:numRestart w:val="eachPage"/>
      </w:footnotePr>
      <w:type w:val="continuous"/>
      <w:pgSz w:w="11906" w:h="16838"/>
      <w:pgMar w:top="850" w:right="1134" w:bottom="567" w:left="1134" w:header="624" w:footer="340" w:gutter="0"/>
      <w:pgNumType w:start="10"/>
      <w:cols w:space="720"/>
      <w:noEndnote w:val="1"/>
      <w:textDirection w:val="lrTb"/>
      <w:docGrid w:type="linesAndChars" w:linePitch="371"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0"/>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41"/>
  <w:drawingGridVerticalSpacing w:val="371"/>
  <w:displayHorizontalDrawingGridEvery w:val="0"/>
  <w:doNotShadeFormData/>
  <w:characterSpacingControl w:val="compressPunctuation"/>
  <w:noLineBreaksAfter w:lang="ja-JP" w:val="([{〈《「『【〔（［｛｢"/>
  <w:noLineBreaksBefore w:lang="ja-JP" w:val="!),.?]}、。〉》」』】〕！），．？］｝｡｣､ﾞﾟ"/>
  <w:savePreviewPicture/>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HG丸ｺﾞｼｯｸM-PRO"/>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djustRightInd w:val="1"/>
      <w:ind w:left="252" w:leftChars="105" w:firstLine="228" w:firstLineChars="95"/>
    </w:pPr>
  </w:style>
  <w:style w:type="paragraph" w:styleId="16">
    <w:name w:val="Body Text Indent 2"/>
    <w:basedOn w:val="0"/>
    <w:next w:val="16"/>
    <w:link w:val="0"/>
    <w:uiPriority w:val="0"/>
    <w:pPr>
      <w:adjustRightInd w:val="1"/>
      <w:ind w:firstLine="252" w:firstLineChars="105"/>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ody Text"/>
    <w:basedOn w:val="0"/>
    <w:next w:val="19"/>
    <w:link w:val="0"/>
    <w:uiPriority w:val="0"/>
    <w:rPr>
      <w:rFonts w:eastAsia="ＭＳ Ｐゴシック"/>
      <w:sz w:val="24"/>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371</TotalTime>
  <Pages>2</Pages>
  <Words>0</Words>
  <Characters>1361</Characters>
  <Application>JUST Note</Application>
  <Lines>401</Lines>
  <Paragraphs>60</Paragraphs>
  <CharactersWithSpaces>1473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高知県職員能力開発センター業務の委託先選定に関する審査実施要項(案)</dc:title>
  <dc:creator>ioas_user</dc:creator>
  <cp:lastModifiedBy>476876</cp:lastModifiedBy>
  <cp:lastPrinted>2012-11-19T02:40:00Z</cp:lastPrinted>
  <dcterms:created xsi:type="dcterms:W3CDTF">2007-01-17T10:23:00Z</dcterms:created>
  <dcterms:modified xsi:type="dcterms:W3CDTF">2026-05-20T07:38:37Z</dcterms:modified>
  <cp:revision>46</cp:revision>
</cp:coreProperties>
</file>