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rPr>
      </w:pP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widowControl w:val="1"/>
        <w:jc w:val="left"/>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ind w:left="264" w:hanging="264" w:hangingChars="125"/>
        <w:rPr>
          <w:rFonts w:hint="default"/>
          <w:color w:val="FF0000"/>
          <w:sz w:val="18"/>
        </w:rPr>
      </w:pPr>
      <w:bookmarkStart w:id="0" w:name="_GoBack"/>
      <w:bookmarkEnd w:id="0"/>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1310</TotalTime>
  <Pages>31</Pages>
  <Words>248</Words>
  <Characters>16338</Characters>
  <Application>JUST Note</Application>
  <Lines>40445</Lines>
  <Paragraphs>1126</Paragraphs>
  <CharactersWithSpaces>17469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533456</cp:lastModifiedBy>
  <cp:lastPrinted>2026-03-23T03:07:54Z</cp:lastPrinted>
  <dcterms:created xsi:type="dcterms:W3CDTF">2018-03-20T11:53:00Z</dcterms:created>
  <dcterms:modified xsi:type="dcterms:W3CDTF">2026-06-08T00:46:57Z</dcterms:modified>
  <cp:revision>75</cp:revision>
</cp:coreProperties>
</file>