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ＭＳ ゴシック" w:hAnsi="ＭＳ ゴシック" w:eastAsia="ＭＳ ゴシック"/>
        </w:rPr>
      </w:pPr>
      <w:r>
        <w:rPr>
          <w:rFonts w:hint="eastAsia" w:ascii="ＭＳ ゴシック" w:hAnsi="ＭＳ ゴシック" w:eastAsia="ＭＳ ゴシック"/>
          <w:sz w:val="36"/>
        </w:rPr>
        <w:t>Ⅲ　在宅生活等への移行や就労支援等の目標</w:t>
      </w:r>
    </w:p>
    <w:p>
      <w:pPr>
        <w:pStyle w:val="0"/>
        <w:rPr>
          <w:rFonts w:hint="default"/>
        </w:rPr>
      </w:pPr>
    </w:p>
    <w:p>
      <w:pPr>
        <w:pStyle w:val="0"/>
        <w:rPr>
          <w:rFonts w:hint="default"/>
        </w:rPr>
      </w:pPr>
    </w:p>
    <w:p>
      <w:pPr>
        <w:pStyle w:val="0"/>
        <w:rPr>
          <w:rFonts w:hint="default"/>
        </w:rPr>
      </w:pPr>
      <w:r>
        <w:rPr>
          <w:rFonts w:hint="eastAsia"/>
        </w:rPr>
        <w:t>　福祉施設や精神科病院から在宅生活やグループホーム等での生活への移行、就労支援等について、これまでの実績や地域における課題等を踏まえ、次のとおり目標を設定します。</w:t>
      </w:r>
    </w:p>
    <w:p>
      <w:pPr>
        <w:pStyle w:val="0"/>
        <w:rPr>
          <w:rFonts w:hint="default"/>
        </w:rPr>
      </w:pP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１　福祉施設の入所者の在宅生活等への移行</w:t>
      </w:r>
    </w:p>
    <w:p>
      <w:pPr>
        <w:pStyle w:val="0"/>
        <w:rPr>
          <w:rFonts w:hint="default"/>
        </w:rPr>
      </w:pPr>
    </w:p>
    <w:tbl>
      <w:tblPr>
        <w:tblStyle w:val="11"/>
        <w:tblW w:w="8760" w:type="dxa"/>
        <w:jc w:val="left"/>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0"/>
        <w:gridCol w:w="5400"/>
        <w:gridCol w:w="2520"/>
      </w:tblGrid>
      <w:tr>
        <w:trPr>
          <w:trHeight w:val="1065" w:hRule="atLeast"/>
        </w:trPr>
        <w:tc>
          <w:tcPr>
            <w:tcW w:w="624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w:t>
            </w:r>
            <w:r>
              <w:rPr>
                <w:rFonts w:hint="eastAsia" w:ascii="ＭＳ ゴシック" w:hAnsi="ＭＳ ゴシック" w:eastAsia="ＭＳ ゴシック"/>
              </w:rPr>
              <w:t>29</w:t>
            </w:r>
            <w:r>
              <w:rPr>
                <w:rFonts w:hint="eastAsia" w:ascii="ＭＳ ゴシック" w:hAnsi="ＭＳ ゴシック" w:eastAsia="ＭＳ ゴシック"/>
              </w:rPr>
              <w:t>年度から平成</w:t>
            </w:r>
            <w:r>
              <w:rPr>
                <w:rFonts w:hint="eastAsia" w:ascii="ＭＳ ゴシック" w:hAnsi="ＭＳ ゴシック" w:eastAsia="ＭＳ ゴシック"/>
              </w:rPr>
              <w:t>32</w:t>
            </w:r>
            <w:r>
              <w:rPr>
                <w:rFonts w:hint="eastAsia" w:ascii="ＭＳ ゴシック" w:hAnsi="ＭＳ ゴシック" w:eastAsia="ＭＳ ゴシック"/>
              </w:rPr>
              <w:t>年度末までに</w:t>
            </w:r>
          </w:p>
          <w:p>
            <w:pPr>
              <w:pStyle w:val="0"/>
              <w:rPr>
                <w:rFonts w:hint="default" w:ascii="ＭＳ ゴシック" w:hAnsi="ＭＳ ゴシック" w:eastAsia="ＭＳ ゴシック"/>
              </w:rPr>
            </w:pPr>
            <w:r>
              <w:rPr>
                <w:rFonts w:hint="eastAsia" w:ascii="ＭＳ ゴシック" w:hAnsi="ＭＳ ゴシック" w:eastAsia="ＭＳ ゴシック"/>
              </w:rPr>
              <w:t>入所施設</w:t>
            </w:r>
            <w:r>
              <w:rPr>
                <w:rFonts w:hint="eastAsia" w:ascii="ＭＳ ゴシック" w:hAnsi="ＭＳ ゴシック" w:eastAsia="ＭＳ ゴシック"/>
                <w:vertAlign w:val="subscript"/>
              </w:rPr>
              <w:t>（※１）</w:t>
            </w:r>
            <w:r>
              <w:rPr>
                <w:rFonts w:hint="eastAsia" w:ascii="ＭＳ ゴシック" w:hAnsi="ＭＳ ゴシック" w:eastAsia="ＭＳ ゴシック"/>
              </w:rPr>
              <w:t>から在宅生活等に移行する人の目標</w:t>
            </w:r>
          </w:p>
        </w:tc>
        <w:tc>
          <w:tcPr>
            <w:tcW w:w="2520" w:type="dxa"/>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６６人</w:t>
            </w:r>
          </w:p>
        </w:tc>
      </w:tr>
      <w:tr>
        <w:trPr>
          <w:trHeight w:val="712" w:hRule="atLeast"/>
        </w:trPr>
        <w:tc>
          <w:tcPr>
            <w:tcW w:w="840" w:type="dxa"/>
            <w:tcBorders>
              <w:top w:val="nil"/>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5400"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ind w:firstLine="240" w:firstLineChars="100"/>
              <w:rPr>
                <w:rFonts w:hint="default" w:ascii="ＭＳ ゴシック" w:hAnsi="ＭＳ ゴシック" w:eastAsia="ＭＳ ゴシック"/>
              </w:rPr>
            </w:pPr>
            <w:r>
              <w:rPr>
                <w:rFonts w:hint="eastAsia" w:ascii="ＭＳ ゴシック" w:hAnsi="ＭＳ ゴシック" w:eastAsia="ＭＳ ゴシック"/>
              </w:rPr>
              <w:t>うち、平成</w:t>
            </w:r>
            <w:r>
              <w:rPr>
                <w:rFonts w:hint="eastAsia" w:ascii="ＭＳ ゴシック" w:hAnsi="ＭＳ ゴシック" w:eastAsia="ＭＳ ゴシック"/>
              </w:rPr>
              <w:t>29</w:t>
            </w:r>
            <w:r>
              <w:rPr>
                <w:rFonts w:hint="eastAsia" w:ascii="ＭＳ ゴシック" w:hAnsi="ＭＳ ゴシック" w:eastAsia="ＭＳ ゴシック"/>
              </w:rPr>
              <w:t>年７月末までの実績</w:t>
            </w:r>
          </w:p>
        </w:tc>
        <w:tc>
          <w:tcPr>
            <w:tcW w:w="252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８人</w:t>
            </w:r>
          </w:p>
        </w:tc>
      </w:tr>
      <w:tr>
        <w:trPr>
          <w:trHeight w:val="1050" w:hRule="atLeast"/>
        </w:trPr>
        <w:tc>
          <w:tcPr>
            <w:tcW w:w="624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w:t>
            </w:r>
            <w:r>
              <w:rPr>
                <w:rFonts w:hint="eastAsia" w:ascii="ＭＳ ゴシック" w:hAnsi="ＭＳ ゴシック" w:eastAsia="ＭＳ ゴシック"/>
              </w:rPr>
              <w:t>32</w:t>
            </w:r>
            <w:r>
              <w:rPr>
                <w:rFonts w:hint="eastAsia" w:ascii="ＭＳ ゴシック" w:hAnsi="ＭＳ ゴシック" w:eastAsia="ＭＳ ゴシック"/>
              </w:rPr>
              <w:t>年度末における施設</w:t>
            </w:r>
            <w:r>
              <w:rPr>
                <w:rFonts w:hint="eastAsia" w:ascii="ＭＳ ゴシック" w:hAnsi="ＭＳ ゴシック" w:eastAsia="ＭＳ ゴシック"/>
                <w:vertAlign w:val="subscript"/>
              </w:rPr>
              <w:t>（※２）</w:t>
            </w:r>
            <w:r>
              <w:rPr>
                <w:rFonts w:hint="eastAsia" w:ascii="ＭＳ ゴシック" w:hAnsi="ＭＳ ゴシック" w:eastAsia="ＭＳ ゴシック"/>
              </w:rPr>
              <w:t>入所者数の目標</w:t>
            </w:r>
          </w:p>
          <w:p>
            <w:pPr>
              <w:pStyle w:val="0"/>
              <w:ind w:firstLine="2940" w:firstLineChars="1400"/>
              <w:rPr>
                <w:rFonts w:hint="default" w:ascii="ＭＳ ゴシック" w:hAnsi="ＭＳ ゴシック" w:eastAsia="ＭＳ ゴシック"/>
              </w:rPr>
            </w:pPr>
            <w:r>
              <w:rPr>
                <w:rFonts w:hint="eastAsia" w:ascii="ＭＳ ゴシック" w:hAnsi="ＭＳ ゴシック" w:eastAsia="ＭＳ ゴシック"/>
                <w:sz w:val="21"/>
              </w:rPr>
              <w:t>（平成</w:t>
            </w:r>
            <w:r>
              <w:rPr>
                <w:rFonts w:hint="eastAsia" w:ascii="ＭＳ ゴシック" w:hAnsi="ＭＳ ゴシック" w:eastAsia="ＭＳ ゴシック"/>
                <w:sz w:val="21"/>
              </w:rPr>
              <w:t>28</w:t>
            </w:r>
            <w:r>
              <w:rPr>
                <w:rFonts w:hint="eastAsia" w:ascii="ＭＳ ゴシック" w:hAnsi="ＭＳ ゴシック" w:eastAsia="ＭＳ ゴシック"/>
                <w:sz w:val="21"/>
              </w:rPr>
              <w:t>年度末現在</w:t>
            </w:r>
            <w:r>
              <w:rPr>
                <w:rFonts w:hint="eastAsia" w:ascii="ＭＳ ゴシック" w:hAnsi="ＭＳ ゴシック" w:eastAsia="ＭＳ ゴシック"/>
                <w:sz w:val="21"/>
              </w:rPr>
              <w:t>1,278</w:t>
            </w:r>
            <w:r>
              <w:rPr>
                <w:rFonts w:hint="eastAsia" w:ascii="ＭＳ ゴシック" w:hAnsi="ＭＳ ゴシック" w:eastAsia="ＭＳ ゴシック"/>
                <w:sz w:val="21"/>
              </w:rPr>
              <w:t>人）</w:t>
            </w:r>
          </w:p>
        </w:tc>
        <w:tc>
          <w:tcPr>
            <w:tcW w:w="252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１，２９２人</w:t>
            </w:r>
          </w:p>
        </w:tc>
      </w:tr>
      <w:tr>
        <w:trPr>
          <w:trHeight w:val="734" w:hRule="atLeast"/>
        </w:trPr>
        <w:tc>
          <w:tcPr>
            <w:tcW w:w="840" w:type="dxa"/>
            <w:tcBorders>
              <w:top w:val="nil"/>
              <w:left w:val="single" w:color="auto" w:sz="4" w:space="0"/>
              <w:bottom w:val="single" w:color="auto" w:sz="4" w:space="0"/>
              <w:right w:val="dashed" w:color="auto" w:sz="4" w:space="0"/>
              <w:tl2br w:val="none" w:color="auto" w:sz="0" w:space="0"/>
              <w:tr2bl w:val="none" w:color="auto" w:sz="0" w:space="0"/>
            </w:tcBorders>
            <w:vAlign w:val="top"/>
          </w:tcPr>
          <w:p>
            <w:pPr>
              <w:pStyle w:val="0"/>
              <w:rPr>
                <w:rFonts w:hint="default"/>
              </w:rPr>
            </w:pPr>
          </w:p>
        </w:tc>
        <w:tc>
          <w:tcPr>
            <w:tcW w:w="5400"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ind w:firstLine="240" w:firstLineChars="100"/>
              <w:rPr>
                <w:rFonts w:hint="default" w:ascii="ＭＳ ゴシック" w:hAnsi="ＭＳ ゴシック" w:eastAsia="ＭＳ ゴシック"/>
              </w:rPr>
            </w:pPr>
            <w:r>
              <w:rPr>
                <w:rFonts w:hint="eastAsia" w:ascii="ＭＳ ゴシック" w:hAnsi="ＭＳ ゴシック" w:eastAsia="ＭＳ ゴシック"/>
              </w:rPr>
              <w:t>平成</w:t>
            </w:r>
            <w:r>
              <w:rPr>
                <w:rFonts w:hint="eastAsia" w:ascii="ＭＳ ゴシック" w:hAnsi="ＭＳ ゴシック" w:eastAsia="ＭＳ ゴシック"/>
              </w:rPr>
              <w:t>29</w:t>
            </w:r>
            <w:r>
              <w:rPr>
                <w:rFonts w:hint="eastAsia" w:ascii="ＭＳ ゴシック" w:hAnsi="ＭＳ ゴシック" w:eastAsia="ＭＳ ゴシック"/>
              </w:rPr>
              <w:t>年７月末現在の施設入所者数</w:t>
            </w:r>
          </w:p>
        </w:tc>
        <w:tc>
          <w:tcPr>
            <w:tcW w:w="252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１，２７８人</w:t>
            </w:r>
          </w:p>
        </w:tc>
      </w:tr>
    </w:tbl>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(1)</w:t>
      </w:r>
      <w:r>
        <w:rPr>
          <w:rFonts w:hint="eastAsia" w:asciiTheme="minorEastAsia" w:hAnsiTheme="minorEastAsia"/>
        </w:rPr>
        <w:t>　これまでの実績</w:t>
      </w:r>
    </w:p>
    <w:p>
      <w:pPr>
        <w:pStyle w:val="0"/>
        <w:ind w:left="240" w:leftChars="100" w:firstLine="240" w:firstLineChars="100"/>
        <w:rPr>
          <w:rFonts w:hint="default" w:asciiTheme="minorEastAsia" w:hAnsiTheme="minorEastAsia"/>
        </w:rPr>
      </w:pPr>
      <w:r>
        <w:rPr>
          <w:rFonts w:hint="eastAsia" w:asciiTheme="minorEastAsia" w:hAnsiTheme="minorEastAsia"/>
        </w:rPr>
        <w:t>第４期計画では、平成</w:t>
      </w:r>
      <w:r>
        <w:rPr>
          <w:rFonts w:hint="eastAsia" w:asciiTheme="minorEastAsia" w:hAnsiTheme="minorEastAsia"/>
        </w:rPr>
        <w:t>26</w:t>
      </w:r>
      <w:r>
        <w:rPr>
          <w:rFonts w:hint="eastAsia" w:asciiTheme="minorEastAsia" w:hAnsiTheme="minorEastAsia"/>
        </w:rPr>
        <w:t>年度から平成</w:t>
      </w:r>
      <w:r>
        <w:rPr>
          <w:rFonts w:hint="eastAsia" w:asciiTheme="minorEastAsia" w:hAnsiTheme="minorEastAsia"/>
        </w:rPr>
        <w:t>29</w:t>
      </w:r>
      <w:r>
        <w:rPr>
          <w:rFonts w:hint="eastAsia" w:asciiTheme="minorEastAsia" w:hAnsiTheme="minorEastAsia"/>
        </w:rPr>
        <w:t>年度末までに</w:t>
      </w:r>
      <w:r>
        <w:rPr>
          <w:rFonts w:hint="eastAsia" w:asciiTheme="minorEastAsia" w:hAnsiTheme="minorEastAsia"/>
        </w:rPr>
        <w:t>94</w:t>
      </w:r>
      <w:r>
        <w:rPr>
          <w:rFonts w:hint="eastAsia" w:asciiTheme="minorEastAsia" w:hAnsiTheme="minorEastAsia"/>
        </w:rPr>
        <w:t>人が入所施設から在宅生活等へ移行するとともに、施設入所者数を</w:t>
      </w:r>
      <w:r>
        <w:rPr>
          <w:rFonts w:hint="eastAsia" w:asciiTheme="minorEastAsia" w:hAnsiTheme="minorEastAsia"/>
        </w:rPr>
        <w:t>1,305</w:t>
      </w:r>
      <w:r>
        <w:rPr>
          <w:rFonts w:hint="eastAsia" w:asciiTheme="minorEastAsia" w:hAnsiTheme="minorEastAsia"/>
        </w:rPr>
        <w:t>人とすることを目標としていました。</w:t>
      </w:r>
    </w:p>
    <w:p>
      <w:pPr>
        <w:pStyle w:val="0"/>
        <w:ind w:left="240" w:leftChars="100" w:firstLine="240" w:firstLineChars="100"/>
        <w:rPr>
          <w:rFonts w:hint="default" w:asciiTheme="minorEastAsia" w:hAnsiTheme="minorEastAsia"/>
        </w:rPr>
      </w:pPr>
      <w:r>
        <w:rPr>
          <w:rFonts w:hint="eastAsia" w:asciiTheme="minorEastAsia" w:hAnsiTheme="minorEastAsia"/>
        </w:rPr>
        <w:t>これに対して、平成</w:t>
      </w:r>
      <w:r>
        <w:rPr>
          <w:rFonts w:hint="eastAsia" w:asciiTheme="minorEastAsia" w:hAnsiTheme="minorEastAsia"/>
        </w:rPr>
        <w:t>29</w:t>
      </w:r>
      <w:r>
        <w:rPr>
          <w:rFonts w:hint="eastAsia" w:asciiTheme="minorEastAsia" w:hAnsiTheme="minorEastAsia"/>
        </w:rPr>
        <w:t>年７月末時点で、目標の</w:t>
      </w:r>
      <w:r>
        <w:rPr>
          <w:rFonts w:hint="eastAsia" w:asciiTheme="minorEastAsia" w:hAnsiTheme="minorEastAsia"/>
        </w:rPr>
        <w:t>98</w:t>
      </w:r>
      <w:r>
        <w:rPr>
          <w:rFonts w:hint="eastAsia" w:asciiTheme="minorEastAsia" w:hAnsiTheme="minorEastAsia"/>
        </w:rPr>
        <w:t>％にあたる</w:t>
      </w:r>
      <w:r>
        <w:rPr>
          <w:rFonts w:hint="eastAsia" w:asciiTheme="minorEastAsia" w:hAnsiTheme="minorEastAsia"/>
        </w:rPr>
        <w:t>93</w:t>
      </w:r>
      <w:r>
        <w:rPr>
          <w:rFonts w:hint="eastAsia" w:asciiTheme="minorEastAsia" w:hAnsiTheme="minorEastAsia"/>
        </w:rPr>
        <w:t>人が在宅生活等に移行しており、そのなかで約５割がグループホーム、約４割が自宅に移行しています。</w:t>
      </w:r>
    </w:p>
    <w:p>
      <w:pPr>
        <w:pStyle w:val="0"/>
        <w:ind w:firstLine="480" w:firstLineChars="200"/>
        <w:rPr>
          <w:rFonts w:hint="default" w:asciiTheme="minorEastAsia" w:hAnsiTheme="minorEastAsia"/>
        </w:rPr>
      </w:pPr>
      <w:r>
        <w:rPr>
          <w:rFonts w:hint="eastAsia" w:asciiTheme="minorEastAsia" w:hAnsiTheme="minorEastAsia"/>
        </w:rPr>
        <w:t>施設入所者数は、平成</w:t>
      </w:r>
      <w:r>
        <w:rPr>
          <w:rFonts w:hint="eastAsia" w:asciiTheme="minorEastAsia" w:hAnsiTheme="minorEastAsia"/>
        </w:rPr>
        <w:t>29</w:t>
      </w:r>
      <w:r>
        <w:rPr>
          <w:rFonts w:hint="eastAsia" w:asciiTheme="minorEastAsia" w:hAnsiTheme="minorEastAsia"/>
        </w:rPr>
        <w:t>年７月末時点で</w:t>
      </w:r>
      <w:r>
        <w:rPr>
          <w:rFonts w:hint="eastAsia" w:asciiTheme="minorEastAsia" w:hAnsiTheme="minorEastAsia"/>
        </w:rPr>
        <w:t>1,278</w:t>
      </w:r>
      <w:r>
        <w:rPr>
          <w:rFonts w:hint="eastAsia" w:asciiTheme="minorEastAsia" w:hAnsiTheme="minorEastAsia"/>
        </w:rPr>
        <w:t>人となっています。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(2)</w:t>
      </w:r>
      <w:r>
        <w:rPr>
          <w:rFonts w:hint="eastAsia" w:asciiTheme="minorEastAsia" w:hAnsiTheme="minorEastAsia"/>
        </w:rPr>
        <w:t>　目標設定の考え方等</w:t>
      </w:r>
    </w:p>
    <w:p>
      <w:pPr>
        <w:pStyle w:val="0"/>
        <w:ind w:left="240" w:leftChars="100" w:firstLine="240" w:firstLineChars="100"/>
        <w:rPr>
          <w:rFonts w:hint="default" w:asciiTheme="minorEastAsia" w:hAnsiTheme="minorEastAsia"/>
        </w:rPr>
      </w:pPr>
      <w:r>
        <w:rPr>
          <w:rFonts w:hint="eastAsia" w:asciiTheme="minorEastAsia" w:hAnsiTheme="minorEastAsia"/>
        </w:rPr>
        <w:t>現に施設に入所している人の障害や家族の状況、年齢、地域のサービス提供基盤の整備状況等の他、計画策定にあたって県及び市町村が実施したアンケート調査の結果などを参考にしながら市町村が見込んだサービス利用量の算出結果などから、在宅生活やグループホーム等での生活に移行する人の目標を</w:t>
      </w:r>
      <w:r>
        <w:rPr>
          <w:rFonts w:hint="eastAsia" w:asciiTheme="minorEastAsia" w:hAnsiTheme="minorEastAsia"/>
        </w:rPr>
        <w:t>66</w:t>
      </w:r>
      <w:r>
        <w:rPr>
          <w:rFonts w:hint="eastAsia" w:asciiTheme="minorEastAsia" w:hAnsiTheme="minorEastAsia"/>
        </w:rPr>
        <w:t>人と設定します。また、施設入所者数は、</w:t>
      </w:r>
      <w:r>
        <w:rPr>
          <w:rFonts w:hint="eastAsia" w:asciiTheme="minorEastAsia" w:hAnsiTheme="minorEastAsia"/>
        </w:rPr>
        <w:t>1,292</w:t>
      </w:r>
      <w:r>
        <w:rPr>
          <w:rFonts w:hint="eastAsia" w:asciiTheme="minorEastAsia" w:hAnsiTheme="minorEastAsia"/>
        </w:rPr>
        <w:t>人とします。</w:t>
      </w:r>
    </w:p>
    <w:p>
      <w:pPr>
        <w:pStyle w:val="0"/>
        <w:widowControl w:val="1"/>
        <w:jc w:val="left"/>
        <w:rPr>
          <w:rFonts w:hint="default" w:asciiTheme="minorEastAsia" w:hAnsiTheme="minorEastAsia"/>
        </w:rPr>
      </w:pPr>
    </w:p>
    <w:tbl>
      <w:tblPr>
        <w:tblStyle w:val="27"/>
        <w:tblW w:w="9639" w:type="dxa"/>
        <w:jc w:val="left"/>
        <w:tblInd w:w="108" w:type="dxa"/>
        <w:tblBorders>
          <w:top w:val="threeDEngrave" w:color="auto" w:sz="18" w:space="0"/>
          <w:left w:val="none" w:color="auto" w:sz="0" w:space="0"/>
          <w:bottom w:val="none" w:color="auto" w:sz="0" w:space="0"/>
          <w:right w:val="none" w:color="auto" w:sz="0" w:space="0"/>
          <w:insideH w:val="threeDEngrave" w:color="auto" w:sz="18" w:space="0"/>
          <w:insideV w:val="threeDEngrave" w:color="auto" w:sz="18" w:space="0"/>
        </w:tblBorders>
        <w:tblLayout w:type="fixed"/>
        <w:tblLook w:firstRow="1" w:lastRow="0" w:firstColumn="1" w:lastColumn="0" w:noHBand="0" w:noVBand="1" w:val="04A0"/>
      </w:tblPr>
      <w:tblGrid>
        <w:gridCol w:w="9639"/>
      </w:tblGrid>
      <w:tr>
        <w:trPr/>
        <w:tc>
          <w:tcPr>
            <w:tcW w:w="9639" w:type="dxa"/>
            <w:vAlign w:val="top"/>
          </w:tcPr>
          <w:p>
            <w:pPr>
              <w:pStyle w:val="0"/>
              <w:rPr>
                <w:rFonts w:hint="default" w:ascii="ＭＳ 明朝" w:hAnsi="ＭＳ 明朝"/>
                <w:sz w:val="21"/>
              </w:rPr>
            </w:pPr>
            <w:r>
              <w:rPr>
                <w:rFonts w:hint="eastAsia" w:ascii="ＭＳ 明朝" w:hAnsi="ＭＳ 明朝"/>
                <w:sz w:val="21"/>
              </w:rPr>
              <w:t>※１　入所施設</w:t>
            </w:r>
          </w:p>
          <w:p>
            <w:pPr>
              <w:pStyle w:val="0"/>
              <w:ind w:left="422" w:leftChars="176" w:firstLine="204" w:firstLineChars="97"/>
              <w:rPr>
                <w:rFonts w:hint="default" w:ascii="ＭＳ 明朝" w:hAnsi="ＭＳ 明朝"/>
                <w:sz w:val="21"/>
              </w:rPr>
            </w:pPr>
            <w:r>
              <w:rPr>
                <w:rFonts w:hint="eastAsia" w:ascii="ＭＳ 明朝" w:hAnsi="ＭＳ 明朝"/>
                <w:sz w:val="21"/>
              </w:rPr>
              <w:t>ここでは、障害者支援施設を指します。</w:t>
            </w:r>
          </w:p>
          <w:p>
            <w:pPr>
              <w:pStyle w:val="0"/>
              <w:rPr>
                <w:rFonts w:hint="default" w:ascii="ＭＳ 明朝" w:hAnsi="ＭＳ 明朝"/>
                <w:sz w:val="21"/>
              </w:rPr>
            </w:pPr>
          </w:p>
          <w:p>
            <w:pPr>
              <w:pStyle w:val="0"/>
              <w:widowControl w:val="1"/>
              <w:ind w:left="420" w:hanging="420" w:hangingChars="200"/>
              <w:jc w:val="left"/>
              <w:rPr>
                <w:rFonts w:hint="default" w:asciiTheme="minorEastAsia" w:hAnsiTheme="minorEastAsia"/>
              </w:rPr>
            </w:pPr>
            <w:r>
              <w:rPr>
                <w:rFonts w:hint="eastAsia" w:ascii="ＭＳ 明朝" w:hAnsi="ＭＳ 明朝"/>
                <w:sz w:val="21"/>
              </w:rPr>
              <w:t>※２　児童福祉法の改正により、</w:t>
            </w:r>
            <w:r>
              <w:rPr>
                <w:rFonts w:hint="eastAsia" w:ascii="ＭＳ 明朝" w:hAnsi="ＭＳ 明朝"/>
                <w:sz w:val="21"/>
              </w:rPr>
              <w:t>18</w:t>
            </w:r>
            <w:r>
              <w:rPr>
                <w:rFonts w:hint="eastAsia" w:ascii="ＭＳ 明朝" w:hAnsi="ＭＳ 明朝"/>
                <w:sz w:val="21"/>
              </w:rPr>
              <w:t>歳以上の入所者について障害者総合支援法に基づく障害者支援施設等として利用させることとした施設を除きます。</w:t>
            </w:r>
          </w:p>
        </w:tc>
      </w:tr>
    </w:tbl>
    <w:p>
      <w:pPr>
        <w:pStyle w:val="0"/>
        <w:rPr>
          <w:rFonts w:hint="default" w:asciiTheme="minorEastAsia" w:hAnsiTheme="minorEastAsia"/>
        </w:rPr>
      </w:pPr>
      <w:r>
        <w:rPr>
          <w:rFonts w:hint="eastAsia" w:asciiTheme="minorEastAsia" w:hAnsiTheme="minorEastAsia"/>
        </w:rPr>
        <w:t>(3)</w:t>
      </w:r>
      <w:r>
        <w:rPr>
          <w:rFonts w:hint="eastAsia" w:asciiTheme="minorEastAsia" w:hAnsiTheme="minorEastAsia"/>
        </w:rPr>
        <w:t>　目標達成への取り組み</w:t>
      </w:r>
    </w:p>
    <w:p>
      <w:pPr>
        <w:pStyle w:val="0"/>
        <w:rPr>
          <w:rFonts w:hint="default" w:asciiTheme="minorEastAsia" w:hAnsiTheme="minorEastAsia"/>
        </w:rPr>
      </w:pPr>
    </w:p>
    <w:p>
      <w:pPr>
        <w:pStyle w:val="0"/>
        <w:ind w:firstLine="240" w:firstLineChars="100"/>
        <w:rPr>
          <w:rFonts w:hint="default" w:asciiTheme="minorEastAsia" w:hAnsiTheme="minorEastAsia"/>
        </w:rPr>
      </w:pPr>
      <w:r>
        <w:rPr>
          <w:rFonts w:hint="eastAsia" w:asciiTheme="minorEastAsia" w:hAnsiTheme="minorEastAsia"/>
        </w:rPr>
        <w:t>①　障害や障害のある人に対する理解の促進</w:t>
      </w:r>
    </w:p>
    <w:p>
      <w:pPr>
        <w:pStyle w:val="0"/>
        <w:ind w:left="720" w:leftChars="200" w:hanging="240" w:hangingChars="100"/>
        <w:rPr>
          <w:rFonts w:hint="default" w:asciiTheme="minorEastAsia" w:hAnsiTheme="minorEastAsia"/>
        </w:rPr>
      </w:pPr>
      <w:r>
        <w:rPr>
          <w:rFonts w:hint="eastAsia" w:asciiTheme="minorEastAsia" w:hAnsiTheme="minorEastAsia"/>
        </w:rPr>
        <w:t>○　障害のある人が地域で安心して暮らしていくためには、県民一人ひとりが障害や障害のある人を理解し、障害のある人もない人も、お互いに人格と個性を尊重することが必要です。</w:t>
      </w:r>
    </w:p>
    <w:p>
      <w:pPr>
        <w:pStyle w:val="0"/>
        <w:ind w:left="720" w:leftChars="300" w:firstLine="240" w:firstLineChars="100"/>
        <w:rPr>
          <w:rFonts w:hint="default" w:asciiTheme="minorEastAsia" w:hAnsiTheme="minorEastAsia"/>
        </w:rPr>
      </w:pPr>
      <w:r>
        <w:rPr>
          <w:rFonts w:hint="eastAsia" w:asciiTheme="minorEastAsia" w:hAnsiTheme="minorEastAsia"/>
        </w:rPr>
        <w:t>そのため、県・市町村の広報媒体やイベントの開催などの啓発活動を通じて、県民の障害や障害のある人に対する理解を促進します。また、障害者団体や福祉団体などが主体的に行う啓発活動や交流活動を支援します。</w:t>
      </w:r>
    </w:p>
    <w:p>
      <w:pPr>
        <w:pStyle w:val="0"/>
        <w:rPr>
          <w:rFonts w:hint="default" w:asciiTheme="minorEastAsia" w:hAnsiTheme="minorEastAsia"/>
        </w:rPr>
      </w:pPr>
    </w:p>
    <w:p>
      <w:pPr>
        <w:pStyle w:val="0"/>
        <w:ind w:firstLine="240" w:firstLineChars="100"/>
        <w:rPr>
          <w:rFonts w:hint="default" w:asciiTheme="minorEastAsia" w:hAnsiTheme="minorEastAsia"/>
        </w:rPr>
      </w:pPr>
      <w:r>
        <w:rPr>
          <w:rFonts w:hint="eastAsia" w:asciiTheme="minorEastAsia" w:hAnsiTheme="minorEastAsia"/>
        </w:rPr>
        <w:t>②　相談支援体制等の充実</w:t>
      </w:r>
    </w:p>
    <w:p>
      <w:pPr>
        <w:pStyle w:val="0"/>
        <w:ind w:left="720" w:leftChars="200" w:hanging="240" w:hangingChars="100"/>
        <w:rPr>
          <w:rFonts w:hint="default" w:asciiTheme="minorEastAsia" w:hAnsiTheme="minorEastAsia"/>
        </w:rPr>
      </w:pPr>
      <w:r>
        <w:rPr>
          <w:rFonts w:hint="eastAsia" w:asciiTheme="minorEastAsia" w:hAnsiTheme="minorEastAsia"/>
        </w:rPr>
        <w:t>○　「地域移行支援」や「地域定着支援」を実施する指定一般相談支援事業所や基幹相談支援センターの設置を促進し、市町村や障害福祉サービス事業所と連携して相談支援体制の充実を図ります。</w:t>
      </w:r>
    </w:p>
    <w:p>
      <w:pPr>
        <w:pStyle w:val="0"/>
        <w:ind w:left="720" w:leftChars="200" w:hanging="240" w:hangingChars="100"/>
        <w:rPr>
          <w:rFonts w:hint="default" w:asciiTheme="minorEastAsia" w:hAnsiTheme="minorEastAsia"/>
        </w:rPr>
      </w:pPr>
      <w:r>
        <w:rPr>
          <w:rFonts w:hint="eastAsia" w:asciiTheme="minorEastAsia" w:hAnsiTheme="minorEastAsia"/>
        </w:rPr>
        <w:t>○　障害のある人の在宅生活等を支えるため、市町村や関係事業所などと連携を図りながら、訪問系サービスや短期入所、地域生活支援事業など、在宅サービスの充実、さらには、平成</w:t>
      </w:r>
      <w:r>
        <w:rPr>
          <w:rFonts w:hint="eastAsia" w:asciiTheme="minorEastAsia" w:hAnsiTheme="minorEastAsia"/>
        </w:rPr>
        <w:t>30</w:t>
      </w:r>
      <w:r>
        <w:rPr>
          <w:rFonts w:hint="eastAsia" w:asciiTheme="minorEastAsia" w:hAnsiTheme="minorEastAsia"/>
        </w:rPr>
        <w:t>年度より創設される自立生活援助のサービス提供体制の充実に努めます。</w:t>
      </w:r>
    </w:p>
    <w:p>
      <w:pPr>
        <w:pStyle w:val="0"/>
        <w:rPr>
          <w:rFonts w:hint="default" w:asciiTheme="minorEastAsia" w:hAnsiTheme="minorEastAsia"/>
        </w:rPr>
      </w:pPr>
    </w:p>
    <w:p>
      <w:pPr>
        <w:pStyle w:val="0"/>
        <w:ind w:firstLine="240" w:firstLineChars="100"/>
        <w:rPr>
          <w:rFonts w:hint="default" w:asciiTheme="minorEastAsia" w:hAnsiTheme="minorEastAsia"/>
        </w:rPr>
      </w:pPr>
      <w:r>
        <w:rPr>
          <w:rFonts w:hint="eastAsia" w:asciiTheme="minorEastAsia" w:hAnsiTheme="minorEastAsia"/>
        </w:rPr>
        <w:t>③　住まいの場の確保</w:t>
      </w:r>
    </w:p>
    <w:p>
      <w:pPr>
        <w:pStyle w:val="0"/>
        <w:ind w:left="720" w:leftChars="200" w:hanging="240" w:hangingChars="100"/>
        <w:rPr>
          <w:rFonts w:hint="default" w:asciiTheme="minorEastAsia" w:hAnsiTheme="minorEastAsia"/>
        </w:rPr>
      </w:pPr>
      <w:r>
        <w:rPr>
          <w:rFonts w:hint="eastAsia" w:asciiTheme="minorEastAsia" w:hAnsiTheme="minorEastAsia"/>
        </w:rPr>
        <w:t>○　独立した生活を目指す人が支援を受けながら生活するグループホームの充実を図るため、施設整備に対する助成を行いながら積極的に整備を進めます。</w:t>
      </w:r>
    </w:p>
    <w:p>
      <w:pPr>
        <w:pStyle w:val="0"/>
        <w:ind w:left="720" w:leftChars="200" w:hanging="240" w:hangingChars="100"/>
        <w:rPr>
          <w:rFonts w:hint="default" w:asciiTheme="minorEastAsia" w:hAnsiTheme="minorEastAsia"/>
        </w:rPr>
      </w:pPr>
      <w:r>
        <w:rPr>
          <w:rFonts w:hint="eastAsia" w:asciiTheme="minorEastAsia" w:hAnsiTheme="minorEastAsia"/>
        </w:rPr>
        <w:t>○　希望する人が可能な限り在宅生活が続けられるよう、住宅改造への助成を行うことにより、住環境の整備を進めます。</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ind w:firstLine="280" w:firstLineChars="100"/>
        <w:jc w:val="left"/>
        <w:rPr>
          <w:rFonts w:hint="default" w:ascii="ＭＳ 明朝" w:hAnsi="ＭＳ 明朝" w:eastAsia="ＭＳ ゴシック"/>
          <w:sz w:val="28"/>
        </w:rPr>
      </w:pPr>
      <w:r>
        <w:rPr>
          <w:rFonts w:hint="eastAsia" w:ascii="ＭＳ 明朝" w:hAnsi="ＭＳ 明朝" w:eastAsia="ＭＳ ゴシック"/>
          <w:sz w:val="28"/>
        </w:rPr>
        <w:t>２　精神障害にも対応した地域包括ケアシステムの構築</w:t>
      </w:r>
    </w:p>
    <w:p>
      <w:pPr>
        <w:pStyle w:val="0"/>
        <w:ind w:firstLine="240" w:firstLineChars="100"/>
        <w:jc w:val="left"/>
        <w:rPr>
          <w:rFonts w:hint="default" w:ascii="ＭＳ ゴシック" w:hAnsi="ＭＳ ゴシック"/>
        </w:rPr>
      </w:pPr>
    </w:p>
    <w:tbl>
      <w:tblPr>
        <w:tblStyle w:val="11"/>
        <w:tblW w:w="0" w:type="auto"/>
        <w:jc w:val="left"/>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226"/>
        <w:gridCol w:w="2920"/>
      </w:tblGrid>
      <w:tr>
        <w:trPr>
          <w:trHeight w:val="1134" w:hRule="atLeast"/>
        </w:trPr>
        <w:tc>
          <w:tcPr>
            <w:tcW w:w="62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保健・医療・福祉関係者による協議の場の設置の目標</w:t>
            </w:r>
          </w:p>
          <w:p>
            <w:pPr>
              <w:pStyle w:val="0"/>
              <w:rPr>
                <w:rFonts w:hint="default" w:ascii="ＭＳ ゴシック" w:hAnsi="ＭＳ ゴシック" w:eastAsia="ＭＳ ゴシック"/>
                <w:kern w:val="0"/>
              </w:rPr>
            </w:pPr>
            <w:r>
              <w:rPr>
                <w:rFonts w:hint="eastAsia" w:ascii="ＭＳ ゴシック" w:hAnsi="ＭＳ ゴシック" w:eastAsia="ＭＳ ゴシック"/>
                <w:kern w:val="0"/>
              </w:rPr>
              <w:t>（平成</w:t>
            </w:r>
            <w:r>
              <w:rPr>
                <w:rFonts w:hint="eastAsia" w:ascii="ＭＳ ゴシック" w:hAnsi="ＭＳ ゴシック" w:eastAsia="ＭＳ ゴシック"/>
                <w:kern w:val="0"/>
              </w:rPr>
              <w:t>32</w:t>
            </w:r>
            <w:r>
              <w:rPr>
                <w:rFonts w:hint="eastAsia" w:ascii="ＭＳ ゴシック" w:hAnsi="ＭＳ ゴシック" w:eastAsia="ＭＳ ゴシック"/>
                <w:kern w:val="0"/>
              </w:rPr>
              <w:t>年度末までに県、各圏域、各市町村に設置）</w:t>
            </w:r>
          </w:p>
        </w:tc>
        <w:tc>
          <w:tcPr>
            <w:tcW w:w="2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left="0" w:leftChars="0" w:firstLine="280" w:firstLineChars="100"/>
              <w:rPr>
                <w:rFonts w:hint="default" w:ascii="ＭＳ ゴシック" w:hAnsi="ＭＳ ゴシック" w:eastAsia="ＭＳ ゴシック"/>
                <w:b w:val="1"/>
                <w:sz w:val="28"/>
              </w:rPr>
            </w:pPr>
            <w:r>
              <w:rPr>
                <w:rFonts w:hint="eastAsia" w:ascii="ＭＳ ゴシック" w:hAnsi="ＭＳ ゴシック" w:eastAsia="ＭＳ ゴシック"/>
                <w:b w:val="1"/>
                <w:sz w:val="28"/>
              </w:rPr>
              <w:t>県　　　：１</w:t>
            </w:r>
          </w:p>
          <w:p>
            <w:pPr>
              <w:pStyle w:val="0"/>
              <w:spacing w:line="0" w:lineRule="atLeast"/>
              <w:ind w:left="0" w:leftChars="0" w:firstLine="280" w:firstLineChars="100"/>
              <w:rPr>
                <w:rFonts w:hint="default" w:ascii="ＭＳ ゴシック" w:hAnsi="ＭＳ ゴシック" w:eastAsia="ＭＳ ゴシック"/>
                <w:b w:val="1"/>
                <w:sz w:val="28"/>
              </w:rPr>
            </w:pPr>
            <w:r>
              <w:rPr>
                <w:rFonts w:hint="eastAsia" w:ascii="ＭＳ ゴシック" w:hAnsi="ＭＳ ゴシック" w:eastAsia="ＭＳ ゴシック"/>
                <w:b w:val="1"/>
                <w:sz w:val="28"/>
              </w:rPr>
              <w:t>圏域　　：５</w:t>
            </w:r>
          </w:p>
          <w:p>
            <w:pPr>
              <w:pStyle w:val="0"/>
              <w:spacing w:line="0" w:lineRule="atLeast"/>
              <w:ind w:left="0" w:leftChars="0" w:firstLine="280" w:firstLineChars="100"/>
              <w:rPr>
                <w:rFonts w:hint="default" w:ascii="ＭＳ ゴシック" w:hAnsi="ＭＳ ゴシック" w:eastAsia="ＭＳ ゴシック"/>
                <w:b w:val="1"/>
                <w:sz w:val="28"/>
              </w:rPr>
            </w:pPr>
            <w:r>
              <w:rPr>
                <w:rFonts w:hint="eastAsia" w:ascii="ＭＳ ゴシック" w:hAnsi="ＭＳ ゴシック" w:eastAsia="ＭＳ ゴシック"/>
                <w:b w:val="1"/>
                <w:sz w:val="28"/>
              </w:rPr>
              <w:t>市町村</w:t>
            </w:r>
            <w:r>
              <w:rPr>
                <w:rFonts w:hint="eastAsia" w:ascii="ＭＳ ゴシック" w:hAnsi="ＭＳ ゴシック" w:eastAsia="ＭＳ ゴシック"/>
                <w:b w:val="1"/>
                <w:color w:val="auto"/>
                <w:sz w:val="28"/>
                <w:highlight w:val="none"/>
              </w:rPr>
              <w:t>等</w:t>
            </w:r>
            <w:r>
              <w:rPr>
                <w:rFonts w:hint="eastAsia" w:ascii="ＭＳ ゴシック" w:hAnsi="ＭＳ ゴシック" w:eastAsia="ＭＳ ゴシック"/>
                <w:b w:val="1"/>
                <w:sz w:val="28"/>
              </w:rPr>
              <w:t>：</w:t>
            </w:r>
            <w:r>
              <w:rPr>
                <w:rFonts w:hint="eastAsia" w:ascii="ＭＳ ゴシック" w:hAnsi="ＭＳ ゴシック" w:eastAsia="ＭＳ ゴシック"/>
                <w:b w:val="1"/>
                <w:sz w:val="28"/>
              </w:rPr>
              <w:t>30</w:t>
            </w:r>
          </w:p>
        </w:tc>
      </w:tr>
      <w:tr>
        <w:trPr>
          <w:trHeight w:val="1134" w:hRule="atLeast"/>
        </w:trPr>
        <w:tc>
          <w:tcPr>
            <w:tcW w:w="62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平成</w:t>
            </w:r>
            <w:r>
              <w:rPr>
                <w:rFonts w:hint="eastAsia" w:ascii="ＭＳ ゴシック" w:hAnsi="ＭＳ ゴシック" w:eastAsia="ＭＳ ゴシック"/>
                <w:kern w:val="0"/>
              </w:rPr>
              <w:t>32</w:t>
            </w:r>
            <w:r>
              <w:rPr>
                <w:rFonts w:hint="eastAsia" w:ascii="ＭＳ ゴシック" w:hAnsi="ＭＳ ゴシック" w:eastAsia="ＭＳ ゴシック"/>
                <w:kern w:val="0"/>
              </w:rPr>
              <w:t>年度における</w:t>
            </w:r>
          </w:p>
          <w:p>
            <w:pPr>
              <w:pStyle w:val="0"/>
              <w:spacing w:line="0" w:lineRule="atLeast"/>
              <w:rPr>
                <w:rFonts w:hint="default" w:ascii="ＭＳ ゴシック" w:hAnsi="ＭＳ ゴシック"/>
              </w:rPr>
            </w:pPr>
            <w:r>
              <w:rPr>
                <w:rFonts w:hint="eastAsia" w:ascii="ＭＳ ゴシック" w:hAnsi="ＭＳ ゴシック" w:eastAsia="ＭＳ ゴシック"/>
                <w:kern w:val="0"/>
              </w:rPr>
              <w:t>入院後３か月時点の退院率の目標</w:t>
            </w:r>
          </w:p>
        </w:tc>
        <w:tc>
          <w:tcPr>
            <w:tcW w:w="2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sz w:val="28"/>
                <w:u w:val="single" w:color="FF0000"/>
              </w:rPr>
            </w:pPr>
            <w:r>
              <w:rPr>
                <w:rFonts w:hint="eastAsia" w:ascii="ＭＳ ゴシック" w:hAnsi="ＭＳ ゴシック" w:eastAsia="ＭＳ ゴシック"/>
                <w:b w:val="1"/>
                <w:sz w:val="28"/>
              </w:rPr>
              <w:t>７０．８％</w:t>
            </w:r>
          </w:p>
        </w:tc>
      </w:tr>
      <w:tr>
        <w:trPr>
          <w:trHeight w:val="1182" w:hRule="atLeast"/>
        </w:trPr>
        <w:tc>
          <w:tcPr>
            <w:tcW w:w="62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平成</w:t>
            </w:r>
            <w:r>
              <w:rPr>
                <w:rFonts w:hint="eastAsia" w:ascii="ＭＳ ゴシック" w:hAnsi="ＭＳ ゴシック" w:eastAsia="ＭＳ ゴシック"/>
                <w:kern w:val="0"/>
              </w:rPr>
              <w:t>32</w:t>
            </w:r>
            <w:r>
              <w:rPr>
                <w:rFonts w:hint="eastAsia" w:ascii="ＭＳ ゴシック" w:hAnsi="ＭＳ ゴシック" w:eastAsia="ＭＳ ゴシック"/>
                <w:kern w:val="0"/>
              </w:rPr>
              <w:t>年度における</w:t>
            </w:r>
          </w:p>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入院後６か月時点の退院率の目標</w:t>
            </w:r>
          </w:p>
        </w:tc>
        <w:tc>
          <w:tcPr>
            <w:tcW w:w="2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８７．９％</w:t>
            </w:r>
          </w:p>
        </w:tc>
      </w:tr>
      <w:tr>
        <w:trPr>
          <w:trHeight w:val="1182" w:hRule="atLeast"/>
        </w:trPr>
        <w:tc>
          <w:tcPr>
            <w:tcW w:w="62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平成</w:t>
            </w:r>
            <w:r>
              <w:rPr>
                <w:rFonts w:hint="eastAsia" w:ascii="ＭＳ ゴシック" w:hAnsi="ＭＳ ゴシック" w:eastAsia="ＭＳ ゴシック"/>
                <w:kern w:val="0"/>
              </w:rPr>
              <w:t>32</w:t>
            </w:r>
            <w:r>
              <w:rPr>
                <w:rFonts w:hint="eastAsia" w:ascii="ＭＳ ゴシック" w:hAnsi="ＭＳ ゴシック" w:eastAsia="ＭＳ ゴシック"/>
                <w:kern w:val="0"/>
              </w:rPr>
              <w:t>年度における</w:t>
            </w:r>
          </w:p>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入院後１年時点の退院率の目標</w:t>
            </w:r>
          </w:p>
        </w:tc>
        <w:tc>
          <w:tcPr>
            <w:tcW w:w="2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９３．２％</w:t>
            </w:r>
          </w:p>
        </w:tc>
      </w:tr>
      <w:tr>
        <w:trPr>
          <w:trHeight w:val="1256" w:hRule="atLeast"/>
        </w:trPr>
        <w:tc>
          <w:tcPr>
            <w:tcW w:w="622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平成</w:t>
            </w:r>
            <w:r>
              <w:rPr>
                <w:rFonts w:hint="eastAsia" w:ascii="ＭＳ ゴシック" w:hAnsi="ＭＳ ゴシック" w:eastAsia="ＭＳ ゴシック"/>
                <w:kern w:val="0"/>
              </w:rPr>
              <w:t>32</w:t>
            </w:r>
            <w:r>
              <w:rPr>
                <w:rFonts w:hint="eastAsia" w:ascii="ＭＳ ゴシック" w:hAnsi="ＭＳ ゴシック" w:eastAsia="ＭＳ ゴシック"/>
                <w:kern w:val="0"/>
              </w:rPr>
              <w:t>年度末時点の１年以上の長期入院患者数の目標</w:t>
            </w:r>
          </w:p>
        </w:tc>
        <w:tc>
          <w:tcPr>
            <w:tcW w:w="2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1,757</w:t>
            </w:r>
            <w:r>
              <w:rPr>
                <w:rFonts w:hint="eastAsia" w:ascii="ＭＳ ゴシック" w:hAnsi="ＭＳ ゴシック" w:eastAsia="ＭＳ ゴシック"/>
                <w:b w:val="1"/>
                <w:sz w:val="28"/>
              </w:rPr>
              <w:t>人</w:t>
            </w:r>
          </w:p>
          <w:p>
            <w:pPr>
              <w:pStyle w:val="0"/>
              <w:spacing w:line="0" w:lineRule="atLeast"/>
              <w:ind w:left="240" w:leftChars="100"/>
              <w:rPr>
                <w:rFonts w:hint="default" w:ascii="ＭＳ ゴシック" w:hAnsi="ＭＳ ゴシック" w:eastAsia="ＭＳ ゴシック"/>
                <w:b w:val="1"/>
                <w:sz w:val="28"/>
              </w:rPr>
            </w:pPr>
            <w:r>
              <w:rPr>
                <w:rFonts w:hint="default"/>
              </w:rPr>
              <mc:AlternateContent>
                <mc:Choice Requires="wps">
                  <w:drawing>
                    <wp:anchor distL="203200" distR="203200" simplePos="0" relativeHeight="8" behindDoc="0" locked="0" layoutInCell="1" hidden="0" allowOverlap="1">
                      <wp:simplePos x="0" y="0"/>
                      <wp:positionH relativeFrom="column">
                        <wp:posOffset>22860</wp:posOffset>
                      </wp:positionH>
                      <wp:positionV relativeFrom="paragraph">
                        <wp:posOffset>20320</wp:posOffset>
                      </wp:positionV>
                      <wp:extent cx="1666875" cy="523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666875" cy="523875"/>
                              </a:xfrm>
                              <a:prstGeom prst="bracketPair">
                                <a:avLst>
                                  <a:gd name="adj" fmla="val 1666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left:16pt;margin-top:1.6pt;margin-left:1.8pt;mso-position-horizontal-relative:text;mso-position-vertical-relative:text;position:absolute;height:41.25pt;width:131.25pt;z-index:8;" o:spid="_x0000_s1026"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r>
              <w:rPr>
                <w:rFonts w:hint="eastAsia" w:ascii="ＭＳ ゴシック" w:hAnsi="ＭＳ ゴシック" w:eastAsia="ＭＳ ゴシック"/>
                <w:b w:val="1"/>
                <w:sz w:val="28"/>
              </w:rPr>
              <w:t>65</w:t>
            </w:r>
            <w:r>
              <w:rPr>
                <w:rFonts w:hint="eastAsia" w:ascii="ＭＳ ゴシック" w:hAnsi="ＭＳ ゴシック" w:eastAsia="ＭＳ ゴシック"/>
                <w:b w:val="1"/>
                <w:sz w:val="28"/>
              </w:rPr>
              <w:t>歳以上</w:t>
            </w:r>
            <w:r>
              <w:rPr>
                <w:rFonts w:hint="eastAsia" w:ascii="ＭＳ ゴシック" w:hAnsi="ＭＳ ゴシック" w:eastAsia="ＭＳ ゴシック"/>
                <w:b w:val="1"/>
                <w:sz w:val="28"/>
              </w:rPr>
              <w:t>1,315</w:t>
            </w:r>
            <w:r>
              <w:rPr>
                <w:rFonts w:hint="eastAsia" w:ascii="ＭＳ ゴシック" w:hAnsi="ＭＳ ゴシック" w:eastAsia="ＭＳ ゴシック"/>
                <w:b w:val="1"/>
                <w:sz w:val="28"/>
              </w:rPr>
              <w:t>人</w:t>
            </w:r>
          </w:p>
          <w:p>
            <w:pPr>
              <w:pStyle w:val="0"/>
              <w:spacing w:line="0" w:lineRule="atLeast"/>
              <w:ind w:left="240" w:leftChars="100"/>
              <w:rPr>
                <w:rFonts w:hint="default" w:ascii="ＭＳ ゴシック" w:hAnsi="ＭＳ ゴシック" w:eastAsia="ＭＳ ゴシック"/>
                <w:b w:val="1"/>
                <w:sz w:val="28"/>
              </w:rPr>
            </w:pPr>
            <w:r>
              <w:rPr>
                <w:rFonts w:hint="eastAsia" w:ascii="ＭＳ ゴシック" w:hAnsi="ＭＳ ゴシック" w:eastAsia="ＭＳ ゴシック"/>
                <w:b w:val="1"/>
                <w:sz w:val="28"/>
              </w:rPr>
              <w:t>65</w:t>
            </w:r>
            <w:r>
              <w:rPr>
                <w:rFonts w:hint="eastAsia" w:ascii="ＭＳ ゴシック" w:hAnsi="ＭＳ ゴシック" w:eastAsia="ＭＳ ゴシック"/>
                <w:b w:val="1"/>
                <w:sz w:val="28"/>
              </w:rPr>
              <w:t>歳未満　</w:t>
            </w:r>
            <w:r>
              <w:rPr>
                <w:rFonts w:hint="eastAsia" w:ascii="ＭＳ ゴシック" w:hAnsi="ＭＳ ゴシック" w:eastAsia="ＭＳ ゴシック"/>
                <w:b w:val="1"/>
                <w:sz w:val="28"/>
              </w:rPr>
              <w:t>442</w:t>
            </w:r>
            <w:r>
              <w:rPr>
                <w:rFonts w:hint="eastAsia" w:ascii="ＭＳ ゴシック" w:hAnsi="ＭＳ ゴシック" w:eastAsia="ＭＳ ゴシック"/>
                <w:b w:val="1"/>
                <w:sz w:val="28"/>
              </w:rPr>
              <w:t>人</w:t>
            </w:r>
          </w:p>
        </w:tc>
      </w:tr>
    </w:tbl>
    <w:p>
      <w:pPr>
        <w:pStyle w:val="0"/>
        <w:ind w:firstLine="240" w:firstLineChars="100"/>
        <w:jc w:val="left"/>
        <w:rPr>
          <w:rFonts w:hint="default" w:ascii="ＭＳ ゴシック" w:hAnsi="ＭＳ ゴシック"/>
        </w:rPr>
      </w:pPr>
    </w:p>
    <w:p>
      <w:pPr>
        <w:pStyle w:val="0"/>
        <w:ind w:firstLine="240" w:firstLineChars="100"/>
        <w:jc w:val="left"/>
        <w:rPr>
          <w:rFonts w:hint="default" w:ascii="ＭＳ 明朝" w:hAnsi="ＭＳ 明朝"/>
        </w:rPr>
      </w:pPr>
      <w:r>
        <w:rPr>
          <w:rFonts w:hint="eastAsia" w:ascii="ＭＳ 明朝" w:hAnsi="ＭＳ 明朝" w:eastAsia="ＭＳ 明朝"/>
        </w:rPr>
        <w:t>(1)</w:t>
      </w:r>
      <w:r>
        <w:rPr>
          <w:rFonts w:hint="eastAsia" w:ascii="ＭＳ 明朝" w:hAnsi="ＭＳ 明朝" w:eastAsia="ＭＳ 明朝"/>
        </w:rPr>
        <w:t>　これまでの実績</w:t>
      </w:r>
    </w:p>
    <w:p>
      <w:pPr>
        <w:pStyle w:val="0"/>
        <w:ind w:left="564" w:leftChars="235" w:firstLine="240" w:firstLineChars="100"/>
        <w:rPr>
          <w:rFonts w:hint="default"/>
        </w:rPr>
      </w:pPr>
      <w:r>
        <w:rPr>
          <w:rFonts w:hint="eastAsia" w:ascii="Century" w:hAnsi="Century" w:eastAsia="ＭＳ 明朝"/>
        </w:rPr>
        <w:t>第４期計画では、平成</w:t>
      </w:r>
      <w:r>
        <w:rPr>
          <w:rFonts w:hint="eastAsia" w:ascii="Century" w:hAnsi="Century" w:eastAsia="ＭＳ 明朝"/>
        </w:rPr>
        <w:t>29</w:t>
      </w:r>
      <w:r>
        <w:rPr>
          <w:rFonts w:hint="eastAsia" w:ascii="Century" w:hAnsi="Century" w:eastAsia="ＭＳ 明朝"/>
        </w:rPr>
        <w:t>年度における入院後３か月時点の退院率を</w:t>
      </w:r>
      <w:r>
        <w:rPr>
          <w:rFonts w:hint="eastAsia" w:ascii="Century" w:hAnsi="Century" w:eastAsia="ＭＳ 明朝"/>
        </w:rPr>
        <w:t>70.8</w:t>
      </w:r>
      <w:r>
        <w:rPr>
          <w:rFonts w:hint="eastAsia" w:ascii="Century" w:hAnsi="Century" w:eastAsia="ＭＳ 明朝"/>
        </w:rPr>
        <w:t>％、入院後１年時点の退院率を</w:t>
      </w:r>
      <w:r>
        <w:rPr>
          <w:rFonts w:hint="eastAsia" w:ascii="Century" w:hAnsi="Century" w:eastAsia="ＭＳ 明朝"/>
        </w:rPr>
        <w:t>92.6</w:t>
      </w:r>
      <w:r>
        <w:rPr>
          <w:rFonts w:hint="eastAsia" w:ascii="Century" w:hAnsi="Century" w:eastAsia="ＭＳ 明朝"/>
        </w:rPr>
        <w:t>％とする目標と、平成</w:t>
      </w:r>
      <w:r>
        <w:rPr>
          <w:rFonts w:hint="eastAsia" w:ascii="Century" w:hAnsi="Century" w:eastAsia="ＭＳ 明朝"/>
        </w:rPr>
        <w:t>29</w:t>
      </w:r>
      <w:r>
        <w:rPr>
          <w:rFonts w:hint="eastAsia" w:ascii="Century" w:hAnsi="Century" w:eastAsia="ＭＳ 明朝"/>
        </w:rPr>
        <w:t>年６月末時点の１年以上の在院者数（長期入院患者数）を</w:t>
      </w:r>
      <w:r>
        <w:rPr>
          <w:rFonts w:hint="eastAsia" w:ascii="Century" w:hAnsi="Century" w:eastAsia="ＭＳ 明朝"/>
        </w:rPr>
        <w:t>1,626</w:t>
      </w:r>
      <w:r>
        <w:rPr>
          <w:rFonts w:hint="eastAsia" w:ascii="Century" w:hAnsi="Century" w:eastAsia="ＭＳ 明朝"/>
        </w:rPr>
        <w:t>人とする目標を定めました。</w:t>
      </w:r>
    </w:p>
    <w:p>
      <w:pPr>
        <w:pStyle w:val="0"/>
        <w:ind w:left="564" w:leftChars="235" w:firstLine="240" w:firstLineChars="100"/>
        <w:rPr>
          <w:rFonts w:hint="default"/>
        </w:rPr>
      </w:pPr>
      <w:r>
        <w:rPr>
          <w:rFonts w:hint="eastAsia" w:ascii="Century" w:hAnsi="Century" w:eastAsia="ＭＳ 明朝"/>
        </w:rPr>
        <w:t>平成</w:t>
      </w:r>
      <w:r>
        <w:rPr>
          <w:rFonts w:hint="eastAsia" w:ascii="Century" w:hAnsi="Century" w:eastAsia="ＭＳ 明朝"/>
        </w:rPr>
        <w:t>28</w:t>
      </w:r>
      <w:r>
        <w:rPr>
          <w:rFonts w:hint="eastAsia" w:ascii="Century" w:hAnsi="Century" w:eastAsia="ＭＳ 明朝"/>
        </w:rPr>
        <w:t>年度における退院率は入院後３か月時点では</w:t>
      </w:r>
      <w:r>
        <w:rPr>
          <w:rFonts w:hint="eastAsia" w:ascii="Century" w:hAnsi="Century" w:eastAsia="ＭＳ 明朝"/>
        </w:rPr>
        <w:t>61.6</w:t>
      </w:r>
      <w:r>
        <w:rPr>
          <w:rFonts w:hint="eastAsia" w:ascii="Century" w:hAnsi="Century" w:eastAsia="ＭＳ 明朝"/>
        </w:rPr>
        <w:t>％、入院後１年時点では</w:t>
      </w:r>
      <w:r>
        <w:rPr>
          <w:rFonts w:hint="eastAsia" w:ascii="Century" w:hAnsi="Century" w:eastAsia="ＭＳ 明朝"/>
        </w:rPr>
        <w:t>86.6</w:t>
      </w:r>
      <w:r>
        <w:rPr>
          <w:rFonts w:hint="eastAsia" w:ascii="Century" w:hAnsi="Century" w:eastAsia="ＭＳ 明朝"/>
        </w:rPr>
        <w:t>％となっています。また、平成</w:t>
      </w:r>
      <w:r>
        <w:rPr>
          <w:rFonts w:hint="eastAsia" w:ascii="Century" w:hAnsi="Century" w:eastAsia="ＭＳ 明朝"/>
        </w:rPr>
        <w:t>28</w:t>
      </w:r>
      <w:r>
        <w:rPr>
          <w:rFonts w:hint="eastAsia" w:ascii="Century" w:hAnsi="Century" w:eastAsia="ＭＳ 明朝"/>
        </w:rPr>
        <w:t>年６月末時点の１年以上の在院者数（長期入院患者数）は</w:t>
      </w:r>
      <w:r>
        <w:rPr>
          <w:rFonts w:hint="eastAsia" w:ascii="Century" w:hAnsi="Century" w:eastAsia="ＭＳ 明朝"/>
        </w:rPr>
        <w:t>1,820</w:t>
      </w:r>
      <w:r>
        <w:rPr>
          <w:rFonts w:hint="eastAsia" w:ascii="Century" w:hAnsi="Century" w:eastAsia="ＭＳ 明朝"/>
        </w:rPr>
        <w:t>人でした。</w:t>
      </w:r>
    </w:p>
    <w:p>
      <w:pPr>
        <w:pStyle w:val="0"/>
        <w:ind w:firstLine="240" w:firstLineChars="100"/>
        <w:jc w:val="left"/>
        <w:rPr>
          <w:rFonts w:hint="default" w:ascii="ＭＳ 明朝" w:hAnsi="ＭＳ 明朝"/>
        </w:rPr>
      </w:pPr>
    </w:p>
    <w:p>
      <w:pPr>
        <w:pStyle w:val="0"/>
        <w:ind w:firstLine="240" w:firstLineChars="100"/>
        <w:jc w:val="left"/>
        <w:rPr>
          <w:rFonts w:hint="default" w:ascii="ＭＳ 明朝" w:hAnsi="ＭＳ 明朝"/>
        </w:rPr>
      </w:pPr>
      <w:r>
        <w:rPr>
          <w:rFonts w:hint="eastAsia" w:ascii="ＭＳ 明朝" w:hAnsi="ＭＳ 明朝" w:eastAsia="ＭＳ 明朝"/>
        </w:rPr>
        <w:t>(2)</w:t>
      </w:r>
      <w:r>
        <w:rPr>
          <w:rFonts w:hint="eastAsia" w:ascii="ＭＳ 明朝" w:hAnsi="ＭＳ 明朝" w:eastAsia="ＭＳ 明朝"/>
        </w:rPr>
        <w:t>　第５期計画における指標</w:t>
      </w:r>
    </w:p>
    <w:p>
      <w:pPr>
        <w:pStyle w:val="0"/>
        <w:ind w:left="480" w:hanging="480" w:hangingChars="200"/>
        <w:jc w:val="left"/>
        <w:rPr>
          <w:rFonts w:hint="default" w:ascii="ＭＳ 明朝" w:hAnsi="ＭＳ 明朝"/>
        </w:rPr>
      </w:pPr>
      <w:r>
        <w:rPr>
          <w:rFonts w:hint="eastAsia" w:ascii="ＭＳ 明朝" w:hAnsi="ＭＳ 明朝" w:eastAsia="ＭＳ 明朝"/>
        </w:rPr>
        <w:t>　　　国の基本指針では、精神障害のある人が、地域の一員として安心して自分らしい暮らしをすることができるよう、精神障害にも対応した地域包括ケアシステムの構築を目指すという基本方針を踏まえ、第５期計画における数値目標として、新たな指標が次のとおり示されました。</w:t>
      </w:r>
    </w:p>
    <w:tbl>
      <w:tblPr>
        <w:tblStyle w:val="11"/>
        <w:tblW w:w="9072"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77"/>
        <w:gridCol w:w="4395"/>
      </w:tblGrid>
      <w:tr>
        <w:trPr/>
        <w:tc>
          <w:tcPr>
            <w:tcW w:w="46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eastAsia="ＭＳ 明朝"/>
              </w:rPr>
              <w:t>着眼点</w:t>
            </w:r>
          </w:p>
        </w:tc>
        <w:tc>
          <w:tcPr>
            <w:tcW w:w="4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eastAsia="ＭＳ 明朝"/>
              </w:rPr>
              <w:t>指標</w:t>
            </w:r>
          </w:p>
        </w:tc>
      </w:tr>
      <w:tr>
        <w:trPr>
          <w:trHeight w:val="989" w:hRule="atLeast"/>
        </w:trPr>
        <w:tc>
          <w:tcPr>
            <w:tcW w:w="46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eastAsia="ＭＳ 明朝"/>
              </w:rPr>
              <w:t>①保健・医療・福祉関係者による</w:t>
            </w:r>
          </w:p>
          <w:p>
            <w:pPr>
              <w:pStyle w:val="0"/>
              <w:ind w:firstLine="240" w:firstLineChars="100"/>
              <w:rPr>
                <w:rFonts w:hint="default" w:ascii="ＭＳ 明朝" w:hAnsi="ＭＳ 明朝"/>
              </w:rPr>
            </w:pPr>
            <w:r>
              <w:rPr>
                <w:rFonts w:hint="eastAsia" w:ascii="ＭＳ 明朝" w:hAnsi="ＭＳ 明朝" w:eastAsia="ＭＳ 明朝"/>
              </w:rPr>
              <w:t>協議の場の設置</w:t>
            </w:r>
          </w:p>
        </w:tc>
        <w:tc>
          <w:tcPr>
            <w:tcW w:w="4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eastAsia="ＭＳ 明朝"/>
              </w:rPr>
              <w:t>平成</w:t>
            </w:r>
            <w:r>
              <w:rPr>
                <w:rFonts w:hint="eastAsia" w:ascii="ＭＳ 明朝" w:hAnsi="ＭＳ 明朝" w:eastAsia="ＭＳ 明朝"/>
              </w:rPr>
              <w:t>32</w:t>
            </w:r>
            <w:r>
              <w:rPr>
                <w:rFonts w:hint="eastAsia" w:ascii="ＭＳ 明朝" w:hAnsi="ＭＳ 明朝" w:eastAsia="ＭＳ 明朝"/>
              </w:rPr>
              <w:t>年度末までに障害保健福祉圏域・市町村ごとに設置</w:t>
            </w:r>
          </w:p>
        </w:tc>
      </w:tr>
      <w:tr>
        <w:trPr>
          <w:trHeight w:val="989" w:hRule="atLeast"/>
        </w:trPr>
        <w:tc>
          <w:tcPr>
            <w:tcW w:w="46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eastAsia="ＭＳ 明朝"/>
              </w:rPr>
              <w:t>②入院３か月時点の退院率</w:t>
            </w:r>
          </w:p>
        </w:tc>
        <w:tc>
          <w:tcPr>
            <w:tcW w:w="4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eastAsia="ＭＳ 明朝"/>
              </w:rPr>
              <w:t>平成</w:t>
            </w:r>
            <w:r>
              <w:rPr>
                <w:rFonts w:hint="eastAsia" w:ascii="ＭＳ 明朝" w:hAnsi="ＭＳ 明朝" w:eastAsia="ＭＳ 明朝"/>
              </w:rPr>
              <w:t>32</w:t>
            </w:r>
            <w:r>
              <w:rPr>
                <w:rFonts w:hint="eastAsia" w:ascii="ＭＳ 明朝" w:hAnsi="ＭＳ 明朝" w:eastAsia="ＭＳ 明朝"/>
              </w:rPr>
              <w:t>年度における目標を</w:t>
            </w:r>
            <w:r>
              <w:rPr>
                <w:rFonts w:hint="eastAsia" w:ascii="ＭＳ 明朝" w:hAnsi="ＭＳ 明朝" w:eastAsia="ＭＳ 明朝"/>
              </w:rPr>
              <w:t>69%</w:t>
            </w:r>
            <w:r>
              <w:rPr>
                <w:rFonts w:hint="eastAsia" w:ascii="ＭＳ 明朝" w:hAnsi="ＭＳ 明朝" w:eastAsia="ＭＳ 明朝"/>
              </w:rPr>
              <w:t>以上とする。</w:t>
            </w:r>
          </w:p>
        </w:tc>
      </w:tr>
      <w:tr>
        <w:trPr>
          <w:trHeight w:val="1130" w:hRule="atLeast"/>
        </w:trPr>
        <w:tc>
          <w:tcPr>
            <w:tcW w:w="46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eastAsia="ＭＳ 明朝"/>
              </w:rPr>
              <w:t>③入院６か月時点の退院率</w:t>
            </w:r>
          </w:p>
        </w:tc>
        <w:tc>
          <w:tcPr>
            <w:tcW w:w="4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eastAsia="ＭＳ 明朝"/>
              </w:rPr>
              <w:t>平成</w:t>
            </w:r>
            <w:r>
              <w:rPr>
                <w:rFonts w:hint="eastAsia" w:ascii="ＭＳ 明朝" w:hAnsi="ＭＳ 明朝" w:eastAsia="ＭＳ 明朝"/>
              </w:rPr>
              <w:t>32</w:t>
            </w:r>
            <w:r>
              <w:rPr>
                <w:rFonts w:hint="eastAsia" w:ascii="ＭＳ 明朝" w:hAnsi="ＭＳ 明朝" w:eastAsia="ＭＳ 明朝"/>
              </w:rPr>
              <w:t>年度における目標を</w:t>
            </w:r>
            <w:r>
              <w:rPr>
                <w:rFonts w:hint="eastAsia" w:ascii="ＭＳ 明朝" w:hAnsi="ＭＳ 明朝" w:eastAsia="ＭＳ 明朝"/>
              </w:rPr>
              <w:t>84%</w:t>
            </w:r>
            <w:r>
              <w:rPr>
                <w:rFonts w:hint="eastAsia" w:ascii="ＭＳ 明朝" w:hAnsi="ＭＳ 明朝" w:eastAsia="ＭＳ 明朝"/>
              </w:rPr>
              <w:t>以上とする。</w:t>
            </w:r>
          </w:p>
        </w:tc>
      </w:tr>
      <w:tr>
        <w:trPr>
          <w:trHeight w:val="1130" w:hRule="atLeast"/>
        </w:trPr>
        <w:tc>
          <w:tcPr>
            <w:tcW w:w="46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eastAsia="ＭＳ 明朝"/>
              </w:rPr>
              <w:t>④入院１年時点の退院率</w:t>
            </w:r>
          </w:p>
        </w:tc>
        <w:tc>
          <w:tcPr>
            <w:tcW w:w="4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eastAsia="ＭＳ 明朝"/>
              </w:rPr>
              <w:t>平成</w:t>
            </w:r>
            <w:r>
              <w:rPr>
                <w:rFonts w:hint="eastAsia" w:ascii="ＭＳ 明朝" w:hAnsi="ＭＳ 明朝" w:eastAsia="ＭＳ 明朝"/>
              </w:rPr>
              <w:t>32</w:t>
            </w:r>
            <w:r>
              <w:rPr>
                <w:rFonts w:hint="eastAsia" w:ascii="ＭＳ 明朝" w:hAnsi="ＭＳ 明朝" w:eastAsia="ＭＳ 明朝"/>
              </w:rPr>
              <w:t>年度における目標を</w:t>
            </w:r>
            <w:r>
              <w:rPr>
                <w:rFonts w:hint="eastAsia" w:ascii="ＭＳ 明朝" w:hAnsi="ＭＳ 明朝" w:eastAsia="ＭＳ 明朝"/>
              </w:rPr>
              <w:t>90%</w:t>
            </w:r>
            <w:r>
              <w:rPr>
                <w:rFonts w:hint="eastAsia" w:ascii="ＭＳ 明朝" w:hAnsi="ＭＳ 明朝" w:eastAsia="ＭＳ 明朝"/>
              </w:rPr>
              <w:t>以上とする。</w:t>
            </w:r>
          </w:p>
        </w:tc>
      </w:tr>
      <w:tr>
        <w:trPr>
          <w:trHeight w:val="1265" w:hRule="atLeast"/>
        </w:trPr>
        <w:tc>
          <w:tcPr>
            <w:tcW w:w="46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eastAsia="ＭＳ 明朝"/>
              </w:rPr>
              <w:t>⑤１年以上の長期入院患者数</w:t>
            </w:r>
          </w:p>
          <w:p>
            <w:pPr>
              <w:pStyle w:val="0"/>
              <w:rPr>
                <w:rFonts w:hint="default" w:ascii="ＭＳ 明朝" w:hAnsi="ＭＳ 明朝"/>
              </w:rPr>
            </w:pPr>
            <w:r>
              <w:rPr>
                <w:rFonts w:hint="eastAsia" w:ascii="ＭＳ 明朝" w:hAnsi="ＭＳ 明朝" w:eastAsia="ＭＳ 明朝"/>
              </w:rPr>
              <w:t>　（</w:t>
            </w:r>
            <w:r>
              <w:rPr>
                <w:rFonts w:hint="eastAsia" w:ascii="ＭＳ 明朝" w:hAnsi="ＭＳ 明朝" w:eastAsia="ＭＳ 明朝"/>
              </w:rPr>
              <w:t>65</w:t>
            </w:r>
            <w:r>
              <w:rPr>
                <w:rFonts w:hint="eastAsia" w:ascii="ＭＳ 明朝" w:hAnsi="ＭＳ 明朝" w:eastAsia="ＭＳ 明朝"/>
              </w:rPr>
              <w:t>歳以上、</w:t>
            </w:r>
            <w:r>
              <w:rPr>
                <w:rFonts w:hint="eastAsia" w:ascii="ＭＳ 明朝" w:hAnsi="ＭＳ 明朝" w:eastAsia="ＭＳ 明朝"/>
              </w:rPr>
              <w:t>65</w:t>
            </w:r>
            <w:r>
              <w:rPr>
                <w:rFonts w:hint="eastAsia" w:ascii="ＭＳ 明朝" w:hAnsi="ＭＳ 明朝" w:eastAsia="ＭＳ 明朝"/>
              </w:rPr>
              <w:t>歳未満）</w:t>
            </w:r>
          </w:p>
        </w:tc>
        <w:tc>
          <w:tcPr>
            <w:tcW w:w="4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eastAsia="ＭＳ 明朝"/>
              </w:rPr>
              <w:t>平成</w:t>
            </w:r>
            <w:r>
              <w:rPr>
                <w:rFonts w:hint="eastAsia" w:ascii="ＭＳ 明朝" w:hAnsi="ＭＳ 明朝" w:eastAsia="ＭＳ 明朝"/>
              </w:rPr>
              <w:t>32</w:t>
            </w:r>
            <w:r>
              <w:rPr>
                <w:rFonts w:hint="eastAsia" w:ascii="ＭＳ 明朝" w:hAnsi="ＭＳ 明朝" w:eastAsia="ＭＳ 明朝"/>
              </w:rPr>
              <w:t>年度末の精神病床における１年以上の長期入院患者数を、国が提示する推計式を用いて設定する。</w:t>
            </w:r>
          </w:p>
        </w:tc>
      </w:tr>
    </w:tbl>
    <w:p>
      <w:pPr>
        <w:pStyle w:val="0"/>
        <w:ind w:left="706" w:leftChars="100" w:hanging="466" w:hangingChars="194"/>
        <w:jc w:val="left"/>
        <w:rPr>
          <w:rFonts w:hint="default" w:ascii="ＭＳ 明朝" w:hAnsi="ＭＳ 明朝"/>
        </w:rPr>
      </w:pPr>
      <w:r>
        <w:rPr>
          <w:rFonts w:hint="eastAsia" w:ascii="ＭＳ 明朝" w:hAnsi="ＭＳ 明朝" w:eastAsia="ＭＳ 明朝"/>
        </w:rPr>
        <w:t>　※既に入院後３ヶ月時点の退院率</w:t>
      </w:r>
      <w:r>
        <w:rPr>
          <w:rFonts w:hint="eastAsia" w:ascii="ＭＳ 明朝" w:hAnsi="ＭＳ 明朝" w:eastAsia="ＭＳ 明朝"/>
        </w:rPr>
        <w:t>64</w:t>
      </w:r>
      <w:r>
        <w:rPr>
          <w:rFonts w:hint="eastAsia" w:ascii="ＭＳ 明朝" w:hAnsi="ＭＳ 明朝" w:eastAsia="ＭＳ 明朝"/>
        </w:rPr>
        <w:t>％以上、１年時点の退院率</w:t>
      </w:r>
      <w:r>
        <w:rPr>
          <w:rFonts w:hint="eastAsia" w:ascii="ＭＳ 明朝" w:hAnsi="ＭＳ 明朝" w:eastAsia="ＭＳ 明朝"/>
        </w:rPr>
        <w:t>91%</w:t>
      </w:r>
      <w:r>
        <w:rPr>
          <w:rFonts w:hint="eastAsia" w:ascii="ＭＳ 明朝" w:hAnsi="ＭＳ 明朝" w:eastAsia="ＭＳ 明朝"/>
        </w:rPr>
        <w:t>以上を達成している都道府県においては、その数値を維持又は上昇させることを目標とする。</w:t>
      </w:r>
    </w:p>
    <w:p>
      <w:pPr>
        <w:pStyle w:val="0"/>
        <w:ind w:left="240" w:leftChars="100"/>
        <w:jc w:val="left"/>
        <w:rPr>
          <w:rFonts w:hint="default" w:ascii="ＭＳ 明朝" w:hAnsi="ＭＳ 明朝"/>
          <w:highlight w:val="yellow"/>
        </w:rPr>
      </w:pPr>
    </w:p>
    <w:p>
      <w:pPr>
        <w:pStyle w:val="0"/>
        <w:ind w:left="240" w:leftChars="100"/>
        <w:jc w:val="left"/>
        <w:rPr>
          <w:rFonts w:hint="default" w:ascii="ＭＳ 明朝" w:hAnsi="ＭＳ 明朝"/>
        </w:rPr>
      </w:pPr>
      <w:r>
        <w:rPr>
          <w:rFonts w:hint="eastAsia" w:ascii="ＭＳ 明朝" w:hAnsi="ＭＳ 明朝" w:eastAsia="ＭＳ 明朝"/>
        </w:rPr>
        <w:t>(3)</w:t>
      </w:r>
      <w:r>
        <w:rPr>
          <w:rFonts w:hint="eastAsia" w:ascii="ＭＳ 明朝" w:hAnsi="ＭＳ 明朝" w:eastAsia="ＭＳ 明朝"/>
        </w:rPr>
        <w:t>　目標設定の考え方等</w:t>
      </w:r>
    </w:p>
    <w:p>
      <w:pPr>
        <w:pStyle w:val="0"/>
        <w:ind w:left="480" w:leftChars="100" w:hanging="240" w:hangingChars="100"/>
        <w:jc w:val="left"/>
        <w:rPr>
          <w:rFonts w:hint="default" w:ascii="ＭＳ 明朝" w:hAnsi="ＭＳ 明朝"/>
        </w:rPr>
      </w:pPr>
      <w:r>
        <w:rPr>
          <w:rFonts w:hint="eastAsia" w:ascii="ＭＳ 明朝" w:hAnsi="ＭＳ 明朝" w:eastAsia="ＭＳ 明朝"/>
        </w:rPr>
        <w:t>　①</w:t>
      </w:r>
      <w:r>
        <w:rPr>
          <w:rFonts w:hint="eastAsia" w:asciiTheme="minorEastAsia" w:hAnsiTheme="minorEastAsia"/>
        </w:rPr>
        <w:t xml:space="preserve"> </w:t>
      </w:r>
      <w:r>
        <w:rPr>
          <w:rFonts w:hint="eastAsia" w:asciiTheme="minorEastAsia" w:hAnsiTheme="minorEastAsia"/>
        </w:rPr>
        <w:t>保健・医療・福祉関係者による協議の場については、県、各圏域、各市町村において設置することになっているため、それぞれ協議の場を設けることとします。（市町村については、複数市町村による共同設置も含みます。）</w:t>
      </w:r>
    </w:p>
    <w:p>
      <w:pPr>
        <w:pStyle w:val="0"/>
        <w:ind w:left="240" w:leftChars="100" w:firstLine="240" w:firstLineChars="100"/>
        <w:jc w:val="left"/>
        <w:rPr>
          <w:rFonts w:hint="default" w:ascii="ＭＳ 明朝" w:hAnsi="ＭＳ 明朝"/>
        </w:rPr>
      </w:pPr>
      <w:r>
        <w:rPr>
          <w:rFonts w:hint="eastAsia" w:ascii="ＭＳ 明朝" w:hAnsi="ＭＳ 明朝" w:eastAsia="ＭＳ 明朝"/>
        </w:rPr>
        <w:t>②入院後３か月時点、６か月時点、１年時点の退院率</w:t>
      </w:r>
    </w:p>
    <w:p>
      <w:pPr>
        <w:pStyle w:val="0"/>
        <w:ind w:left="480" w:hanging="480" w:hangingChars="200"/>
        <w:jc w:val="left"/>
        <w:rPr>
          <w:rFonts w:hint="default" w:ascii="ＭＳ 明朝" w:hAnsi="ＭＳ 明朝"/>
        </w:rPr>
      </w:pPr>
      <w:r>
        <w:rPr>
          <w:rFonts w:hint="eastAsia" w:ascii="ＭＳ 明朝" w:hAnsi="ＭＳ 明朝" w:eastAsia="ＭＳ 明朝"/>
        </w:rPr>
        <w:t>　　　平成</w:t>
      </w:r>
      <w:r>
        <w:rPr>
          <w:rFonts w:hint="eastAsia" w:ascii="ＭＳ 明朝" w:hAnsi="ＭＳ 明朝" w:eastAsia="ＭＳ 明朝"/>
        </w:rPr>
        <w:t>28</w:t>
      </w:r>
      <w:r>
        <w:rPr>
          <w:rFonts w:hint="eastAsia" w:ascii="ＭＳ 明朝" w:hAnsi="ＭＳ 明朝" w:eastAsia="ＭＳ 明朝"/>
        </w:rPr>
        <w:t>年度における本県の精神科病院の在院患者の入院後</w:t>
      </w:r>
      <w:r>
        <w:rPr>
          <w:rFonts w:hint="eastAsia" w:ascii="ＭＳ 明朝" w:hAnsi="ＭＳ 明朝" w:eastAsia="ＭＳ 明朝"/>
        </w:rPr>
        <w:t>3</w:t>
      </w:r>
      <w:r>
        <w:rPr>
          <w:rFonts w:hint="eastAsia" w:ascii="ＭＳ 明朝" w:hAnsi="ＭＳ 明朝" w:eastAsia="ＭＳ 明朝"/>
        </w:rPr>
        <w:t>か月時点、</w:t>
      </w:r>
      <w:r>
        <w:rPr>
          <w:rFonts w:hint="eastAsia" w:ascii="ＭＳ 明朝" w:hAnsi="ＭＳ 明朝" w:eastAsia="ＭＳ 明朝"/>
        </w:rPr>
        <w:t>6</w:t>
      </w:r>
      <w:r>
        <w:rPr>
          <w:rFonts w:hint="eastAsia" w:ascii="ＭＳ 明朝" w:hAnsi="ＭＳ 明朝" w:eastAsia="ＭＳ 明朝"/>
        </w:rPr>
        <w:t>か月時点、入院後</w:t>
      </w:r>
      <w:r>
        <w:rPr>
          <w:rFonts w:hint="eastAsia" w:ascii="ＭＳ 明朝" w:hAnsi="ＭＳ 明朝" w:eastAsia="ＭＳ 明朝"/>
        </w:rPr>
        <w:t>1</w:t>
      </w:r>
      <w:r>
        <w:rPr>
          <w:rFonts w:hint="eastAsia" w:ascii="ＭＳ 明朝" w:hAnsi="ＭＳ 明朝" w:eastAsia="ＭＳ 明朝"/>
        </w:rPr>
        <w:t>年時点の退院率は、それぞれ</w:t>
      </w:r>
      <w:r>
        <w:rPr>
          <w:rFonts w:hint="eastAsia" w:ascii="ＭＳ 明朝" w:hAnsi="ＭＳ 明朝" w:eastAsia="ＭＳ 明朝"/>
        </w:rPr>
        <w:t>61.6%</w:t>
      </w:r>
      <w:r>
        <w:rPr>
          <w:rFonts w:hint="eastAsia" w:ascii="ＭＳ 明朝" w:hAnsi="ＭＳ 明朝" w:eastAsia="ＭＳ 明朝"/>
        </w:rPr>
        <w:t>、</w:t>
      </w:r>
      <w:r>
        <w:rPr>
          <w:rFonts w:hint="eastAsia" w:ascii="ＭＳ 明朝" w:hAnsi="ＭＳ 明朝" w:eastAsia="ＭＳ 明朝"/>
        </w:rPr>
        <w:t>80.3%</w:t>
      </w:r>
      <w:r>
        <w:rPr>
          <w:rFonts w:hint="eastAsia" w:ascii="ＭＳ 明朝" w:hAnsi="ＭＳ 明朝" w:eastAsia="ＭＳ 明朝"/>
        </w:rPr>
        <w:t>、</w:t>
      </w:r>
      <w:r>
        <w:rPr>
          <w:rFonts w:hint="eastAsia" w:ascii="ＭＳ 明朝" w:hAnsi="ＭＳ 明朝" w:eastAsia="ＭＳ 明朝"/>
        </w:rPr>
        <w:t>86.6%</w:t>
      </w:r>
      <w:r>
        <w:rPr>
          <w:rFonts w:hint="eastAsia" w:ascii="ＭＳ 明朝" w:hAnsi="ＭＳ 明朝" w:eastAsia="ＭＳ 明朝"/>
        </w:rPr>
        <w:t>となっています。</w:t>
      </w:r>
      <w:r>
        <w:rPr>
          <w:rFonts w:hint="eastAsia" w:ascii="ＭＳ 明朝" w:hAnsi="ＭＳ 明朝" w:eastAsia="ＭＳ 明朝"/>
        </w:rPr>
        <w:t>(</w:t>
      </w:r>
      <w:r>
        <w:rPr>
          <w:rFonts w:hint="eastAsia" w:ascii="ＭＳ 明朝" w:hAnsi="ＭＳ 明朝" w:eastAsia="ＭＳ 明朝"/>
        </w:rPr>
        <w:t>図Ⅲ－２－１参照</w:t>
      </w:r>
      <w:r>
        <w:rPr>
          <w:rFonts w:hint="eastAsia" w:ascii="ＭＳ 明朝" w:hAnsi="ＭＳ 明朝" w:eastAsia="ＭＳ 明朝"/>
        </w:rPr>
        <w:t>)</w:t>
      </w:r>
    </w:p>
    <w:p>
      <w:pPr>
        <w:pStyle w:val="0"/>
        <w:ind w:left="480" w:leftChars="200" w:firstLine="240" w:firstLineChars="100"/>
        <w:jc w:val="left"/>
        <w:rPr>
          <w:rFonts w:hint="default" w:ascii="ＭＳ 明朝" w:hAnsi="ＭＳ 明朝"/>
        </w:rPr>
      </w:pPr>
      <w:r>
        <w:rPr>
          <w:rFonts w:hint="eastAsia" w:ascii="ＭＳ 明朝" w:hAnsi="ＭＳ 明朝" w:eastAsia="ＭＳ 明朝"/>
        </w:rPr>
        <w:t>本県の退院率は、国の基本方針で示された目標数値を平成</w:t>
      </w:r>
      <w:r>
        <w:rPr>
          <w:rFonts w:hint="eastAsia" w:ascii="ＭＳ 明朝" w:hAnsi="ＭＳ 明朝" w:eastAsia="ＭＳ 明朝"/>
        </w:rPr>
        <w:t>28</w:t>
      </w:r>
      <w:r>
        <w:rPr>
          <w:rFonts w:hint="eastAsia" w:ascii="ＭＳ 明朝" w:hAnsi="ＭＳ 明朝" w:eastAsia="ＭＳ 明朝"/>
        </w:rPr>
        <w:t>年度は下回っていますが、平成</w:t>
      </w:r>
      <w:r>
        <w:rPr>
          <w:rFonts w:hint="eastAsia" w:ascii="ＭＳ 明朝" w:hAnsi="ＭＳ 明朝" w:eastAsia="ＭＳ 明朝"/>
        </w:rPr>
        <w:t>27</w:t>
      </w:r>
      <w:r>
        <w:rPr>
          <w:rFonts w:hint="eastAsia" w:ascii="ＭＳ 明朝" w:hAnsi="ＭＳ 明朝" w:eastAsia="ＭＳ 明朝"/>
        </w:rPr>
        <w:t>年度は</w:t>
      </w:r>
      <w:r>
        <w:rPr>
          <w:rFonts w:hint="eastAsia" w:ascii="ＭＳ 明朝" w:hAnsi="ＭＳ 明朝" w:eastAsia="ＭＳ 明朝"/>
        </w:rPr>
        <w:t>69%</w:t>
      </w:r>
      <w:r>
        <w:rPr>
          <w:rFonts w:hint="eastAsia" w:ascii="ＭＳ 明朝" w:hAnsi="ＭＳ 明朝" w:eastAsia="ＭＳ 明朝"/>
        </w:rPr>
        <w:t>、</w:t>
      </w:r>
      <w:r>
        <w:rPr>
          <w:rFonts w:hint="eastAsia" w:ascii="ＭＳ 明朝" w:hAnsi="ＭＳ 明朝" w:eastAsia="ＭＳ 明朝"/>
        </w:rPr>
        <w:t>87.9%</w:t>
      </w:r>
      <w:r>
        <w:rPr>
          <w:rFonts w:hint="eastAsia" w:ascii="ＭＳ 明朝" w:hAnsi="ＭＳ 明朝" w:eastAsia="ＭＳ 明朝"/>
        </w:rPr>
        <w:t>、</w:t>
      </w:r>
      <w:r>
        <w:rPr>
          <w:rFonts w:hint="eastAsia" w:ascii="ＭＳ 明朝" w:hAnsi="ＭＳ 明朝" w:eastAsia="ＭＳ 明朝"/>
        </w:rPr>
        <w:t>93.2%</w:t>
      </w:r>
      <w:r>
        <w:rPr>
          <w:rFonts w:hint="eastAsia" w:ascii="ＭＳ 明朝" w:hAnsi="ＭＳ 明朝" w:eastAsia="ＭＳ 明朝"/>
        </w:rPr>
        <w:t>と上回っていることから、目標設定にあたっては、過去</w:t>
      </w:r>
      <w:r>
        <w:rPr>
          <w:rFonts w:hint="eastAsia" w:ascii="ＭＳ 明朝" w:hAnsi="ＭＳ 明朝" w:eastAsia="ＭＳ 明朝"/>
        </w:rPr>
        <w:t>10</w:t>
      </w:r>
      <w:r>
        <w:rPr>
          <w:rFonts w:hint="eastAsia" w:ascii="ＭＳ 明朝" w:hAnsi="ＭＳ 明朝" w:eastAsia="ＭＳ 明朝"/>
        </w:rPr>
        <w:t>年間の退院率で最も高かった数値（入院後３か月時点：</w:t>
      </w:r>
      <w:r>
        <w:rPr>
          <w:rFonts w:hint="eastAsia" w:ascii="ＭＳ 明朝" w:hAnsi="ＭＳ 明朝" w:eastAsia="ＭＳ 明朝"/>
        </w:rPr>
        <w:t>70.8%</w:t>
      </w:r>
      <w:r>
        <w:rPr>
          <w:rFonts w:hint="eastAsia" w:ascii="ＭＳ 明朝" w:hAnsi="ＭＳ 明朝" w:eastAsia="ＭＳ 明朝"/>
        </w:rPr>
        <w:t>、入院後６か月時点：</w:t>
      </w:r>
      <w:r>
        <w:rPr>
          <w:rFonts w:hint="eastAsia" w:ascii="ＭＳ 明朝" w:hAnsi="ＭＳ 明朝" w:eastAsia="ＭＳ 明朝"/>
        </w:rPr>
        <w:t>87.9%</w:t>
      </w:r>
      <w:r>
        <w:rPr>
          <w:rFonts w:hint="eastAsia" w:ascii="ＭＳ 明朝" w:hAnsi="ＭＳ 明朝" w:eastAsia="ＭＳ 明朝"/>
        </w:rPr>
        <w:t>、入院後１年時点：</w:t>
      </w:r>
      <w:r>
        <w:rPr>
          <w:rFonts w:hint="eastAsia" w:ascii="ＭＳ 明朝" w:hAnsi="ＭＳ 明朝" w:eastAsia="ＭＳ 明朝"/>
        </w:rPr>
        <w:t>93.2%</w:t>
      </w:r>
      <w:r>
        <w:rPr>
          <w:rFonts w:hint="eastAsia" w:ascii="ＭＳ 明朝" w:hAnsi="ＭＳ 明朝" w:eastAsia="ＭＳ 明朝"/>
        </w:rPr>
        <w:t>）を目標値とします。</w:t>
      </w:r>
    </w:p>
    <w:p>
      <w:pPr>
        <w:pStyle w:val="0"/>
        <w:ind w:left="480" w:leftChars="200" w:firstLine="240" w:firstLineChars="100"/>
        <w:jc w:val="left"/>
        <w:rPr>
          <w:rFonts w:hint="default" w:ascii="ＭＳ 明朝" w:hAnsi="ＭＳ 明朝"/>
        </w:rPr>
      </w:pPr>
    </w:p>
    <w:p>
      <w:pPr>
        <w:pStyle w:val="0"/>
        <w:ind w:firstLine="720" w:firstLineChars="300"/>
        <w:rPr>
          <w:rFonts w:hint="default" w:ascii="ＭＳ 明朝" w:hAnsi="ＭＳ 明朝"/>
        </w:rPr>
      </w:pPr>
      <w:r>
        <w:rPr>
          <w:rFonts w:hint="eastAsia" w:ascii="Century" w:hAnsi="Century" w:eastAsia="ＭＳ 明朝"/>
        </w:rPr>
        <w:t>■　</w:t>
      </w:r>
      <w:r>
        <w:rPr>
          <w:rFonts w:hint="eastAsia" w:ascii="ＭＳ ゴシック" w:hAnsi="ＭＳ ゴシック" w:eastAsia="ＭＳ ゴシック"/>
        </w:rPr>
        <w:t>図Ⅲ－２－１</w:t>
      </w:r>
      <w:r>
        <w:rPr>
          <w:rFonts w:hint="eastAsia" w:ascii="Century" w:hAnsi="Century" w:eastAsia="ＭＳ 明朝"/>
        </w:rPr>
        <w:t>　退院率の推移</w:t>
      </w:r>
    </w:p>
    <w:p>
      <w:pPr>
        <w:pStyle w:val="0"/>
        <w:ind w:firstLine="720" w:firstLineChars="300"/>
        <w:rPr>
          <w:rFonts w:hint="default" w:ascii="ＭＳ 明朝" w:hAnsi="ＭＳ 明朝"/>
        </w:rPr>
      </w:pPr>
      <w:r>
        <w:rPr>
          <w:rFonts w:hint="eastAsia"/>
        </w:rPr>
        <w:drawing>
          <wp:anchor distT="0" distB="1143" distL="114300" distR="114300" simplePos="0" relativeHeight="2" behindDoc="0" locked="0" layoutInCell="1" hidden="0" allowOverlap="1">
            <wp:simplePos x="0" y="0"/>
            <wp:positionH relativeFrom="page">
              <wp:posOffset>1022350</wp:posOffset>
            </wp:positionH>
            <wp:positionV relativeFrom="page">
              <wp:posOffset>6913880</wp:posOffset>
            </wp:positionV>
            <wp:extent cx="5601970" cy="245681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pic:nvPicPr>
                  <pic:blipFill>
                    <a:blip r:embed="rId7"/>
                    <a:stretch>
                      <a:fillRect/>
                    </a:stretch>
                  </pic:blipFill>
                  <pic:spPr>
                    <a:xfrm>
                      <a:off x="0" y="0"/>
                      <a:ext cx="5601970" cy="2456815"/>
                    </a:xfrm>
                    <a:prstGeom prst="rect">
                      <a:avLst/>
                    </a:prstGeom>
                    <a:noFill/>
                    <a:ln>
                      <a:miter/>
                    </a:ln>
                  </pic:spPr>
                </pic:pic>
              </a:graphicData>
            </a:graphic>
          </wp:anchor>
        </w:drawing>
      </w:r>
    </w:p>
    <w:p>
      <w:pPr>
        <w:pStyle w:val="0"/>
        <w:ind w:firstLine="720" w:firstLineChars="300"/>
        <w:rPr>
          <w:rFonts w:hint="default" w:ascii="ＭＳ 明朝" w:hAnsi="ＭＳ 明朝"/>
        </w:rPr>
      </w:pPr>
      <w:r>
        <w:rPr>
          <w:rFonts w:hint="default" w:ascii="Century" w:hAnsi="Century" w:eastAsia="ＭＳ 明朝"/>
        </w:rPr>
        <mc:AlternateContent>
          <mc:Choice Requires="wps">
            <w:drawing>
              <wp:anchor simplePos="0" relativeHeight="3" behindDoc="0" locked="0" layoutInCell="1" hidden="0" allowOverlap="1">
                <wp:simplePos x="0" y="0"/>
                <wp:positionH relativeFrom="column">
                  <wp:posOffset>4829175</wp:posOffset>
                </wp:positionH>
                <wp:positionV relativeFrom="paragraph">
                  <wp:posOffset>165735</wp:posOffset>
                </wp:positionV>
                <wp:extent cx="390525" cy="3429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90525" cy="342900"/>
                        </a:xfrm>
                        <a:prstGeom prst="ellipse">
                          <a:avLst/>
                        </a:prstGeom>
                        <a:noFill/>
                        <a:ln w="9525">
                          <a:solidFill>
                            <a:sysClr val="windowText" lastClr="000000"/>
                          </a:solidFill>
                        </a:ln>
                      </wps:spPr>
                      <wps:bodyPr/>
                    </wps:wsp>
                  </a:graphicData>
                </a:graphic>
              </wp:anchor>
            </w:drawing>
          </mc:Choice>
          <mc:Fallback>
            <w:pict>
              <v:oval id="オブジェクト 0" style="margin-top:13.05pt;margin-left:380.25pt;mso-position-horizontal-relative:text;mso-position-vertical-relative:text;position:absolute;height:27pt;width:30.75pt;z-index:3;" o:spid="_x0000_s1028" o:allowincell="t" o:allowoverlap="t" filled="f" stroked="t" strokecolor="#000000" strokeweight="0.75pt" o:spt="3">
                <v:fill/>
                <v:stroke filltype="solid"/>
                <v:textbox style="layout-flow:horizontal;"/>
                <v:imagedata o:title=""/>
                <w10:wrap type="none" anchorx="text" anchory="text"/>
              </v:oval>
            </w:pict>
          </mc:Fallback>
        </mc:AlternateContent>
      </w:r>
      <w:r>
        <w:rPr>
          <w:rFonts w:hint="default" w:ascii="Century" w:hAnsi="Century" w:eastAsia="ＭＳ 明朝"/>
        </w:rPr>
        <mc:AlternateContent>
          <mc:Choice Requires="wps">
            <w:drawing>
              <wp:anchor simplePos="0" relativeHeight="4" behindDoc="0" locked="0" layoutInCell="1" hidden="0" allowOverlap="1">
                <wp:simplePos x="0" y="0"/>
                <wp:positionH relativeFrom="column">
                  <wp:posOffset>1466850</wp:posOffset>
                </wp:positionH>
                <wp:positionV relativeFrom="paragraph">
                  <wp:posOffset>165735</wp:posOffset>
                </wp:positionV>
                <wp:extent cx="390525" cy="3429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390525" cy="342900"/>
                        </a:xfrm>
                        <a:prstGeom prst="ellipse">
                          <a:avLst/>
                        </a:prstGeom>
                        <a:noFill/>
                        <a:ln w="9525">
                          <a:solidFill>
                            <a:sysClr val="windowText" lastClr="000000"/>
                          </a:solidFill>
                        </a:ln>
                      </wps:spPr>
                      <wps:bodyPr/>
                    </wps:wsp>
                  </a:graphicData>
                </a:graphic>
              </wp:anchor>
            </w:drawing>
          </mc:Choice>
          <mc:Fallback>
            <w:pict>
              <v:oval id="オブジェクト 0" style="margin-top:13.05pt;margin-left:115.5pt;mso-position-horizontal-relative:text;mso-position-vertical-relative:text;position:absolute;height:27pt;width:30.75pt;z-index:4;" o:spid="_x0000_s1029" o:allowincell="t" o:allowoverlap="t" filled="f" stroked="t" strokecolor="#000000" strokeweight="0.75pt" o:spt="3">
                <v:fill/>
                <v:stroke filltype="solid"/>
                <v:textbox style="layout-flow:horizontal;"/>
                <v:imagedata o:title=""/>
                <w10:wrap type="none" anchorx="text" anchory="text"/>
              </v:oval>
            </w:pict>
          </mc:Fallback>
        </mc:AlternateContent>
      </w:r>
      <w:r>
        <w:rPr>
          <w:rFonts w:hint="default" w:ascii="Century" w:hAnsi="Century" w:eastAsia="ＭＳ 明朝"/>
        </w:rPr>
        <mc:AlternateContent>
          <mc:Choice Requires="wps">
            <w:drawing>
              <wp:anchor simplePos="0" relativeHeight="6" behindDoc="0" locked="0" layoutInCell="1" hidden="0" allowOverlap="1">
                <wp:simplePos x="0" y="0"/>
                <wp:positionH relativeFrom="column">
                  <wp:posOffset>4829175</wp:posOffset>
                </wp:positionH>
                <wp:positionV relativeFrom="paragraph">
                  <wp:posOffset>0</wp:posOffset>
                </wp:positionV>
                <wp:extent cx="390525" cy="3429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390525" cy="342900"/>
                        </a:xfrm>
                        <a:prstGeom prst="ellipse">
                          <a:avLst/>
                        </a:prstGeom>
                        <a:noFill/>
                        <a:ln w="9525">
                          <a:solidFill>
                            <a:sysClr val="windowText" lastClr="000000"/>
                          </a:solidFill>
                        </a:ln>
                      </wps:spPr>
                      <wps:bodyPr/>
                    </wps:wsp>
                  </a:graphicData>
                </a:graphic>
              </wp:anchor>
            </w:drawing>
          </mc:Choice>
          <mc:Fallback>
            <w:pict>
              <v:oval id="オブジェクト 0" style="margin-top:0pt;margin-left:380.25pt;mso-position-horizontal-relative:text;mso-position-vertical-relative:text;position:absolute;height:27pt;width:30.75pt;z-index:6;" o:spid="_x0000_s1030" o:allowincell="t" o:allowoverlap="t" filled="f" stroked="t" strokecolor="#000000" strokeweight="0.75pt" o:spt="3">
                <v:fill/>
                <v:stroke filltype="solid"/>
                <v:textbox style="layout-flow:horizontal;"/>
                <v:imagedata o:title=""/>
                <w10:wrap type="none" anchorx="text" anchory="text"/>
              </v:oval>
            </w:pict>
          </mc:Fallback>
        </mc:AlternateContent>
      </w:r>
    </w:p>
    <w:p>
      <w:pPr>
        <w:pStyle w:val="0"/>
        <w:ind w:firstLine="720" w:firstLineChars="300"/>
        <w:rPr>
          <w:rFonts w:hint="default" w:ascii="ＭＳ 明朝" w:hAnsi="ＭＳ 明朝"/>
        </w:rPr>
      </w:pPr>
    </w:p>
    <w:p>
      <w:pPr>
        <w:pStyle w:val="0"/>
        <w:ind w:firstLine="720" w:firstLineChars="300"/>
        <w:rPr>
          <w:rFonts w:hint="default" w:ascii="ＭＳ 明朝" w:hAnsi="ＭＳ 明朝"/>
        </w:rPr>
      </w:pPr>
    </w:p>
    <w:p>
      <w:pPr>
        <w:pStyle w:val="0"/>
        <w:ind w:firstLine="720" w:firstLineChars="300"/>
        <w:rPr>
          <w:rFonts w:hint="default" w:ascii="ＭＳ 明朝" w:hAnsi="ＭＳ 明朝"/>
        </w:rPr>
      </w:pPr>
      <w:r>
        <w:rPr>
          <w:rFonts w:hint="default" w:ascii="Century" w:hAnsi="Century" w:eastAsia="ＭＳ 明朝"/>
        </w:rPr>
        <mc:AlternateContent>
          <mc:Choice Requires="wps">
            <w:drawing>
              <wp:anchor simplePos="0" relativeHeight="5" behindDoc="0" locked="0" layoutInCell="1" hidden="0" allowOverlap="1">
                <wp:simplePos x="0" y="0"/>
                <wp:positionH relativeFrom="column">
                  <wp:posOffset>1466850</wp:posOffset>
                </wp:positionH>
                <wp:positionV relativeFrom="paragraph">
                  <wp:posOffset>66675</wp:posOffset>
                </wp:positionV>
                <wp:extent cx="390525" cy="3429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390525" cy="342900"/>
                        </a:xfrm>
                        <a:prstGeom prst="ellipse">
                          <a:avLst/>
                        </a:prstGeom>
                        <a:noFill/>
                        <a:ln w="9525">
                          <a:solidFill>
                            <a:sysClr val="windowText" lastClr="000000"/>
                          </a:solidFill>
                        </a:ln>
                      </wps:spPr>
                      <wps:bodyPr/>
                    </wps:wsp>
                  </a:graphicData>
                </a:graphic>
              </wp:anchor>
            </w:drawing>
          </mc:Choice>
          <mc:Fallback>
            <w:pict>
              <v:oval id="オブジェクト 0" style="margin-top:5.25pt;margin-left:115.5pt;mso-position-horizontal-relative:text;mso-position-vertical-relative:text;position:absolute;height:27pt;width:30.75pt;z-index:5;" o:spid="_x0000_s1031" o:allowincell="t" o:allowoverlap="t" filled="f" stroked="t" strokecolor="#000000" strokeweight="0.75pt" o:spt="3">
                <v:fill/>
                <v:stroke filltype="solid"/>
                <v:textbox style="layout-flow:horizontal;"/>
                <v:imagedata o:title=""/>
                <w10:wrap type="none" anchorx="text" anchory="text"/>
              </v:oval>
            </w:pict>
          </mc:Fallback>
        </mc:AlternateContent>
      </w:r>
    </w:p>
    <w:p>
      <w:pPr>
        <w:pStyle w:val="0"/>
        <w:ind w:firstLine="720" w:firstLineChars="300"/>
        <w:rPr>
          <w:rFonts w:hint="default" w:ascii="ＭＳ 明朝" w:hAnsi="ＭＳ 明朝"/>
        </w:rPr>
      </w:pPr>
    </w:p>
    <w:p>
      <w:pPr>
        <w:pStyle w:val="0"/>
        <w:ind w:firstLine="720" w:firstLineChars="300"/>
        <w:rPr>
          <w:rFonts w:hint="default" w:ascii="ＭＳ 明朝" w:hAnsi="ＭＳ 明朝"/>
        </w:rPr>
      </w:pPr>
    </w:p>
    <w:p>
      <w:pPr>
        <w:pStyle w:val="0"/>
        <w:ind w:firstLine="720" w:firstLineChars="300"/>
        <w:rPr>
          <w:rFonts w:hint="default" w:ascii="ＭＳ 明朝" w:hAnsi="ＭＳ 明朝"/>
        </w:rPr>
      </w:pPr>
    </w:p>
    <w:p>
      <w:pPr>
        <w:pStyle w:val="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p>
    <w:p>
      <w:pPr>
        <w:pStyle w:val="0"/>
        <w:ind w:left="240" w:leftChars="100"/>
        <w:jc w:val="left"/>
        <w:rPr>
          <w:rFonts w:hint="default" w:ascii="ＭＳ 明朝" w:hAnsi="ＭＳ 明朝"/>
        </w:rPr>
      </w:pPr>
      <w:r>
        <w:rPr>
          <w:rFonts w:hint="eastAsia" w:ascii="ＭＳ 明朝" w:hAnsi="ＭＳ 明朝" w:eastAsia="ＭＳ 明朝"/>
        </w:rPr>
        <w:t>　③１年以上の長期入院患者数</w:t>
      </w:r>
    </w:p>
    <w:p>
      <w:pPr>
        <w:pStyle w:val="0"/>
        <w:ind w:left="480" w:leftChars="100" w:hanging="240" w:hangingChars="100"/>
        <w:jc w:val="left"/>
        <w:rPr>
          <w:rFonts w:hint="default" w:ascii="ＭＳ 明朝" w:hAnsi="ＭＳ 明朝"/>
        </w:rPr>
      </w:pPr>
      <w:r>
        <w:rPr>
          <w:rFonts w:hint="eastAsia" w:ascii="ＭＳ 明朝" w:hAnsi="ＭＳ 明朝" w:eastAsia="ＭＳ 明朝"/>
        </w:rPr>
        <w:t>　　本県の精神科病院の１年以上の長期入院患者数は、平成</w:t>
      </w:r>
      <w:r>
        <w:rPr>
          <w:rFonts w:hint="eastAsia" w:ascii="ＭＳ 明朝" w:hAnsi="ＭＳ 明朝" w:eastAsia="ＭＳ 明朝"/>
        </w:rPr>
        <w:t>28</w:t>
      </w:r>
      <w:r>
        <w:rPr>
          <w:rFonts w:hint="eastAsia" w:ascii="ＭＳ 明朝" w:hAnsi="ＭＳ 明朝" w:eastAsia="ＭＳ 明朝"/>
        </w:rPr>
        <w:t>年６月末現在で</w:t>
      </w:r>
      <w:r>
        <w:rPr>
          <w:rFonts w:hint="eastAsia" w:ascii="ＭＳ 明朝" w:hAnsi="ＭＳ 明朝" w:eastAsia="ＭＳ 明朝"/>
        </w:rPr>
        <w:t>1,820</w:t>
      </w:r>
      <w:r>
        <w:rPr>
          <w:rFonts w:hint="eastAsia" w:ascii="ＭＳ 明朝" w:hAnsi="ＭＳ 明朝" w:eastAsia="ＭＳ 明朝"/>
        </w:rPr>
        <w:t>人となっており、近年は減少傾向となっています。</w:t>
      </w:r>
      <w:r>
        <w:rPr>
          <w:rFonts w:hint="eastAsia" w:ascii="ＭＳ 明朝" w:hAnsi="ＭＳ 明朝" w:eastAsia="ＭＳ 明朝"/>
        </w:rPr>
        <w:t>(</w:t>
      </w:r>
      <w:r>
        <w:rPr>
          <w:rFonts w:hint="eastAsia" w:ascii="ＭＳ 明朝" w:hAnsi="ＭＳ 明朝" w:eastAsia="ＭＳ 明朝"/>
        </w:rPr>
        <w:t>図Ⅲ－２－２参照</w:t>
      </w:r>
      <w:r>
        <w:rPr>
          <w:rFonts w:hint="eastAsia" w:ascii="ＭＳ 明朝" w:hAnsi="ＭＳ 明朝" w:eastAsia="ＭＳ 明朝"/>
        </w:rPr>
        <w:t>)</w:t>
      </w:r>
      <w:r>
        <w:rPr>
          <w:rFonts w:hint="eastAsia" w:ascii="ＭＳ 明朝" w:hAnsi="ＭＳ 明朝" w:eastAsia="ＭＳ 明朝"/>
        </w:rPr>
        <w:t>。</w:t>
      </w:r>
    </w:p>
    <w:p>
      <w:pPr>
        <w:pStyle w:val="0"/>
        <w:ind w:left="480" w:leftChars="100" w:hanging="240" w:hangingChars="100"/>
        <w:jc w:val="left"/>
        <w:rPr>
          <w:rFonts w:hint="default" w:ascii="ＭＳ 明朝" w:hAnsi="ＭＳ 明朝"/>
        </w:rPr>
      </w:pPr>
    </w:p>
    <w:p>
      <w:pPr>
        <w:pStyle w:val="0"/>
        <w:ind w:left="480" w:leftChars="100" w:hanging="240" w:hangingChars="100"/>
        <w:jc w:val="left"/>
        <w:rPr>
          <w:rFonts w:hint="default"/>
        </w:rPr>
      </w:pPr>
      <w:r>
        <w:rPr>
          <w:rFonts w:hint="eastAsia" w:ascii="ＭＳ 明朝" w:hAnsi="ＭＳ 明朝" w:eastAsia="ＭＳ 明朝"/>
        </w:rPr>
        <w:t>　　</w:t>
      </w:r>
      <w:r>
        <w:rPr>
          <w:rFonts w:hint="eastAsia" w:ascii="Century" w:hAnsi="Century" w:eastAsia="ＭＳ 明朝"/>
        </w:rPr>
        <w:t>■　</w:t>
      </w:r>
      <w:r>
        <w:rPr>
          <w:rFonts w:hint="eastAsia" w:ascii="ＭＳ ゴシック" w:hAnsi="ＭＳ ゴシック" w:eastAsia="ＭＳ ゴシック"/>
        </w:rPr>
        <w:t>図Ⅲ－２－２</w:t>
      </w:r>
      <w:r>
        <w:rPr>
          <w:rFonts w:hint="eastAsia" w:ascii="Century" w:hAnsi="Century" w:eastAsia="ＭＳ ゴシック"/>
        </w:rPr>
        <w:t>　</w:t>
      </w:r>
      <w:r>
        <w:rPr>
          <w:rFonts w:hint="eastAsia" w:ascii="Century" w:hAnsi="Century" w:eastAsia="ＭＳ 明朝"/>
        </w:rPr>
        <w:t>１年以上の</w:t>
      </w:r>
      <w:r>
        <w:rPr>
          <w:rFonts w:hint="eastAsia" w:ascii="ＭＳ 明朝" w:hAnsi="ＭＳ 明朝" w:eastAsia="ＭＳ 明朝"/>
        </w:rPr>
        <w:t>長期入院患者</w:t>
      </w:r>
      <w:r>
        <w:rPr>
          <w:rFonts w:hint="eastAsia" w:ascii="Century" w:hAnsi="Century" w:eastAsia="ＭＳ 明朝"/>
        </w:rPr>
        <w:t>数の推移</w:t>
      </w:r>
    </w:p>
    <w:p>
      <w:pPr>
        <w:pStyle w:val="0"/>
        <w:ind w:left="240" w:leftChars="100" w:firstLine="480" w:firstLineChars="200"/>
        <w:jc w:val="left"/>
        <w:rPr>
          <w:rFonts w:hint="default" w:ascii="ＭＳ 明朝" w:hAnsi="ＭＳ 明朝"/>
          <w:sz w:val="22"/>
        </w:rPr>
      </w:pPr>
      <w:r>
        <w:rPr>
          <w:rFonts w:hint="eastAsia"/>
        </w:rPr>
        <w:drawing>
          <wp:anchor distT="0" distB="0" distL="114300" distR="114300" simplePos="0" relativeHeight="7" behindDoc="0" locked="0" layoutInCell="1" hidden="0" allowOverlap="1">
            <wp:simplePos x="0" y="0"/>
            <wp:positionH relativeFrom="page">
              <wp:posOffset>1165225</wp:posOffset>
            </wp:positionH>
            <wp:positionV relativeFrom="page">
              <wp:posOffset>1887855</wp:posOffset>
            </wp:positionV>
            <wp:extent cx="5718175" cy="2389505"/>
            <wp:effectExtent l="0" t="0" r="0" b="0"/>
            <wp:wrapNone/>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pic:nvPicPr>
                  <pic:blipFill>
                    <a:blip r:embed="rId8"/>
                    <a:stretch>
                      <a:fillRect/>
                    </a:stretch>
                  </pic:blipFill>
                  <pic:spPr>
                    <a:xfrm>
                      <a:off x="0" y="0"/>
                      <a:ext cx="5718175" cy="2389505"/>
                    </a:xfrm>
                    <a:prstGeom prst="rect">
                      <a:avLst/>
                    </a:prstGeom>
                    <a:noFill/>
                    <a:ln>
                      <a:miter/>
                    </a:ln>
                  </pic:spPr>
                </pic:pic>
              </a:graphicData>
            </a:graphic>
          </wp:anchor>
        </w:drawing>
      </w: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ind w:left="480" w:leftChars="200" w:firstLine="240" w:firstLineChars="100"/>
        <w:jc w:val="left"/>
        <w:rPr>
          <w:rFonts w:hint="default" w:ascii="ＭＳ 明朝" w:hAnsi="ＭＳ 明朝"/>
        </w:rPr>
      </w:pPr>
    </w:p>
    <w:p>
      <w:pPr>
        <w:pStyle w:val="0"/>
        <w:ind w:left="480" w:leftChars="200" w:firstLine="240" w:firstLineChars="100"/>
        <w:jc w:val="left"/>
        <w:rPr>
          <w:rFonts w:hint="default" w:ascii="ＭＳ 明朝" w:hAnsi="ＭＳ 明朝"/>
        </w:rPr>
      </w:pPr>
      <w:r>
        <w:rPr>
          <w:rFonts w:hint="eastAsia" w:ascii="ＭＳ 明朝" w:hAnsi="ＭＳ 明朝" w:eastAsia="ＭＳ 明朝"/>
        </w:rPr>
        <w:t>目標設定にあたっては、地域の精神保健医療福祉体制の基盤を整備することによって、１</w:t>
      </w:r>
      <w:bookmarkStart w:id="0" w:name="_GoBack"/>
      <w:bookmarkEnd w:id="0"/>
      <w:r>
        <w:rPr>
          <w:rFonts w:hint="eastAsia" w:ascii="ＭＳ 明朝" w:hAnsi="ＭＳ 明朝" w:eastAsia="ＭＳ 明朝"/>
        </w:rPr>
        <w:t>年以上長期入院患者のうち一定数は地域生活への移行が可能となることから、国の基本指針に掲示される推計式により算定される、</w:t>
      </w:r>
      <w:r>
        <w:rPr>
          <w:rFonts w:hint="eastAsia" w:ascii="ＭＳ 明朝" w:hAnsi="ＭＳ 明朝" w:eastAsia="ＭＳ 明朝"/>
        </w:rPr>
        <w:t>1,757</w:t>
      </w:r>
      <w:r>
        <w:rPr>
          <w:rFonts w:hint="eastAsia" w:ascii="ＭＳ 明朝" w:hAnsi="ＭＳ 明朝" w:eastAsia="ＭＳ 明朝"/>
        </w:rPr>
        <w:t>人を目標値とします。</w:t>
      </w:r>
    </w:p>
    <w:p>
      <w:pPr>
        <w:pStyle w:val="0"/>
        <w:ind w:firstLine="240" w:firstLineChars="100"/>
        <w:jc w:val="left"/>
        <w:rPr>
          <w:rFonts w:hint="default" w:ascii="ＭＳ 明朝" w:hAnsi="ＭＳ 明朝"/>
        </w:rPr>
      </w:pPr>
    </w:p>
    <w:p>
      <w:pPr>
        <w:pStyle w:val="0"/>
        <w:ind w:firstLine="240" w:firstLineChars="100"/>
        <w:jc w:val="left"/>
        <w:rPr>
          <w:rFonts w:hint="default" w:ascii="ＭＳ 明朝" w:hAnsi="ＭＳ 明朝"/>
        </w:rPr>
      </w:pPr>
      <w:r>
        <w:rPr>
          <w:rFonts w:hint="eastAsia" w:ascii="ＭＳ 明朝" w:hAnsi="ＭＳ 明朝" w:eastAsia="ＭＳ 明朝"/>
        </w:rPr>
        <w:t>(4)</w:t>
      </w:r>
      <w:r>
        <w:rPr>
          <w:rFonts w:hint="eastAsia" w:ascii="ＭＳ 明朝" w:hAnsi="ＭＳ 明朝" w:eastAsia="ＭＳ 明朝"/>
        </w:rPr>
        <w:t>　目標達成への取り組み</w:t>
      </w:r>
    </w:p>
    <w:p>
      <w:pPr>
        <w:pStyle w:val="0"/>
        <w:ind w:left="480" w:hanging="480" w:hangingChars="200"/>
        <w:rPr>
          <w:rFonts w:hint="default"/>
        </w:rPr>
      </w:pPr>
    </w:p>
    <w:p>
      <w:pPr>
        <w:pStyle w:val="0"/>
        <w:ind w:left="480" w:hanging="480" w:hangingChars="200"/>
        <w:rPr>
          <w:rFonts w:hint="default"/>
        </w:rPr>
      </w:pPr>
      <w:r>
        <w:rPr>
          <w:rFonts w:hint="eastAsia" w:ascii="Century" w:hAnsi="Century" w:eastAsia="ＭＳ 明朝"/>
        </w:rPr>
        <w:t>　○　精神障害のある人が安心して暮らしていくためには、まわりの人々が精神障害について理解を深めることが必要ですので、精神障害についての正しい知識の普及や啓発活動などを通じて、県民一人ひとりの理解が進むよう取り組みます。</w:t>
      </w:r>
    </w:p>
    <w:p>
      <w:pPr>
        <w:pStyle w:val="0"/>
        <w:ind w:left="480" w:hanging="480" w:hangingChars="200"/>
        <w:rPr>
          <w:rFonts w:hint="default"/>
        </w:rPr>
      </w:pPr>
    </w:p>
    <w:p>
      <w:pPr>
        <w:pStyle w:val="0"/>
        <w:numPr>
          <w:ilvl w:val="0"/>
          <w:numId w:val="1"/>
        </w:numPr>
        <w:rPr>
          <w:rFonts w:hint="default"/>
        </w:rPr>
      </w:pPr>
      <w:r>
        <w:rPr>
          <w:rFonts w:hint="eastAsia" w:ascii="Century" w:hAnsi="Century" w:eastAsia="ＭＳ 明朝"/>
        </w:rPr>
        <w:t xml:space="preserve"> </w:t>
      </w:r>
      <w:r>
        <w:rPr>
          <w:rFonts w:hint="eastAsia" w:ascii="Century" w:hAnsi="Century" w:eastAsia="ＭＳ 明朝"/>
        </w:rPr>
        <w:t>医療保護入院者の退院促進に向けた退院後生活環境相談員や医療保護入院者退院支援委員会等の精神科病院の取組や地域の支援事業者の取組だけではなく、市町村を中心とした地域における保健、医療、福祉の関係機関の一体的な取組を推進し、退院可能な精神障害のある人の退院を促進し、地域に定着するための取組を強化します。</w:t>
      </w:r>
    </w:p>
    <w:p>
      <w:pPr>
        <w:pStyle w:val="0"/>
        <w:rPr>
          <w:rFonts w:hint="default"/>
        </w:rPr>
      </w:pPr>
    </w:p>
    <w:p>
      <w:pPr>
        <w:pStyle w:val="0"/>
        <w:numPr>
          <w:ilvl w:val="0"/>
          <w:numId w:val="1"/>
        </w:numPr>
        <w:rPr>
          <w:rFonts w:hint="default"/>
        </w:rPr>
      </w:pPr>
      <w:r>
        <w:rPr>
          <w:rFonts w:hint="eastAsia" w:ascii="Century" w:hAnsi="Century" w:eastAsia="ＭＳ 明朝"/>
        </w:rPr>
        <w:t xml:space="preserve"> </w:t>
      </w:r>
      <w:r>
        <w:rPr>
          <w:rFonts w:hint="eastAsia" w:ascii="Century" w:hAnsi="Century" w:eastAsia="ＭＳ 明朝"/>
        </w:rPr>
        <w:t>入院中の精神障害のある人が退院する際、また、その後の生活について、様々な場面で仲間どうしのサポートが有用とされていることから、ピアサポート活動が積極的に行えるよう支援を行います。</w:t>
      </w:r>
    </w:p>
    <w:p>
      <w:pPr>
        <w:pStyle w:val="0"/>
        <w:rPr>
          <w:rFonts w:hint="default"/>
        </w:rPr>
      </w:pPr>
    </w:p>
    <w:p>
      <w:pPr>
        <w:pStyle w:val="0"/>
        <w:ind w:left="480" w:leftChars="100" w:hanging="240" w:hangingChars="100"/>
        <w:rPr>
          <w:rFonts w:hint="default"/>
        </w:rPr>
      </w:pPr>
      <w:r>
        <w:rPr>
          <w:rFonts w:hint="eastAsia" w:ascii="Century" w:hAnsi="Century" w:eastAsia="ＭＳ 明朝"/>
        </w:rPr>
        <w:t>○　「地域移行支援」や「地域定着支援」を実施する指定一般相談支援事業所</w:t>
      </w:r>
      <w:r>
        <w:rPr>
          <w:rFonts w:hint="eastAsia" w:asciiTheme="minorEastAsia" w:hAnsiTheme="minorEastAsia"/>
        </w:rPr>
        <w:t>や基幹相談支援センター</w:t>
      </w:r>
      <w:r>
        <w:rPr>
          <w:rFonts w:hint="eastAsia" w:ascii="Century" w:hAnsi="Century" w:eastAsia="ＭＳ 明朝"/>
        </w:rPr>
        <w:t>設置を促進し、市町村や障害福祉サービス事業所と連携して相談支援体制の充実を図ります。（再掲）</w:t>
      </w:r>
    </w:p>
    <w:p>
      <w:pPr>
        <w:pStyle w:val="0"/>
        <w:rPr>
          <w:rFonts w:hint="default"/>
        </w:rPr>
      </w:pPr>
    </w:p>
    <w:p>
      <w:pPr>
        <w:pStyle w:val="0"/>
        <w:ind w:left="480" w:leftChars="100" w:hanging="240" w:hangingChars="100"/>
        <w:rPr>
          <w:rFonts w:hint="default"/>
        </w:rPr>
      </w:pPr>
      <w:r>
        <w:rPr>
          <w:rFonts w:hint="eastAsia" w:ascii="Century" w:hAnsi="Century" w:eastAsia="ＭＳ 明朝"/>
        </w:rPr>
        <w:t>○　独立した生活を目指す人が支援を受けながら生活するグループホームの充実を図るため、施設整備に対する助成を行いながら積極的に整備を進めます。（再掲）</w:t>
      </w:r>
    </w:p>
    <w:p>
      <w:pPr>
        <w:pStyle w:val="0"/>
        <w:ind w:left="480" w:leftChars="100" w:hanging="240" w:hangingChars="100"/>
        <w:rPr>
          <w:rFonts w:hint="default"/>
        </w:rPr>
      </w:pPr>
    </w:p>
    <w:p>
      <w:pPr>
        <w:pStyle w:val="19"/>
        <w:ind w:left="422" w:leftChars="0" w:hanging="422" w:hangingChars="176"/>
        <w:rPr>
          <w:rFonts w:hint="default"/>
        </w:rPr>
      </w:pPr>
      <w:r>
        <w:rPr>
          <w:rFonts w:hint="eastAsia"/>
        </w:rPr>
        <w:t>　○　精神障害のある人が安心して生活ができるよう、精神科医療機関、その他の医療機関、地域の支援事業者、市町村などとの多職種協働による重層的な連携支援体制の構築を図り、生活の場で必要な支援を受けられる基盤整備を図ります。</w:t>
      </w:r>
    </w:p>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３　地域生活支援拠点等の整備</w:t>
      </w:r>
    </w:p>
    <w:p>
      <w:pPr>
        <w:pStyle w:val="0"/>
        <w:rPr>
          <w:rFonts w:hint="default"/>
        </w:rPr>
      </w:pPr>
    </w:p>
    <w:tbl>
      <w:tblPr>
        <w:tblStyle w:val="11"/>
        <w:tblW w:w="8640" w:type="dxa"/>
        <w:jc w:val="left"/>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40"/>
      </w:tblGrid>
      <w:tr>
        <w:trPr>
          <w:trHeight w:val="680" w:hRule="atLeast"/>
        </w:trPr>
        <w:tc>
          <w:tcPr>
            <w:tcW w:w="8640" w:type="dxa"/>
            <w:vAlign w:val="center"/>
          </w:tcPr>
          <w:p>
            <w:pPr>
              <w:pStyle w:val="0"/>
              <w:rPr>
                <w:rFonts w:hint="default" w:asciiTheme="majorEastAsia" w:hAnsiTheme="majorEastAsia" w:eastAsiaTheme="majorEastAsia"/>
              </w:rPr>
            </w:pPr>
            <w:r>
              <w:rPr>
                <w:rFonts w:hint="eastAsia" w:ascii="ＭＳ ゴシック" w:hAnsi="ＭＳ ゴシック" w:eastAsia="ＭＳ ゴシック"/>
              </w:rPr>
              <w:t>平成</w:t>
            </w:r>
            <w:r>
              <w:rPr>
                <w:rFonts w:hint="eastAsia" w:ascii="ＭＳ ゴシック" w:hAnsi="ＭＳ ゴシック" w:eastAsia="ＭＳ ゴシック"/>
              </w:rPr>
              <w:t>32</w:t>
            </w:r>
            <w:r>
              <w:rPr>
                <w:rFonts w:hint="eastAsia" w:ascii="ＭＳ ゴシック" w:hAnsi="ＭＳ ゴシック" w:eastAsia="ＭＳ ゴシック"/>
              </w:rPr>
              <w:t>年度末までに各圏域に１つずつ整備</w:t>
            </w:r>
          </w:p>
        </w:tc>
      </w:tr>
    </w:tbl>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(1)</w:t>
      </w:r>
      <w:r>
        <w:rPr>
          <w:rFonts w:hint="eastAsia" w:asciiTheme="minorEastAsia" w:hAnsiTheme="minorEastAsia"/>
        </w:rPr>
        <w:t>　これまでの実績</w:t>
      </w:r>
    </w:p>
    <w:p>
      <w:pPr>
        <w:pStyle w:val="0"/>
        <w:ind w:left="240" w:hanging="240" w:hangingChars="100"/>
        <w:rPr>
          <w:rFonts w:hint="default" w:asciiTheme="minorEastAsia" w:hAnsiTheme="minorEastAsia"/>
        </w:rPr>
      </w:pPr>
      <w:r>
        <w:rPr>
          <w:rFonts w:hint="eastAsia" w:asciiTheme="minorEastAsia" w:hAnsiTheme="minorEastAsia"/>
        </w:rPr>
        <w:t>　　安芸圏域</w:t>
      </w:r>
      <w:r>
        <w:rPr>
          <w:rFonts w:hint="eastAsia" w:asciiTheme="minorEastAsia" w:hAnsiTheme="minorEastAsia"/>
          <w:highlight w:val="none"/>
        </w:rPr>
        <w:t>の町村等</w:t>
      </w:r>
      <w:r>
        <w:rPr>
          <w:rFonts w:hint="eastAsia" w:asciiTheme="minorEastAsia" w:hAnsiTheme="minorEastAsia"/>
        </w:rPr>
        <w:t>において、平成</w:t>
      </w:r>
      <w:r>
        <w:rPr>
          <w:rFonts w:hint="eastAsia" w:asciiTheme="minorEastAsia" w:hAnsiTheme="minorEastAsia"/>
        </w:rPr>
        <w:t>29</w:t>
      </w:r>
      <w:r>
        <w:rPr>
          <w:rFonts w:hint="eastAsia" w:asciiTheme="minorEastAsia" w:hAnsiTheme="minorEastAsia"/>
        </w:rPr>
        <w:t>年４月より、相談機能を主とし、複数の事業所等が分担する面的な体制での取り組みが始まっているところです。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(2)</w:t>
      </w:r>
      <w:r>
        <w:rPr>
          <w:rFonts w:hint="eastAsia" w:asciiTheme="minorEastAsia" w:hAnsiTheme="minorEastAsia"/>
        </w:rPr>
        <w:t>　目標設定の考え方等</w:t>
      </w:r>
      <w:r>
        <w:rPr>
          <w:rFonts w:hint="default"/>
        </w:rPr>
        <w:t xml:space="preserve"> </w:t>
      </w:r>
    </w:p>
    <w:p>
      <w:pPr>
        <w:pStyle w:val="0"/>
        <w:ind w:left="240" w:leftChars="100" w:firstLine="240" w:firstLineChars="100"/>
        <w:rPr>
          <w:rFonts w:hint="default" w:asciiTheme="minorEastAsia" w:hAnsiTheme="minorEastAsia"/>
        </w:rPr>
      </w:pPr>
      <w:r>
        <w:rPr>
          <w:rFonts w:hint="eastAsia" w:asciiTheme="minorEastAsia" w:hAnsiTheme="minorEastAsia"/>
        </w:rPr>
        <w:t>障害のある人の重度化・高齢化や「親亡き後」を見据え、居住支援のための機能として、次のものが挙げられます。</w:t>
      </w:r>
    </w:p>
    <w:p>
      <w:pPr>
        <w:pStyle w:val="0"/>
        <w:ind w:left="240" w:leftChars="100" w:firstLine="480" w:firstLineChars="200"/>
        <w:rPr>
          <w:rFonts w:hint="default" w:asciiTheme="minorEastAsia" w:hAnsiTheme="minorEastAsia"/>
        </w:rPr>
      </w:pPr>
      <w:r>
        <w:rPr>
          <w:rFonts w:hint="eastAsia" w:asciiTheme="minorEastAsia" w:hAnsiTheme="minorEastAsia"/>
        </w:rPr>
        <w:t>①相談（施設からの退所、病院からの退院、親元からの自立等）、</w:t>
      </w:r>
    </w:p>
    <w:p>
      <w:pPr>
        <w:pStyle w:val="0"/>
        <w:ind w:left="240" w:leftChars="100" w:firstLine="480" w:firstLineChars="200"/>
        <w:rPr>
          <w:rFonts w:hint="default" w:asciiTheme="minorEastAsia" w:hAnsiTheme="minorEastAsia"/>
        </w:rPr>
      </w:pPr>
      <w:r>
        <w:rPr>
          <w:rFonts w:hint="eastAsia" w:asciiTheme="minorEastAsia" w:hAnsiTheme="minorEastAsia"/>
        </w:rPr>
        <w:t>②体験の機会・場（一人暮らし、グループホーム等）、</w:t>
      </w:r>
    </w:p>
    <w:p>
      <w:pPr>
        <w:pStyle w:val="0"/>
        <w:ind w:left="240" w:leftChars="100" w:firstLine="480" w:firstLineChars="200"/>
        <w:rPr>
          <w:rFonts w:hint="default" w:asciiTheme="minorEastAsia" w:hAnsiTheme="minorEastAsia"/>
        </w:rPr>
      </w:pPr>
      <w:r>
        <w:rPr>
          <w:rFonts w:hint="eastAsia" w:asciiTheme="minorEastAsia" w:hAnsiTheme="minorEastAsia"/>
        </w:rPr>
        <w:t>③緊急時の受け入れ・対応（短期入所の利便性・対応力の向上等）、</w:t>
      </w:r>
    </w:p>
    <w:p>
      <w:pPr>
        <w:pStyle w:val="0"/>
        <w:ind w:left="240" w:leftChars="100" w:firstLine="480" w:firstLineChars="200"/>
        <w:rPr>
          <w:rFonts w:hint="default" w:asciiTheme="minorEastAsia" w:hAnsiTheme="minorEastAsia"/>
        </w:rPr>
      </w:pPr>
      <w:r>
        <w:rPr>
          <w:rFonts w:hint="eastAsia" w:asciiTheme="minorEastAsia" w:hAnsiTheme="minorEastAsia"/>
        </w:rPr>
        <w:t>④専門性（人材の確保・養成、連携等）、</w:t>
      </w:r>
    </w:p>
    <w:p>
      <w:pPr>
        <w:pStyle w:val="0"/>
        <w:ind w:left="240" w:leftChars="100" w:firstLine="480" w:firstLineChars="200"/>
        <w:rPr>
          <w:rFonts w:hint="default" w:asciiTheme="minorEastAsia" w:hAnsiTheme="minorEastAsia"/>
        </w:rPr>
      </w:pPr>
      <w:r>
        <w:rPr>
          <w:rFonts w:hint="eastAsia" w:asciiTheme="minorEastAsia" w:hAnsiTheme="minorEastAsia"/>
        </w:rPr>
        <w:t>⑤地域の体制づくり（サービス拠点、コーディネーターの配置等）</w:t>
      </w:r>
    </w:p>
    <w:p>
      <w:pPr>
        <w:pStyle w:val="0"/>
        <w:ind w:left="240" w:leftChars="100" w:firstLine="240" w:firstLineChars="100"/>
        <w:rPr>
          <w:rFonts w:hint="default" w:asciiTheme="minorEastAsia" w:hAnsiTheme="minorEastAsia"/>
        </w:rPr>
      </w:pPr>
      <w:r>
        <w:rPr>
          <w:rFonts w:hint="eastAsia" w:asciiTheme="minorEastAsia" w:hAnsiTheme="minorEastAsia"/>
        </w:rPr>
        <w:t>これらの機能を地域の実情に応じた創意工夫により整備し、障害のある人の生活を地域全体で支えるサービス提供体制を構築することが求められています。</w:t>
      </w:r>
    </w:p>
    <w:p>
      <w:pPr>
        <w:pStyle w:val="0"/>
        <w:ind w:left="240" w:leftChars="100" w:firstLine="240" w:firstLineChars="100"/>
        <w:rPr>
          <w:rFonts w:hint="default" w:asciiTheme="minorEastAsia" w:hAnsiTheme="minorEastAsia"/>
        </w:rPr>
      </w:pPr>
      <w:r>
        <w:rPr>
          <w:rFonts w:hint="eastAsia" w:asciiTheme="minorEastAsia" w:hAnsiTheme="minorEastAsia"/>
        </w:rPr>
        <w:t>障害者支援施設やグループホームに付加する形の多機能拠点整備型や、複数の事業所等が分担する面的な体制があり、これらをあわせて「地域生活支援拠点等」といいます。</w:t>
      </w:r>
    </w:p>
    <w:p>
      <w:pPr>
        <w:pStyle w:val="0"/>
        <w:ind w:left="240" w:leftChars="100" w:firstLine="240" w:firstLineChars="100"/>
        <w:rPr>
          <w:rFonts w:hint="default" w:asciiTheme="minorEastAsia" w:hAnsiTheme="minorEastAsia"/>
        </w:rPr>
      </w:pPr>
    </w:p>
    <w:p>
      <w:pPr>
        <w:pStyle w:val="0"/>
        <w:ind w:left="240" w:leftChars="100" w:firstLine="240" w:firstLineChars="100"/>
        <w:rPr>
          <w:rFonts w:hint="default" w:asciiTheme="minorEastAsia" w:hAnsiTheme="minorEastAsia"/>
          <w:color w:val="auto"/>
        </w:rPr>
      </w:pPr>
      <w:r>
        <w:rPr>
          <w:rFonts w:hint="eastAsia" w:asciiTheme="minorEastAsia" w:hAnsiTheme="minorEastAsia"/>
          <w:color w:val="auto"/>
        </w:rPr>
        <w:t>全国的に「地域生活支援拠点等」の整備が進んでいない状況を鑑み、国の基本指針では、４期計画の目標を維持することとし、</w:t>
      </w:r>
      <w:r>
        <w:rPr>
          <w:rFonts w:hint="eastAsia" w:asciiTheme="minorEastAsia" w:hAnsiTheme="minorEastAsia"/>
          <w:color w:val="auto"/>
        </w:rPr>
        <w:t>32</w:t>
      </w:r>
      <w:r>
        <w:rPr>
          <w:rFonts w:hint="eastAsia" w:asciiTheme="minorEastAsia" w:hAnsiTheme="minorEastAsia"/>
          <w:color w:val="auto"/>
        </w:rPr>
        <w:t>年度末までに各市町村又は各圏域に一つずつ整備することを目標とすることとされました。</w:t>
      </w:r>
    </w:p>
    <w:p>
      <w:pPr>
        <w:pStyle w:val="0"/>
        <w:ind w:left="240" w:leftChars="100" w:firstLine="240" w:firstLineChars="100"/>
        <w:rPr>
          <w:rFonts w:hint="default" w:asciiTheme="minorEastAsia" w:hAnsiTheme="minorEastAsia"/>
          <w:color w:val="auto"/>
        </w:rPr>
      </w:pPr>
      <w:r>
        <w:rPr>
          <w:rFonts w:hint="eastAsia" w:asciiTheme="minorEastAsia" w:hAnsiTheme="minorEastAsia"/>
          <w:color w:val="auto"/>
        </w:rPr>
        <w:t>本県では小規模な町村が多く、また障害者支援施設や障害福祉サービス事業所等が偏在していることから、圏域内の複数の市町村や事業所が連携を図りながら、地域における居住支援に求められる機能を分担することを目指すこととし、各圏域に１つずつ整備することを目標とします。</w:t>
      </w:r>
    </w:p>
    <w:p>
      <w:pPr>
        <w:pStyle w:val="0"/>
        <w:ind w:firstLine="240" w:firstLineChars="10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(3)</w:t>
      </w:r>
      <w:r>
        <w:rPr>
          <w:rFonts w:hint="eastAsia" w:asciiTheme="minorEastAsia" w:hAnsiTheme="minorEastAsia"/>
        </w:rPr>
        <w:t>　目標達成への取り組み</w:t>
      </w:r>
    </w:p>
    <w:p>
      <w:pPr>
        <w:pStyle w:val="0"/>
        <w:ind w:left="480" w:hanging="480" w:hangingChars="200"/>
        <w:rPr>
          <w:rFonts w:hint="default" w:asciiTheme="minorEastAsia" w:hAnsiTheme="minorEastAsia"/>
        </w:rPr>
      </w:pPr>
      <w:r>
        <w:rPr>
          <w:rFonts w:hint="eastAsia" w:asciiTheme="minorEastAsia" w:hAnsiTheme="minorEastAsia"/>
        </w:rPr>
        <w:t>　○　それぞれの地域における課題の把握や必要な機能等について活発に議論がされるよう、各市町村等の自立支援協議会を支援するとともに、圏域内の市町村や施設・事業所が課題意識を共有できるよう連携を図ります。</w:t>
      </w:r>
    </w:p>
    <w:p>
      <w:pPr>
        <w:pStyle w:val="0"/>
        <w:ind w:left="480" w:leftChars="100" w:hanging="240" w:hangingChars="100"/>
        <w:rPr>
          <w:rFonts w:hint="default" w:asciiTheme="minorEastAsia" w:hAnsiTheme="minorEastAsia"/>
        </w:rPr>
      </w:pPr>
      <w:r>
        <w:rPr>
          <w:rFonts w:hint="eastAsia" w:asciiTheme="minorEastAsia" w:hAnsiTheme="minorEastAsia"/>
        </w:rPr>
        <w:t>○　「地域移行支援」や「地域定着支援」を実施する指定一般相談支援事業所や基幹相談支援センターの設置を促進し、市町村や障害福祉サービス事業所と連携して相談支援体制の充実を図ります。（再掲）</w:t>
      </w:r>
    </w:p>
    <w:p>
      <w:pPr>
        <w:pStyle w:val="0"/>
        <w:ind w:left="480" w:leftChars="100" w:hanging="240" w:hangingChars="100"/>
        <w:rPr>
          <w:rFonts w:hint="default" w:asciiTheme="minorEastAsia" w:hAnsiTheme="minorEastAsia"/>
        </w:rPr>
      </w:pPr>
      <w:r>
        <w:rPr>
          <w:rFonts w:hint="eastAsia" w:asciiTheme="minorEastAsia" w:hAnsiTheme="minorEastAsia"/>
        </w:rPr>
        <w:t>○　地域での独立した生活を目指す人が支援を受けながら生活するグループホームの充実を図るため、施設整備に対する助成を行いながら積極的に整備を進めます。（再掲）</w:t>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４　福祉施設から一般就労への移行等</w:t>
      </w:r>
    </w:p>
    <w:p>
      <w:pPr>
        <w:pStyle w:val="0"/>
        <w:rPr>
          <w:rFonts w:hint="default"/>
        </w:rPr>
      </w:pPr>
    </w:p>
    <w:p>
      <w:pPr>
        <w:pStyle w:val="0"/>
        <w:rPr>
          <w:rFonts w:hint="default"/>
        </w:rPr>
      </w:pPr>
      <w:r>
        <w:rPr>
          <w:rFonts w:hint="eastAsia" w:ascii="ＭＳ 明朝" w:hAnsi="ＭＳ 明朝" w:eastAsia="ＭＳ 明朝"/>
        </w:rPr>
        <w:t>(1)</w:t>
      </w:r>
      <w:r>
        <w:rPr>
          <w:rFonts w:hint="eastAsia"/>
        </w:rPr>
        <w:t>　福祉施設の利用から一般就労への移行</w:t>
      </w:r>
    </w:p>
    <w:p>
      <w:pPr>
        <w:pStyle w:val="0"/>
        <w:rPr>
          <w:rFonts w:hint="default"/>
        </w:rPr>
      </w:pPr>
    </w:p>
    <w:tbl>
      <w:tblPr>
        <w:tblStyle w:val="11"/>
        <w:tblW w:w="8640" w:type="dxa"/>
        <w:jc w:val="left"/>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600"/>
        <w:gridCol w:w="2040"/>
      </w:tblGrid>
      <w:tr>
        <w:trPr>
          <w:trHeight w:val="1080" w:hRule="atLeast"/>
        </w:trPr>
        <w:tc>
          <w:tcPr>
            <w:tcW w:w="6600"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w:t>
            </w:r>
            <w:r>
              <w:rPr>
                <w:rFonts w:hint="eastAsia" w:ascii="ＭＳ ゴシック" w:hAnsi="ＭＳ ゴシック" w:eastAsia="ＭＳ ゴシック"/>
              </w:rPr>
              <w:t>32</w:t>
            </w:r>
            <w:r>
              <w:rPr>
                <w:rFonts w:hint="eastAsia" w:ascii="ＭＳ ゴシック" w:hAnsi="ＭＳ ゴシック" w:eastAsia="ＭＳ ゴシック"/>
              </w:rPr>
              <w:t>年度における</w:t>
            </w:r>
          </w:p>
          <w:p>
            <w:pPr>
              <w:pStyle w:val="0"/>
              <w:rPr>
                <w:rFonts w:hint="default" w:ascii="ＭＳ ゴシック" w:hAnsi="ＭＳ ゴシック" w:eastAsia="ＭＳ ゴシック"/>
              </w:rPr>
            </w:pPr>
            <w:r>
              <w:rPr>
                <w:rFonts w:hint="eastAsia" w:ascii="ＭＳ ゴシック" w:hAnsi="ＭＳ ゴシック" w:eastAsia="ＭＳ ゴシック"/>
              </w:rPr>
              <w:t>福祉施設から一般就労へ移行する人の目標</w:t>
            </w:r>
          </w:p>
        </w:tc>
        <w:tc>
          <w:tcPr>
            <w:tcW w:w="2040" w:type="dxa"/>
            <w:vAlign w:val="center"/>
          </w:tcPr>
          <w:p>
            <w:pPr>
              <w:pStyle w:val="0"/>
              <w:wordWrap w:val="0"/>
              <w:jc w:val="right"/>
              <w:rPr>
                <w:rFonts w:hint="default" w:ascii="ＭＳ ゴシック" w:hAnsi="ＭＳ ゴシック" w:eastAsia="ＭＳ ゴシック"/>
                <w:b w:val="1"/>
                <w:sz w:val="28"/>
              </w:rPr>
            </w:pPr>
            <w:r>
              <w:rPr>
                <w:rFonts w:hint="eastAsia" w:ascii="ＭＳ ゴシック" w:hAnsi="ＭＳ ゴシック" w:eastAsia="ＭＳ ゴシック"/>
                <w:b w:val="1"/>
                <w:sz w:val="28"/>
              </w:rPr>
              <w:t>９０人　</w:t>
            </w:r>
          </w:p>
        </w:tc>
      </w:tr>
    </w:tbl>
    <w:p>
      <w:pPr>
        <w:pStyle w:val="0"/>
        <w:rPr>
          <w:rFonts w:hint="default"/>
        </w:rPr>
      </w:pPr>
    </w:p>
    <w:p>
      <w:pPr>
        <w:pStyle w:val="0"/>
        <w:rPr>
          <w:rFonts w:hint="default" w:asciiTheme="minorEastAsia" w:hAnsiTheme="minorEastAsia"/>
          <w:highlight w:val="yellow"/>
        </w:rPr>
      </w:pPr>
      <w:r>
        <w:rPr>
          <w:rFonts w:hint="eastAsia" w:asciiTheme="minorEastAsia" w:hAnsiTheme="minorEastAsia"/>
        </w:rPr>
        <w:t>(2)</w:t>
      </w:r>
      <w:r>
        <w:rPr>
          <w:rFonts w:hint="eastAsia" w:asciiTheme="minorEastAsia" w:hAnsiTheme="minorEastAsia"/>
        </w:rPr>
        <w:t>　就労定着支援事業による支援を開始した時点から、１年後職場に定着している割合</w:t>
      </w:r>
    </w:p>
    <w:tbl>
      <w:tblPr>
        <w:tblStyle w:val="11"/>
        <w:tblW w:w="3960" w:type="dxa"/>
        <w:jc w:val="left"/>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1980"/>
      </w:tblGrid>
      <w:tr>
        <w:trPr>
          <w:trHeight w:val="680" w:hRule="atLeast"/>
        </w:trPr>
        <w:tc>
          <w:tcPr>
            <w:tcW w:w="1980"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w:t>
            </w:r>
            <w:r>
              <w:rPr>
                <w:rFonts w:hint="eastAsia" w:ascii="ＭＳ ゴシック" w:hAnsi="ＭＳ ゴシック" w:eastAsia="ＭＳ ゴシック"/>
              </w:rPr>
              <w:t>31</w:t>
            </w:r>
            <w:r>
              <w:rPr>
                <w:rFonts w:hint="eastAsia" w:ascii="ＭＳ ゴシック" w:hAnsi="ＭＳ ゴシック" w:eastAsia="ＭＳ ゴシック"/>
              </w:rPr>
              <w:t>年度</w:t>
            </w:r>
          </w:p>
        </w:tc>
        <w:tc>
          <w:tcPr>
            <w:tcW w:w="1980" w:type="dxa"/>
            <w:vAlign w:val="center"/>
          </w:tcPr>
          <w:p>
            <w:pPr>
              <w:pStyle w:val="0"/>
              <w:wordWrap w:val="0"/>
              <w:jc w:val="righ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sz w:val="28"/>
              </w:rPr>
              <w:t>８０％　</w:t>
            </w:r>
          </w:p>
        </w:tc>
      </w:tr>
      <w:tr>
        <w:trPr>
          <w:trHeight w:val="680" w:hRule="atLeast"/>
        </w:trPr>
        <w:tc>
          <w:tcPr>
            <w:tcW w:w="1980"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w:t>
            </w:r>
            <w:r>
              <w:rPr>
                <w:rFonts w:hint="eastAsia" w:ascii="ＭＳ ゴシック" w:hAnsi="ＭＳ ゴシック" w:eastAsia="ＭＳ ゴシック"/>
              </w:rPr>
              <w:t>32</w:t>
            </w:r>
            <w:r>
              <w:rPr>
                <w:rFonts w:hint="eastAsia" w:ascii="ＭＳ ゴシック" w:hAnsi="ＭＳ ゴシック" w:eastAsia="ＭＳ ゴシック"/>
              </w:rPr>
              <w:t>年度</w:t>
            </w:r>
          </w:p>
        </w:tc>
        <w:tc>
          <w:tcPr>
            <w:tcW w:w="1980" w:type="dxa"/>
            <w:vAlign w:val="center"/>
          </w:tcPr>
          <w:p>
            <w:pPr>
              <w:pStyle w:val="0"/>
              <w:wordWrap w:val="0"/>
              <w:jc w:val="righ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sz w:val="28"/>
              </w:rPr>
              <w:t>８０％　</w:t>
            </w:r>
          </w:p>
        </w:tc>
      </w:tr>
    </w:tbl>
    <w:p>
      <w:pPr>
        <w:pStyle w:val="0"/>
        <w:rPr>
          <w:rFonts w:hint="default"/>
        </w:rPr>
      </w:pPr>
    </w:p>
    <w:p>
      <w:pPr>
        <w:pStyle w:val="0"/>
        <w:rPr>
          <w:rFonts w:hint="default"/>
        </w:rPr>
      </w:pPr>
    </w:p>
    <w:p>
      <w:pPr>
        <w:pStyle w:val="0"/>
        <w:ind w:firstLine="240" w:firstLineChars="100"/>
        <w:rPr>
          <w:rFonts w:hint="default"/>
        </w:rPr>
      </w:pPr>
      <w:r>
        <w:rPr>
          <w:rFonts w:hint="eastAsia"/>
        </w:rPr>
        <w:t>①　これまでの実績</w:t>
      </w:r>
    </w:p>
    <w:p>
      <w:pPr>
        <w:pStyle w:val="0"/>
        <w:ind w:left="480" w:leftChars="200" w:firstLine="240" w:firstLineChars="100"/>
        <w:rPr>
          <w:rFonts w:hint="default"/>
        </w:rPr>
      </w:pPr>
      <w:r>
        <w:rPr>
          <w:rFonts w:hint="eastAsia"/>
        </w:rPr>
        <w:t>福祉施設の利用から一般就労に移行した人は、就労移行支援事業や就労継続支援事業の利用者数の増加に伴って、増加が続きましたが、平成</w:t>
      </w:r>
      <w:r>
        <w:rPr>
          <w:rFonts w:hint="eastAsia"/>
        </w:rPr>
        <w:t>25</w:t>
      </w:r>
      <w:r>
        <w:rPr>
          <w:rFonts w:hint="eastAsia"/>
        </w:rPr>
        <w:t>年度は減少し</w:t>
      </w:r>
      <w:r>
        <w:rPr>
          <w:rFonts w:hint="eastAsia"/>
        </w:rPr>
        <w:t>53</w:t>
      </w:r>
      <w:r>
        <w:rPr>
          <w:rFonts w:hint="eastAsia"/>
        </w:rPr>
        <w:t>人でした。平成</w:t>
      </w:r>
      <w:r>
        <w:rPr>
          <w:rFonts w:hint="eastAsia"/>
        </w:rPr>
        <w:t>26</w:t>
      </w:r>
      <w:r>
        <w:rPr>
          <w:rFonts w:hint="eastAsia"/>
        </w:rPr>
        <w:t>年度以降は増加していき、平成</w:t>
      </w:r>
      <w:r>
        <w:rPr>
          <w:rFonts w:hint="eastAsia"/>
        </w:rPr>
        <w:t>28</w:t>
      </w:r>
      <w:r>
        <w:rPr>
          <w:rFonts w:hint="eastAsia"/>
        </w:rPr>
        <w:t>年度は</w:t>
      </w:r>
      <w:r>
        <w:rPr>
          <w:rFonts w:hint="eastAsia"/>
        </w:rPr>
        <w:t>82</w:t>
      </w:r>
      <w:r>
        <w:rPr>
          <w:rFonts w:hint="eastAsia"/>
        </w:rPr>
        <w:t>人でした。（図Ⅲ－４－１参照）</w:t>
      </w:r>
    </w:p>
    <w:p>
      <w:pPr>
        <w:pStyle w:val="0"/>
        <w:ind w:left="480" w:hanging="480" w:hangingChars="200"/>
        <w:rPr>
          <w:rFonts w:hint="default"/>
        </w:rPr>
      </w:pPr>
      <w:r>
        <w:rPr>
          <w:rFonts w:hint="eastAsia"/>
        </w:rPr>
        <w:t>　　　また、平成</w:t>
      </w:r>
      <w:r>
        <w:rPr>
          <w:rFonts w:hint="eastAsia"/>
        </w:rPr>
        <w:t>28</w:t>
      </w:r>
      <w:r>
        <w:rPr>
          <w:rFonts w:hint="eastAsia"/>
        </w:rPr>
        <w:t>年度の公共職業安定所（ハローワーク）における障害のある人の就職件数は</w:t>
      </w:r>
      <w:r>
        <w:rPr>
          <w:rFonts w:hint="eastAsia"/>
        </w:rPr>
        <w:t>525</w:t>
      </w:r>
      <w:r>
        <w:rPr>
          <w:rFonts w:hint="eastAsia"/>
        </w:rPr>
        <w:t>件と平成</w:t>
      </w:r>
      <w:r>
        <w:rPr>
          <w:rFonts w:hint="eastAsia"/>
        </w:rPr>
        <w:t>18</w:t>
      </w:r>
      <w:r>
        <w:rPr>
          <w:rFonts w:hint="eastAsia"/>
        </w:rPr>
        <w:t>年度以降で最高を記録し、就職率も</w:t>
      </w:r>
      <w:r>
        <w:rPr>
          <w:rFonts w:hint="eastAsia"/>
        </w:rPr>
        <w:t>48.2</w:t>
      </w:r>
      <w:r>
        <w:rPr>
          <w:rFonts w:hint="eastAsia"/>
        </w:rPr>
        <w:t>％と高い水準でした。（Ｐ</w:t>
      </w:r>
      <w:r>
        <w:rPr>
          <w:rFonts w:hint="eastAsia"/>
        </w:rPr>
        <w:t>16</w:t>
      </w:r>
      <w:r>
        <w:rPr>
          <w:rFonts w:hint="eastAsia"/>
        </w:rPr>
        <w:t>図Ⅱ－５－１参照）</w:t>
      </w:r>
    </w:p>
    <w:p>
      <w:pPr>
        <w:pStyle w:val="0"/>
        <w:ind w:left="480" w:hanging="480" w:hangingChars="200"/>
        <w:rPr>
          <w:rFonts w:hint="default"/>
        </w:rPr>
      </w:pPr>
    </w:p>
    <w:p>
      <w:pPr>
        <w:pStyle w:val="0"/>
        <w:ind w:firstLine="1050" w:firstLineChars="500"/>
        <w:rPr>
          <w:rFonts w:hint="default" w:ascii="ＭＳ ゴシック" w:hAnsi="ＭＳ ゴシック" w:eastAsia="ＭＳ ゴシック"/>
        </w:rPr>
      </w:pPr>
      <w:r>
        <w:rPr>
          <w:rFonts w:hint="eastAsia" w:ascii="ＭＳ ゴシック" w:hAnsi="ＭＳ ゴシック" w:eastAsia="ＭＳ ゴシック"/>
          <w:sz w:val="21"/>
        </w:rPr>
        <w:t>図Ⅲ－４－１　</w:t>
      </w:r>
      <w:r>
        <w:rPr>
          <w:rFonts w:hint="eastAsia" w:ascii="ＭＳ 明朝" w:hAnsi="ＭＳ 明朝" w:eastAsia="ＭＳ 明朝"/>
          <w:sz w:val="21"/>
        </w:rPr>
        <w:t>福祉施設利用者の一般就労への移行実績</w:t>
      </w:r>
    </w:p>
    <w:p>
      <w:pPr>
        <w:pStyle w:val="0"/>
        <w:ind w:firstLine="991" w:firstLineChars="413"/>
        <w:jc w:val="left"/>
        <w:rPr>
          <w:rFonts w:hint="default" w:ascii="ＭＳ ゴシック" w:hAnsi="ＭＳ ゴシック" w:eastAsia="ＭＳ ゴシック"/>
        </w:rPr>
      </w:pPr>
      <w:r>
        <w:rPr>
          <w:rFonts w:hint="eastAsia"/>
        </w:rPr>
        <w:drawing>
          <wp:inline distT="0" distB="0" distL="0" distR="0">
            <wp:extent cx="4867275" cy="2085975"/>
            <wp:effectExtent l="0" t="0" r="0" b="0"/>
            <wp:docPr id="1033" name="Picture 1"/>
            <a:graphic xmlns:a="http://schemas.openxmlformats.org/drawingml/2006/main">
              <a:graphicData uri="http://schemas.openxmlformats.org/drawingml/2006/picture">
                <pic:pic xmlns:pic="http://schemas.openxmlformats.org/drawingml/2006/picture">
                  <pic:nvPicPr>
                    <pic:cNvPr id="1033" name="Picture 1"/>
                    <pic:cNvPicPr>
                      <a:picLocks noChangeAspect="1" noChangeArrowheads="1"/>
                    </pic:cNvPicPr>
                  </pic:nvPicPr>
                  <pic:blipFill>
                    <a:blip r:embed="rId9"/>
                    <a:stretch>
                      <a:fillRect/>
                    </a:stretch>
                  </pic:blipFill>
                  <pic:spPr>
                    <a:xfrm>
                      <a:off x="0" y="0"/>
                      <a:ext cx="4867275" cy="2085975"/>
                    </a:xfrm>
                    <a:prstGeom prst="rect">
                      <a:avLst/>
                    </a:prstGeom>
                    <a:noFill/>
                    <a:ln w="9525">
                      <a:noFill/>
                      <a:miter lim="800000"/>
                      <a:headEnd/>
                      <a:tailEnd/>
                    </a:ln>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240" w:firstLineChars="100"/>
        <w:rPr>
          <w:rFonts w:hint="default"/>
        </w:rPr>
      </w:pPr>
      <w:r>
        <w:rPr>
          <w:rFonts w:hint="eastAsia"/>
        </w:rPr>
        <w:t>②　目標設定の考え方</w:t>
      </w:r>
    </w:p>
    <w:p>
      <w:pPr>
        <w:pStyle w:val="0"/>
        <w:ind w:left="480" w:leftChars="200" w:firstLine="240" w:firstLineChars="100"/>
        <w:rPr>
          <w:rFonts w:hint="default"/>
        </w:rPr>
      </w:pPr>
      <w:r>
        <w:rPr>
          <w:rFonts w:hint="eastAsia"/>
        </w:rPr>
        <w:t>地域のサービス提供基盤の整備状況等の他、計画策定にあたって県及び市町村が実施したアンケート調査の結果などを参考にしながら市町村が見込んだサービス利用量の算出結果では、今後、就労移行支援事業や就労継続支援事業の利用者数が大幅に増加することは見込まれないことから、福祉施設の利用から一般就労に移行する人の目標を</w:t>
      </w:r>
      <w:r>
        <w:rPr>
          <w:rFonts w:hint="eastAsia"/>
        </w:rPr>
        <w:t>90</w:t>
      </w:r>
      <w:r>
        <w:rPr>
          <w:rFonts w:hint="eastAsia"/>
        </w:rPr>
        <w:t>人と設定します。</w:t>
      </w:r>
    </w:p>
    <w:p>
      <w:pPr>
        <w:pStyle w:val="0"/>
        <w:ind w:left="480" w:leftChars="200" w:firstLine="240" w:firstLineChars="100"/>
        <w:rPr>
          <w:rFonts w:hint="default"/>
          <w:highlight w:val="none"/>
        </w:rPr>
      </w:pPr>
      <w:r>
        <w:rPr>
          <w:rFonts w:hint="eastAsia"/>
          <w:highlight w:val="none"/>
        </w:rPr>
        <w:t>また、就労定着支援事業による支援を開始した時点から</w:t>
      </w:r>
      <w:r>
        <w:rPr>
          <w:rFonts w:hint="eastAsia" w:asciiTheme="minorEastAsia" w:hAnsiTheme="minorEastAsia"/>
          <w:highlight w:val="none"/>
        </w:rPr>
        <w:t>１年後職場に定着している割合</w:t>
      </w:r>
      <w:r>
        <w:rPr>
          <w:rFonts w:hint="eastAsia"/>
          <w:highlight w:val="none"/>
        </w:rPr>
        <w:t>については、国の基本指針において、８割以上を目標値としていることから、平成</w:t>
      </w:r>
      <w:r>
        <w:rPr>
          <w:rFonts w:hint="eastAsia"/>
          <w:highlight w:val="none"/>
        </w:rPr>
        <w:t>31</w:t>
      </w:r>
      <w:r>
        <w:rPr>
          <w:rFonts w:hint="eastAsia"/>
          <w:highlight w:val="none"/>
        </w:rPr>
        <w:t>年度、</w:t>
      </w:r>
      <w:r>
        <w:rPr>
          <w:rFonts w:hint="eastAsia"/>
          <w:highlight w:val="none"/>
        </w:rPr>
        <w:t>32</w:t>
      </w:r>
      <w:r>
        <w:rPr>
          <w:rFonts w:hint="eastAsia"/>
          <w:highlight w:val="none"/>
        </w:rPr>
        <w:t>年度ともに</w:t>
      </w:r>
      <w:r>
        <w:rPr>
          <w:rFonts w:hint="eastAsia"/>
          <w:highlight w:val="none"/>
        </w:rPr>
        <w:t>80</w:t>
      </w:r>
      <w:r>
        <w:rPr>
          <w:rFonts w:hint="eastAsia"/>
          <w:highlight w:val="none"/>
        </w:rPr>
        <w:t>％と設定します。</w:t>
      </w:r>
    </w:p>
    <w:p>
      <w:pPr>
        <w:pStyle w:val="0"/>
        <w:rPr>
          <w:rFonts w:hint="default"/>
        </w:rPr>
      </w:pPr>
    </w:p>
    <w:p>
      <w:pPr>
        <w:pStyle w:val="0"/>
        <w:rPr>
          <w:rFonts w:hint="default"/>
        </w:rPr>
      </w:pPr>
      <w:r>
        <w:rPr>
          <w:rFonts w:hint="eastAsia"/>
        </w:rPr>
        <w:t>　③　目標達成への取り組み</w:t>
      </w:r>
    </w:p>
    <w:p>
      <w:pPr>
        <w:pStyle w:val="0"/>
        <w:rPr>
          <w:rFonts w:hint="default"/>
        </w:rPr>
      </w:pPr>
    </w:p>
    <w:p>
      <w:pPr>
        <w:pStyle w:val="0"/>
        <w:ind w:left="720" w:leftChars="200" w:hanging="240" w:hangingChars="100"/>
        <w:rPr>
          <w:rFonts w:hint="default"/>
        </w:rPr>
      </w:pPr>
      <w:r>
        <w:rPr>
          <w:rFonts w:hint="eastAsia"/>
        </w:rPr>
        <w:t>○　障害のある人が生きがいを持って生活できるよう、就労移行支援や就労継続支援事業の充実を図り、職業訓練や就労の場を確保します。</w:t>
      </w:r>
    </w:p>
    <w:p>
      <w:pPr>
        <w:pStyle w:val="0"/>
        <w:ind w:left="720" w:leftChars="200" w:hanging="240" w:hangingChars="100"/>
        <w:rPr>
          <w:rFonts w:hint="default"/>
        </w:rPr>
      </w:pPr>
    </w:p>
    <w:p>
      <w:pPr>
        <w:pStyle w:val="0"/>
        <w:ind w:left="720" w:leftChars="200" w:hanging="240" w:hangingChars="100"/>
        <w:rPr>
          <w:rFonts w:hint="default"/>
        </w:rPr>
      </w:pPr>
      <w:r>
        <w:rPr>
          <w:rFonts w:hint="eastAsia"/>
        </w:rPr>
        <w:t>○　障害者の法定雇用義務がある企業（従業員</w:t>
      </w:r>
      <w:r>
        <w:rPr>
          <w:rFonts w:hint="eastAsia"/>
        </w:rPr>
        <w:t>45.5</w:t>
      </w:r>
      <w:r>
        <w:rPr>
          <w:rFonts w:hint="eastAsia"/>
        </w:rPr>
        <w:t>人以上）を中心に訪問活動を行い、障害者雇用について啓発するとともに、職場実習受入れ企業の開拓を行うなど、障害のある人の雇用促進を図ります。</w:t>
      </w:r>
    </w:p>
    <w:p>
      <w:pPr>
        <w:pStyle w:val="0"/>
        <w:ind w:left="780" w:leftChars="225" w:hanging="240" w:hangingChars="100"/>
        <w:rPr>
          <w:rFonts w:hint="default"/>
        </w:rPr>
      </w:pPr>
    </w:p>
    <w:p>
      <w:pPr>
        <w:pStyle w:val="0"/>
        <w:ind w:left="720" w:leftChars="200" w:hanging="240" w:hangingChars="100"/>
        <w:rPr>
          <w:rFonts w:hint="default"/>
        </w:rPr>
      </w:pPr>
      <w:r>
        <w:rPr>
          <w:rFonts w:hint="eastAsia"/>
        </w:rPr>
        <w:t>○　企業等への就職を希望する人などを対象に、必要な知識・技能の習得や企業等での職業訓練を行う障害者委託訓練事業</w:t>
      </w:r>
      <w:r>
        <w:rPr>
          <w:rFonts w:hint="eastAsia"/>
          <w:vertAlign w:val="subscript"/>
        </w:rPr>
        <w:t>（※１）</w:t>
      </w:r>
      <w:r>
        <w:rPr>
          <w:rFonts w:hint="eastAsia"/>
        </w:rPr>
        <w:t>を積極的に実施して、障害のある人の一般就労を促進します。</w:t>
      </w:r>
    </w:p>
    <w:p>
      <w:pPr>
        <w:pStyle w:val="0"/>
        <w:ind w:left="780" w:leftChars="225" w:hanging="240" w:hangingChars="100"/>
        <w:rPr>
          <w:rFonts w:hint="default"/>
        </w:rPr>
      </w:pPr>
    </w:p>
    <w:p>
      <w:pPr>
        <w:pStyle w:val="0"/>
        <w:ind w:left="720" w:leftChars="200" w:hanging="240" w:hangingChars="100"/>
        <w:rPr>
          <w:rFonts w:hint="default"/>
        </w:rPr>
      </w:pPr>
      <w:r>
        <w:rPr>
          <w:rFonts w:hint="eastAsia"/>
        </w:rPr>
        <w:t>○　企業等に就職している障害のある人が、就業後や休日に集まって交流できる場を整備し、就労や生活等に関する相談支援を併せて行うことで一般就労後の職場定着に向けた支援を強化します。</w:t>
      </w:r>
    </w:p>
    <w:p>
      <w:pPr>
        <w:pStyle w:val="0"/>
        <w:ind w:left="720" w:leftChars="200" w:hanging="240" w:hangingChars="100"/>
        <w:rPr>
          <w:rFonts w:hint="default"/>
        </w:rPr>
      </w:pPr>
    </w:p>
    <w:p>
      <w:pPr>
        <w:pStyle w:val="0"/>
        <w:ind w:left="720" w:hanging="720" w:hangingChars="300"/>
        <w:rPr>
          <w:rFonts w:hint="default"/>
        </w:rPr>
      </w:pPr>
      <w:r>
        <w:rPr>
          <w:rFonts w:hint="eastAsia"/>
        </w:rPr>
        <w:t>　　○　就労継続支援事業所の自主製品の製造や清掃活動へのマネジメントシステムの導入など、職業訓練を充実・強化することによって、利用者の就労意欲の醸成を図ります。</w:t>
      </w:r>
    </w:p>
    <w:p>
      <w:pPr>
        <w:pStyle w:val="0"/>
        <w:ind w:left="720" w:hanging="720" w:hangingChars="300"/>
        <w:rPr>
          <w:rFonts w:hint="default"/>
        </w:rPr>
      </w:pPr>
    </w:p>
    <w:p>
      <w:pPr>
        <w:pStyle w:val="25"/>
        <w:ind w:left="720" w:leftChars="200" w:hanging="240" w:hangingChars="100"/>
        <w:rPr>
          <w:rFonts w:hint="default"/>
        </w:rPr>
      </w:pPr>
      <w:r>
        <w:rPr>
          <w:rFonts w:hint="eastAsia"/>
        </w:rPr>
        <w:t>○　就労継続支援事業所のパソコン等を活用した訓練や生産活動の導入を支援し、コミュニケーションや移動手段、体力等により、就労継続支援事業所の通所利用が困難な障害のある人の就労継続支援事業所の在宅利用を促進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240" w:hanging="240" w:hangingChars="100"/>
        <w:rPr>
          <w:rFonts w:hint="default"/>
          <w:highlight w:val="none"/>
        </w:rPr>
      </w:pPr>
      <w:r>
        <w:rPr>
          <w:rFonts w:hint="eastAsia" w:asciiTheme="minorEastAsia" w:hAnsiTheme="minorEastAsia" w:eastAsiaTheme="minorEastAsia"/>
        </w:rPr>
        <w:t>(3)</w:t>
      </w:r>
      <w:r>
        <w:rPr>
          <w:rFonts w:hint="eastAsia" w:asciiTheme="minorEastAsia" w:hAnsiTheme="minorEastAsia" w:eastAsiaTheme="minorEastAsia"/>
        </w:rPr>
        <w:t>　</w:t>
      </w:r>
      <w:r>
        <w:rPr>
          <w:rFonts w:hint="eastAsia"/>
          <w:highlight w:val="none"/>
        </w:rPr>
        <w:t>国の基本指針の「福祉施設から一般就労への移行等」の活動指標について次のとおり定めることとします。</w:t>
      </w:r>
    </w:p>
    <w:p>
      <w:pPr>
        <w:pStyle w:val="0"/>
        <w:rPr>
          <w:rFonts w:hint="default"/>
        </w:rPr>
      </w:pPr>
    </w:p>
    <w:p>
      <w:pPr>
        <w:pStyle w:val="0"/>
        <w:ind w:firstLine="240" w:firstLineChars="100"/>
        <w:rPr>
          <w:rFonts w:hint="default"/>
        </w:rPr>
      </w:pPr>
      <w:r>
        <w:rPr>
          <w:rFonts w:hint="eastAsia"/>
        </w:rPr>
        <w:t>①就労移行支援事業及び就労継続支援事業の利用から一般就労へ移行する人の数</w:t>
      </w:r>
    </w:p>
    <w:tbl>
      <w:tblPr>
        <w:tblStyle w:val="11"/>
        <w:tblW w:w="8640" w:type="dxa"/>
        <w:jc w:val="left"/>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840"/>
        <w:gridCol w:w="1800"/>
      </w:tblGrid>
      <w:tr>
        <w:trPr>
          <w:trHeight w:val="1080" w:hRule="atLeast"/>
        </w:trPr>
        <w:tc>
          <w:tcPr>
            <w:tcW w:w="6840"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w:t>
            </w:r>
            <w:r>
              <w:rPr>
                <w:rFonts w:hint="eastAsia" w:ascii="ＭＳ ゴシック" w:hAnsi="ＭＳ ゴシック" w:eastAsia="ＭＳ ゴシック"/>
              </w:rPr>
              <w:t>32</w:t>
            </w:r>
            <w:r>
              <w:rPr>
                <w:rFonts w:hint="eastAsia" w:ascii="ＭＳ ゴシック" w:hAnsi="ＭＳ ゴシック" w:eastAsia="ＭＳ ゴシック"/>
              </w:rPr>
              <w:t>年度において、就労移行支援事業及び就労継続支援事業の利用から一般就労へ移行する人の数</w:t>
            </w:r>
          </w:p>
        </w:tc>
        <w:tc>
          <w:tcPr>
            <w:tcW w:w="1800" w:type="dxa"/>
            <w:vAlign w:val="center"/>
          </w:tcPr>
          <w:p>
            <w:pPr>
              <w:pStyle w:val="0"/>
              <w:wordWrap w:val="0"/>
              <w:jc w:val="right"/>
              <w:rPr>
                <w:rFonts w:hint="default" w:ascii="ＭＳ ゴシック" w:hAnsi="ＭＳ ゴシック" w:eastAsia="ＭＳ ゴシック"/>
                <w:b w:val="1"/>
              </w:rPr>
            </w:pPr>
            <w:r>
              <w:rPr>
                <w:rFonts w:hint="eastAsia" w:ascii="ＭＳ ゴシック" w:hAnsi="ＭＳ ゴシック" w:eastAsia="ＭＳ ゴシック"/>
                <w:b w:val="1"/>
                <w:sz w:val="28"/>
              </w:rPr>
              <w:t>８９人</w:t>
            </w:r>
            <w:r>
              <w:rPr>
                <w:rFonts w:hint="eastAsia" w:ascii="ＭＳ ゴシック" w:hAnsi="ＭＳ ゴシック" w:eastAsia="ＭＳ ゴシック"/>
                <w:b w:val="1"/>
              </w:rPr>
              <w:t>　</w:t>
            </w:r>
          </w:p>
        </w:tc>
      </w:tr>
    </w:tbl>
    <w:p>
      <w:pPr>
        <w:pStyle w:val="0"/>
        <w:ind w:left="720" w:hanging="720" w:hangingChars="300"/>
        <w:rPr>
          <w:rFonts w:hint="default"/>
        </w:rPr>
      </w:pPr>
    </w:p>
    <w:p>
      <w:pPr>
        <w:pStyle w:val="0"/>
        <w:ind w:firstLine="240" w:firstLineChars="100"/>
        <w:rPr>
          <w:rFonts w:hint="default"/>
        </w:rPr>
      </w:pPr>
      <w:r>
        <w:rPr>
          <w:rFonts w:hint="eastAsia" w:ascii="ＭＳ 明朝" w:hAnsi="ＭＳ 明朝" w:eastAsia="ＭＳ 明朝"/>
        </w:rPr>
        <w:t>②</w:t>
      </w:r>
      <w:r>
        <w:rPr>
          <w:rFonts w:hint="eastAsia"/>
        </w:rPr>
        <w:t>障害者に対する職業訓練の受講者数</w:t>
      </w:r>
    </w:p>
    <w:tbl>
      <w:tblPr>
        <w:tblStyle w:val="11"/>
        <w:tblW w:w="8640" w:type="dxa"/>
        <w:jc w:val="left"/>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840"/>
        <w:gridCol w:w="1800"/>
      </w:tblGrid>
      <w:tr>
        <w:trPr>
          <w:trHeight w:val="1080" w:hRule="atLeast"/>
        </w:trPr>
        <w:tc>
          <w:tcPr>
            <w:tcW w:w="6840"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w:t>
            </w:r>
            <w:r>
              <w:rPr>
                <w:rFonts w:hint="eastAsia" w:ascii="ＭＳ ゴシック" w:hAnsi="ＭＳ ゴシック" w:eastAsia="ＭＳ ゴシック"/>
              </w:rPr>
              <w:t>32</w:t>
            </w:r>
            <w:r>
              <w:rPr>
                <w:rFonts w:hint="eastAsia" w:ascii="ＭＳ ゴシック" w:hAnsi="ＭＳ ゴシック" w:eastAsia="ＭＳ ゴシック"/>
              </w:rPr>
              <w:t>年度において、福祉施設から一般就労へ移行する人のうち、職業訓練を受講する人の数</w:t>
            </w:r>
          </w:p>
        </w:tc>
        <w:tc>
          <w:tcPr>
            <w:tcW w:w="1800" w:type="dxa"/>
            <w:vAlign w:val="center"/>
          </w:tcPr>
          <w:p>
            <w:pPr>
              <w:pStyle w:val="0"/>
              <w:wordWrap w:val="0"/>
              <w:jc w:val="right"/>
              <w:rPr>
                <w:rFonts w:hint="default" w:ascii="ＭＳ ゴシック" w:hAnsi="ＭＳ ゴシック" w:eastAsia="ＭＳ ゴシック"/>
                <w:b w:val="1"/>
              </w:rPr>
            </w:pPr>
            <w:r>
              <w:rPr>
                <w:rFonts w:hint="eastAsia" w:ascii="ＭＳ ゴシック" w:hAnsi="ＭＳ ゴシック" w:eastAsia="ＭＳ ゴシック"/>
                <w:b w:val="1"/>
                <w:sz w:val="28"/>
              </w:rPr>
              <w:t>３４人</w:t>
            </w:r>
            <w:r>
              <w:rPr>
                <w:rFonts w:hint="eastAsia" w:ascii="ＭＳ ゴシック" w:hAnsi="ＭＳ ゴシック" w:eastAsia="ＭＳ ゴシック"/>
                <w:b w:val="1"/>
              </w:rPr>
              <w:t>　</w:t>
            </w:r>
          </w:p>
        </w:tc>
      </w:tr>
    </w:tbl>
    <w:p>
      <w:pPr>
        <w:pStyle w:val="0"/>
        <w:ind w:left="480" w:hanging="480" w:hangingChars="200"/>
        <w:rPr>
          <w:rFonts w:hint="default"/>
        </w:rPr>
      </w:pPr>
    </w:p>
    <w:p>
      <w:pPr>
        <w:pStyle w:val="0"/>
        <w:ind w:firstLine="240" w:firstLineChars="100"/>
        <w:rPr>
          <w:rFonts w:hint="default"/>
        </w:rPr>
      </w:pPr>
      <w:r>
        <w:rPr>
          <w:rFonts w:hint="eastAsia"/>
        </w:rPr>
        <w:t>③福祉施設から公共職業安定所への誘導者数</w:t>
      </w:r>
    </w:p>
    <w:tbl>
      <w:tblPr>
        <w:tblStyle w:val="11"/>
        <w:tblW w:w="8640" w:type="dxa"/>
        <w:jc w:val="left"/>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840"/>
        <w:gridCol w:w="1800"/>
      </w:tblGrid>
      <w:tr>
        <w:trPr>
          <w:trHeight w:val="1080" w:hRule="atLeast"/>
        </w:trPr>
        <w:tc>
          <w:tcPr>
            <w:tcW w:w="6840"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w:t>
            </w:r>
            <w:r>
              <w:rPr>
                <w:rFonts w:hint="eastAsia" w:ascii="ＭＳ ゴシック" w:hAnsi="ＭＳ ゴシック" w:eastAsia="ＭＳ ゴシック"/>
              </w:rPr>
              <w:t>32</w:t>
            </w:r>
            <w:r>
              <w:rPr>
                <w:rFonts w:hint="eastAsia" w:ascii="ＭＳ ゴシック" w:hAnsi="ＭＳ ゴシック" w:eastAsia="ＭＳ ゴシック"/>
              </w:rPr>
              <w:t>年度において、福祉施設の利用者のうち、公共職業安定所へ誘導する人の数</w:t>
            </w:r>
          </w:p>
        </w:tc>
        <w:tc>
          <w:tcPr>
            <w:tcW w:w="1800" w:type="dxa"/>
            <w:vAlign w:val="center"/>
          </w:tcPr>
          <w:p>
            <w:pPr>
              <w:pStyle w:val="0"/>
              <w:wordWrap w:val="0"/>
              <w:jc w:val="right"/>
              <w:rPr>
                <w:rFonts w:hint="default" w:ascii="ＭＳ ゴシック" w:hAnsi="ＭＳ ゴシック" w:eastAsia="ＭＳ ゴシック"/>
                <w:b w:val="1"/>
              </w:rPr>
            </w:pPr>
            <w:r>
              <w:rPr>
                <w:rFonts w:hint="eastAsia" w:ascii="ＭＳ ゴシック" w:hAnsi="ＭＳ ゴシック" w:eastAsia="ＭＳ ゴシック"/>
                <w:b w:val="1"/>
                <w:sz w:val="28"/>
              </w:rPr>
              <w:t>２３０人</w:t>
            </w:r>
            <w:r>
              <w:rPr>
                <w:rFonts w:hint="eastAsia" w:ascii="ＭＳ ゴシック" w:hAnsi="ＭＳ ゴシック" w:eastAsia="ＭＳ ゴシック"/>
                <w:b w:val="1"/>
              </w:rPr>
              <w:t>　</w:t>
            </w:r>
          </w:p>
        </w:tc>
      </w:tr>
    </w:tbl>
    <w:p>
      <w:pPr>
        <w:pStyle w:val="0"/>
        <w:ind w:left="480" w:hanging="480" w:hangingChars="200"/>
        <w:rPr>
          <w:rFonts w:hint="default"/>
        </w:rPr>
      </w:pPr>
    </w:p>
    <w:p>
      <w:pPr>
        <w:pStyle w:val="0"/>
        <w:ind w:left="480" w:leftChars="100" w:hanging="240" w:hangingChars="100"/>
        <w:rPr>
          <w:rFonts w:hint="default"/>
        </w:rPr>
      </w:pPr>
      <w:r>
        <w:rPr>
          <w:rFonts w:hint="eastAsia"/>
        </w:rPr>
        <w:t>④福祉施設から障害者就業・生活支援センター</w:t>
      </w:r>
      <w:r>
        <w:rPr>
          <w:rFonts w:hint="eastAsia"/>
          <w:vertAlign w:val="subscript"/>
        </w:rPr>
        <w:t>（※２）</w:t>
      </w:r>
      <w:r>
        <w:rPr>
          <w:rFonts w:hint="eastAsia"/>
        </w:rPr>
        <w:t>への誘導者数</w:t>
      </w:r>
    </w:p>
    <w:tbl>
      <w:tblPr>
        <w:tblStyle w:val="11"/>
        <w:tblW w:w="8640" w:type="dxa"/>
        <w:jc w:val="left"/>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840"/>
        <w:gridCol w:w="1800"/>
      </w:tblGrid>
      <w:tr>
        <w:trPr>
          <w:trHeight w:val="1080" w:hRule="atLeast"/>
        </w:trPr>
        <w:tc>
          <w:tcPr>
            <w:tcW w:w="6840"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w:t>
            </w:r>
            <w:r>
              <w:rPr>
                <w:rFonts w:hint="eastAsia" w:ascii="ＭＳ ゴシック" w:hAnsi="ＭＳ ゴシック" w:eastAsia="ＭＳ ゴシック"/>
              </w:rPr>
              <w:t>32</w:t>
            </w:r>
            <w:r>
              <w:rPr>
                <w:rFonts w:hint="eastAsia" w:ascii="ＭＳ ゴシック" w:hAnsi="ＭＳ ゴシック" w:eastAsia="ＭＳ ゴシック"/>
              </w:rPr>
              <w:t>年度において、福祉施設から一般就労へ移行する人のうち、障害者就業・生活支援センターへ誘導する人の数</w:t>
            </w:r>
          </w:p>
        </w:tc>
        <w:tc>
          <w:tcPr>
            <w:tcW w:w="1800" w:type="dxa"/>
            <w:vAlign w:val="center"/>
          </w:tcPr>
          <w:p>
            <w:pPr>
              <w:pStyle w:val="0"/>
              <w:wordWrap w:val="0"/>
              <w:jc w:val="right"/>
              <w:rPr>
                <w:rFonts w:hint="default" w:ascii="ＭＳ ゴシック" w:hAnsi="ＭＳ ゴシック" w:eastAsia="ＭＳ ゴシック"/>
                <w:b w:val="1"/>
              </w:rPr>
            </w:pPr>
            <w:r>
              <w:rPr>
                <w:rFonts w:hint="eastAsia" w:ascii="ＭＳ ゴシック" w:hAnsi="ＭＳ ゴシック" w:eastAsia="ＭＳ ゴシック"/>
                <w:b w:val="1"/>
                <w:sz w:val="28"/>
              </w:rPr>
              <w:t>４０人</w:t>
            </w:r>
            <w:r>
              <w:rPr>
                <w:rFonts w:hint="eastAsia" w:ascii="ＭＳ ゴシック" w:hAnsi="ＭＳ ゴシック" w:eastAsia="ＭＳ ゴシック"/>
                <w:b w:val="1"/>
              </w:rPr>
              <w:t>　</w:t>
            </w:r>
          </w:p>
        </w:tc>
      </w:tr>
    </w:tbl>
    <w:p>
      <w:pPr>
        <w:pStyle w:val="0"/>
        <w:ind w:left="480" w:hanging="480" w:hangingChars="200"/>
        <w:rPr>
          <w:rFonts w:hint="default"/>
        </w:rPr>
      </w:pPr>
    </w:p>
    <w:p>
      <w:pPr>
        <w:pStyle w:val="0"/>
        <w:ind w:firstLine="240" w:firstLineChars="100"/>
        <w:rPr>
          <w:rFonts w:hint="default"/>
        </w:rPr>
      </w:pPr>
      <w:r>
        <w:rPr>
          <w:rFonts w:hint="eastAsia" w:ascii="ＭＳ 明朝" w:hAnsi="ＭＳ 明朝" w:eastAsia="ＭＳ 明朝"/>
        </w:rPr>
        <w:t>⑤</w:t>
      </w:r>
      <w:r>
        <w:rPr>
          <w:rFonts w:hint="eastAsia"/>
        </w:rPr>
        <w:t>公共職業安定所における福祉施設利用者の支援</w:t>
      </w:r>
    </w:p>
    <w:tbl>
      <w:tblPr>
        <w:tblStyle w:val="11"/>
        <w:tblW w:w="8640" w:type="dxa"/>
        <w:jc w:val="left"/>
        <w:tblInd w:w="5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840"/>
        <w:gridCol w:w="1800"/>
      </w:tblGrid>
      <w:tr>
        <w:trPr>
          <w:trHeight w:val="1080" w:hRule="atLeast"/>
        </w:trPr>
        <w:tc>
          <w:tcPr>
            <w:tcW w:w="6840"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w:t>
            </w:r>
            <w:r>
              <w:rPr>
                <w:rFonts w:hint="eastAsia" w:ascii="ＭＳ ゴシック" w:hAnsi="ＭＳ ゴシック" w:eastAsia="ＭＳ ゴシック"/>
              </w:rPr>
              <w:t>32</w:t>
            </w:r>
            <w:r>
              <w:rPr>
                <w:rFonts w:hint="eastAsia" w:ascii="ＭＳ ゴシック" w:hAnsi="ＭＳ ゴシック" w:eastAsia="ＭＳ ゴシック"/>
              </w:rPr>
              <w:t>年度において、福祉施設の利用者のうち、公共職業安定所の支援を受けて就職する人の数</w:t>
            </w:r>
          </w:p>
        </w:tc>
        <w:tc>
          <w:tcPr>
            <w:tcW w:w="1800" w:type="dxa"/>
            <w:vAlign w:val="center"/>
          </w:tcPr>
          <w:p>
            <w:pPr>
              <w:pStyle w:val="0"/>
              <w:wordWrap w:val="0"/>
              <w:jc w:val="right"/>
              <w:rPr>
                <w:rFonts w:hint="default" w:ascii="ＭＳ ゴシック" w:hAnsi="ＭＳ ゴシック" w:eastAsia="ＭＳ ゴシック"/>
                <w:b w:val="1"/>
              </w:rPr>
            </w:pPr>
            <w:r>
              <w:rPr>
                <w:rFonts w:hint="eastAsia" w:ascii="ＭＳ ゴシック" w:hAnsi="ＭＳ ゴシック" w:eastAsia="ＭＳ ゴシック"/>
                <w:b w:val="1"/>
                <w:sz w:val="28"/>
              </w:rPr>
              <w:t>９０人</w:t>
            </w:r>
            <w:r>
              <w:rPr>
                <w:rFonts w:hint="eastAsia" w:ascii="ＭＳ ゴシック" w:hAnsi="ＭＳ ゴシック" w:eastAsia="ＭＳ ゴシック"/>
                <w:b w:val="1"/>
              </w:rPr>
              <w:t>　</w:t>
            </w:r>
          </w:p>
        </w:tc>
      </w:tr>
    </w:tbl>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tbl>
      <w:tblPr>
        <w:tblStyle w:val="27"/>
        <w:tblW w:w="9639" w:type="dxa"/>
        <w:jc w:val="left"/>
        <w:tblInd w:w="108" w:type="dxa"/>
        <w:tblBorders>
          <w:top w:val="threeDEngrave" w:color="auto" w:sz="18" w:space="0"/>
          <w:left w:val="none" w:color="auto" w:sz="0" w:space="0"/>
          <w:bottom w:val="none" w:color="auto" w:sz="0" w:space="0"/>
          <w:right w:val="none" w:color="auto" w:sz="0" w:space="0"/>
          <w:insideH w:val="threeDEngrave" w:color="auto" w:sz="18" w:space="0"/>
          <w:insideV w:val="threeDEngrave" w:color="auto" w:sz="18" w:space="0"/>
        </w:tblBorders>
        <w:tblLayout w:type="fixed"/>
        <w:tblLook w:firstRow="1" w:lastRow="0" w:firstColumn="1" w:lastColumn="0" w:noHBand="0" w:noVBand="1" w:val="04A0"/>
      </w:tblPr>
      <w:tblGrid>
        <w:gridCol w:w="9639"/>
      </w:tblGrid>
      <w:tr>
        <w:trPr/>
        <w:tc>
          <w:tcPr>
            <w:tcW w:w="9639" w:type="dxa"/>
            <w:tcBorders>
              <w:top w:val="threeDEngrave" w:color="auto" w:sz="18" w:space="0"/>
              <w:left w:val="nil"/>
              <w:bottom w:val="nil"/>
              <w:right w:val="nil"/>
              <w:tl2br w:val="none" w:color="auto" w:sz="0" w:space="0"/>
              <w:tr2bl w:val="none" w:color="auto" w:sz="0" w:space="0"/>
            </w:tcBorders>
            <w:vAlign w:val="top"/>
          </w:tcPr>
          <w:p>
            <w:pPr>
              <w:pStyle w:val="0"/>
              <w:rPr>
                <w:rFonts w:hint="default" w:ascii="Century" w:hAnsi="Century" w:eastAsia="ＭＳ 明朝"/>
                <w:sz w:val="21"/>
              </w:rPr>
            </w:pPr>
          </w:p>
          <w:p>
            <w:pPr>
              <w:pStyle w:val="0"/>
              <w:rPr>
                <w:rFonts w:hint="default" w:ascii="Century" w:hAnsi="Century" w:eastAsia="ＭＳ 明朝"/>
                <w:sz w:val="21"/>
              </w:rPr>
            </w:pPr>
            <w:r>
              <w:rPr>
                <w:rFonts w:hint="eastAsia" w:ascii="Century" w:hAnsi="Century" w:eastAsia="ＭＳ 明朝"/>
                <w:sz w:val="21"/>
              </w:rPr>
              <w:t>※１　障害者委託訓練事業</w:t>
            </w:r>
          </w:p>
          <w:p>
            <w:pPr>
              <w:pStyle w:val="0"/>
              <w:ind w:left="422" w:leftChars="176" w:firstLine="204" w:firstLineChars="97"/>
              <w:rPr>
                <w:rFonts w:hint="default" w:ascii="Century" w:hAnsi="Century" w:eastAsia="ＭＳ 明朝"/>
                <w:sz w:val="21"/>
              </w:rPr>
            </w:pPr>
            <w:r>
              <w:rPr>
                <w:rFonts w:hint="eastAsia" w:ascii="Century" w:hAnsi="Century" w:eastAsia="ＭＳ 明朝"/>
                <w:sz w:val="21"/>
              </w:rPr>
              <w:t>就職に必要な知識や技能を修得するため、企業や民間教育訓練機関等において、</w:t>
            </w:r>
            <w:r>
              <w:rPr>
                <w:rFonts w:hint="eastAsia" w:ascii="ＭＳ 明朝" w:hAnsi="ＭＳ 明朝" w:eastAsia="ＭＳ 明朝"/>
                <w:sz w:val="21"/>
              </w:rPr>
              <w:t>OA</w:t>
            </w:r>
            <w:r>
              <w:rPr>
                <w:rFonts w:hint="eastAsia" w:ascii="ＭＳ 明朝" w:hAnsi="ＭＳ 明朝" w:eastAsia="ＭＳ 明朝"/>
                <w:sz w:val="21"/>
              </w:rPr>
              <w:t>事務</w:t>
            </w:r>
            <w:r>
              <w:rPr>
                <w:rFonts w:hint="eastAsia" w:ascii="Century" w:hAnsi="Century" w:eastAsia="ＭＳ 明朝"/>
                <w:sz w:val="21"/>
              </w:rPr>
              <w:t>講習や職場体験などの職業訓練を行う事業をいいます。</w:t>
            </w:r>
          </w:p>
          <w:p>
            <w:pPr>
              <w:pStyle w:val="0"/>
              <w:rPr>
                <w:rFonts w:hint="default" w:ascii="Century" w:hAnsi="Century" w:eastAsia="ＭＳ 明朝"/>
                <w:sz w:val="21"/>
              </w:rPr>
            </w:pPr>
          </w:p>
          <w:p>
            <w:pPr>
              <w:pStyle w:val="0"/>
              <w:rPr>
                <w:rFonts w:hint="default" w:ascii="Century" w:hAnsi="Century" w:eastAsia="ＭＳ 明朝"/>
                <w:sz w:val="21"/>
              </w:rPr>
            </w:pPr>
            <w:r>
              <w:rPr>
                <w:rFonts w:hint="eastAsia" w:ascii="Century" w:hAnsi="Century" w:eastAsia="ＭＳ 明朝"/>
                <w:sz w:val="21"/>
              </w:rPr>
              <w:t>※２　障害者就業・生活支援センター</w:t>
            </w:r>
          </w:p>
          <w:p>
            <w:pPr>
              <w:pStyle w:val="0"/>
              <w:ind w:left="422" w:leftChars="176" w:firstLine="204" w:firstLineChars="97"/>
              <w:rPr>
                <w:rFonts w:hint="default" w:ascii="Century" w:hAnsi="Century" w:eastAsia="ＭＳ 明朝"/>
                <w:sz w:val="21"/>
              </w:rPr>
            </w:pPr>
            <w:r>
              <w:rPr>
                <w:rFonts w:hint="eastAsia" w:ascii="Century" w:hAnsi="Century" w:eastAsia="ＭＳ 明朝"/>
                <w:sz w:val="21"/>
              </w:rPr>
              <w:t>障害のある人が就労し、経済的に自立していくため、</w:t>
            </w:r>
            <w:r>
              <w:rPr>
                <w:rFonts w:hint="eastAsia" w:ascii="Century" w:hAnsi="Century" w:eastAsia="ＭＳ 明朝"/>
                <w:sz w:val="21"/>
                <w:highlight w:val="none"/>
              </w:rPr>
              <w:t>身近な地域</w:t>
            </w:r>
            <w:r>
              <w:rPr>
                <w:rFonts w:hint="eastAsia" w:ascii="Century" w:hAnsi="Century" w:eastAsia="ＭＳ 明朝"/>
                <w:sz w:val="21"/>
              </w:rPr>
              <w:t>で就職面の支援と生活面の支援を一体的に行う機関です。</w:t>
            </w:r>
          </w:p>
        </w:tc>
      </w:tr>
    </w:tbl>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５　障害児支援の提供体制の整備等</w:t>
      </w:r>
    </w:p>
    <w:tbl>
      <w:tblPr>
        <w:tblStyle w:val="11"/>
        <w:tblW w:w="0" w:type="auto"/>
        <w:jc w:val="left"/>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161"/>
        <w:gridCol w:w="1985"/>
      </w:tblGrid>
      <w:tr>
        <w:trPr>
          <w:trHeight w:val="737" w:hRule="atLeast"/>
        </w:trPr>
        <w:tc>
          <w:tcPr>
            <w:tcW w:w="716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児童発達支援センターの設置数</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８か所</w:t>
            </w:r>
          </w:p>
        </w:tc>
      </w:tr>
      <w:tr>
        <w:trPr>
          <w:trHeight w:val="737" w:hRule="atLeast"/>
        </w:trPr>
        <w:tc>
          <w:tcPr>
            <w:tcW w:w="716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すべての市町村において</w:t>
            </w:r>
          </w:p>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保育所等訪問支援が利用できる体制の構築</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sz w:val="28"/>
              </w:rPr>
            </w:pPr>
            <w:r>
              <w:rPr>
                <w:rFonts w:hint="eastAsia" w:ascii="ＭＳ ゴシック" w:hAnsi="ＭＳ ゴシック" w:eastAsia="ＭＳ ゴシック"/>
                <w:b w:val="1"/>
                <w:color w:val="auto"/>
                <w:sz w:val="28"/>
              </w:rPr>
              <w:t>11</w:t>
            </w:r>
            <w:r>
              <w:rPr>
                <w:rFonts w:hint="eastAsia" w:ascii="ＭＳ ゴシック" w:hAnsi="ＭＳ ゴシック" w:eastAsia="ＭＳ ゴシック"/>
                <w:b w:val="1"/>
                <w:sz w:val="28"/>
              </w:rPr>
              <w:t>か所</w:t>
            </w:r>
          </w:p>
        </w:tc>
      </w:tr>
      <w:tr>
        <w:trPr>
          <w:trHeight w:val="737" w:hRule="atLeast"/>
        </w:trPr>
        <w:tc>
          <w:tcPr>
            <w:tcW w:w="716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主に重症心身障害児を支援する</w:t>
            </w:r>
          </w:p>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児童発達支援事業所の確保</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２か所</w:t>
            </w:r>
          </w:p>
        </w:tc>
      </w:tr>
      <w:tr>
        <w:trPr>
          <w:trHeight w:val="737" w:hRule="atLeast"/>
        </w:trPr>
        <w:tc>
          <w:tcPr>
            <w:tcW w:w="716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主に重症心身障害児を支援する</w:t>
            </w:r>
          </w:p>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放課後等デイサービス事業所の確保</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２か所</w:t>
            </w:r>
          </w:p>
        </w:tc>
      </w:tr>
      <w:tr>
        <w:trPr>
          <w:trHeight w:val="1134" w:hRule="atLeast"/>
        </w:trPr>
        <w:tc>
          <w:tcPr>
            <w:tcW w:w="7161"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医療的ケア児支援の協議の場の設置</w:t>
            </w:r>
          </w:p>
          <w:p>
            <w:pPr>
              <w:pStyle w:val="0"/>
              <w:spacing w:line="0" w:lineRule="atLeast"/>
              <w:rPr>
                <w:rFonts w:hint="default" w:ascii="ＭＳ ゴシック" w:hAnsi="ＭＳ ゴシック" w:eastAsia="ＭＳ ゴシック"/>
                <w:kern w:val="0"/>
              </w:rPr>
            </w:pPr>
            <w:r>
              <w:rPr>
                <w:rFonts w:hint="eastAsia" w:ascii="ＭＳ ゴシック" w:hAnsi="ＭＳ ゴシック" w:eastAsia="ＭＳ ゴシック"/>
                <w:kern w:val="0"/>
              </w:rPr>
              <w:t>（平成</w:t>
            </w:r>
            <w:r>
              <w:rPr>
                <w:rFonts w:hint="eastAsia" w:ascii="ＭＳ ゴシック" w:hAnsi="ＭＳ ゴシック" w:eastAsia="ＭＳ ゴシック"/>
                <w:kern w:val="0"/>
              </w:rPr>
              <w:t>30</w:t>
            </w:r>
            <w:r>
              <w:rPr>
                <w:rFonts w:hint="eastAsia" w:ascii="ＭＳ ゴシック" w:hAnsi="ＭＳ ゴシック" w:eastAsia="ＭＳ ゴシック"/>
                <w:kern w:val="0"/>
              </w:rPr>
              <w:t>年度末までに県、各圏域、各市町村に設置）</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141" w:firstLineChars="50"/>
              <w:rPr>
                <w:rFonts w:hint="default" w:ascii="ＭＳ ゴシック" w:hAnsi="ＭＳ ゴシック" w:eastAsia="ＭＳ ゴシック"/>
                <w:b w:val="1"/>
                <w:sz w:val="28"/>
              </w:rPr>
            </w:pPr>
            <w:r>
              <w:rPr>
                <w:rFonts w:hint="eastAsia" w:ascii="ＭＳ ゴシック" w:hAnsi="ＭＳ ゴシック" w:eastAsia="ＭＳ ゴシック"/>
                <w:b w:val="1"/>
                <w:sz w:val="28"/>
              </w:rPr>
              <w:t>県　　　：１</w:t>
            </w:r>
          </w:p>
          <w:p>
            <w:pPr>
              <w:pStyle w:val="0"/>
              <w:spacing w:line="0" w:lineRule="atLeast"/>
              <w:ind w:firstLine="141" w:firstLineChars="50"/>
              <w:rPr>
                <w:rFonts w:hint="default" w:ascii="ＭＳ ゴシック" w:hAnsi="ＭＳ ゴシック" w:eastAsia="ＭＳ ゴシック"/>
                <w:b w:val="1"/>
                <w:sz w:val="28"/>
              </w:rPr>
            </w:pPr>
            <w:r>
              <w:rPr>
                <w:rFonts w:hint="eastAsia" w:ascii="ＭＳ ゴシック" w:hAnsi="ＭＳ ゴシック" w:eastAsia="ＭＳ ゴシック"/>
                <w:b w:val="1"/>
                <w:sz w:val="28"/>
              </w:rPr>
              <w:t>圏域　　：５</w:t>
            </w:r>
          </w:p>
          <w:p>
            <w:pPr>
              <w:pStyle w:val="0"/>
              <w:spacing w:line="0" w:lineRule="atLeast"/>
              <w:ind w:firstLine="141" w:firstLineChars="50"/>
              <w:rPr>
                <w:rFonts w:hint="default" w:ascii="ＭＳ ゴシック" w:hAnsi="ＭＳ ゴシック" w:eastAsia="ＭＳ ゴシック"/>
                <w:b w:val="1"/>
                <w:sz w:val="28"/>
              </w:rPr>
            </w:pPr>
            <w:r>
              <w:rPr>
                <w:rFonts w:hint="eastAsia" w:ascii="ＭＳ ゴシック" w:hAnsi="ＭＳ ゴシック" w:eastAsia="ＭＳ ゴシック"/>
                <w:b w:val="1"/>
                <w:sz w:val="28"/>
              </w:rPr>
              <w:t>市町村</w:t>
            </w:r>
            <w:r>
              <w:rPr>
                <w:rFonts w:hint="eastAsia" w:ascii="ＭＳ ゴシック" w:hAnsi="ＭＳ ゴシック" w:eastAsia="ＭＳ ゴシック"/>
                <w:b w:val="1"/>
                <w:color w:val="auto"/>
                <w:sz w:val="28"/>
                <w:highlight w:val="none"/>
              </w:rPr>
              <w:t>等</w:t>
            </w:r>
            <w:r>
              <w:rPr>
                <w:rFonts w:hint="eastAsia" w:ascii="ＭＳ ゴシック" w:hAnsi="ＭＳ ゴシック" w:eastAsia="ＭＳ ゴシック"/>
                <w:b w:val="1"/>
                <w:sz w:val="28"/>
              </w:rPr>
              <w:t>：</w:t>
            </w:r>
            <w:r>
              <w:rPr>
                <w:rFonts w:hint="eastAsia" w:ascii="ＭＳ ゴシック" w:hAnsi="ＭＳ ゴシック" w:eastAsia="ＭＳ ゴシック"/>
                <w:b w:val="1"/>
                <w:sz w:val="28"/>
              </w:rPr>
              <w:t>30</w:t>
            </w:r>
          </w:p>
        </w:tc>
      </w:tr>
    </w:tbl>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1</w:t>
      </w:r>
      <w:r>
        <w:rPr>
          <w:rFonts w:hint="eastAsia" w:asciiTheme="minorEastAsia" w:hAnsiTheme="minorEastAsia"/>
        </w:rPr>
        <w:t>）これまでの実績</w:t>
      </w:r>
    </w:p>
    <w:p>
      <w:pPr>
        <w:pStyle w:val="0"/>
        <w:ind w:left="360" w:hanging="360" w:hangingChars="150"/>
        <w:rPr>
          <w:rFonts w:hint="default" w:asciiTheme="minorEastAsia" w:hAnsiTheme="minorEastAsia"/>
          <w:color w:val="auto"/>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児童発達支援センターについては、平成</w:t>
      </w:r>
      <w:r>
        <w:rPr>
          <w:rFonts w:hint="eastAsia" w:asciiTheme="minorEastAsia" w:hAnsiTheme="minorEastAsia"/>
        </w:rPr>
        <w:t>28</w:t>
      </w:r>
      <w:r>
        <w:rPr>
          <w:rFonts w:hint="eastAsia" w:asciiTheme="minorEastAsia" w:hAnsiTheme="minorEastAsia"/>
        </w:rPr>
        <w:t>年度に安芸圏域に１ヶ所整備され、平成</w:t>
      </w:r>
      <w:r>
        <w:rPr>
          <w:rFonts w:hint="eastAsia" w:asciiTheme="minorEastAsia" w:hAnsiTheme="minorEastAsia"/>
        </w:rPr>
        <w:t>29</w:t>
      </w:r>
      <w:r>
        <w:rPr>
          <w:rFonts w:hint="eastAsia" w:asciiTheme="minorEastAsia" w:hAnsiTheme="minorEastAsia"/>
        </w:rPr>
        <w:t>年７月末現在、５ヶ所</w:t>
      </w:r>
      <w:r>
        <w:rPr>
          <w:rFonts w:hint="eastAsia" w:asciiTheme="minorEastAsia" w:hAnsiTheme="minorEastAsia"/>
          <w:color w:val="auto"/>
        </w:rPr>
        <w:t>（安芸圏域１、中央東圏域１、中央西圏域１、幡多圏域２）あります。</w:t>
      </w:r>
    </w:p>
    <w:p>
      <w:pPr>
        <w:pStyle w:val="0"/>
        <w:ind w:left="360" w:leftChars="150" w:firstLine="240" w:firstLineChars="100"/>
        <w:rPr>
          <w:rFonts w:hint="default" w:asciiTheme="minorEastAsia" w:hAnsiTheme="minorEastAsia"/>
          <w:color w:val="auto"/>
        </w:rPr>
      </w:pPr>
      <w:r>
        <w:rPr>
          <w:rFonts w:hint="eastAsia" w:asciiTheme="minorEastAsia" w:hAnsiTheme="minorEastAsia"/>
          <w:color w:val="auto"/>
        </w:rPr>
        <w:t>保育所等訪問支援については、平成</w:t>
      </w:r>
      <w:r>
        <w:rPr>
          <w:rFonts w:hint="eastAsia" w:asciiTheme="minorEastAsia" w:hAnsiTheme="minorEastAsia"/>
          <w:color w:val="auto"/>
        </w:rPr>
        <w:t>29</w:t>
      </w:r>
      <w:r>
        <w:rPr>
          <w:rFonts w:hint="eastAsia" w:asciiTheme="minorEastAsia" w:hAnsiTheme="minorEastAsia"/>
          <w:color w:val="auto"/>
        </w:rPr>
        <w:t>年７月末現在、</w:t>
      </w:r>
      <w:r>
        <w:rPr>
          <w:rFonts w:hint="eastAsia" w:asciiTheme="minorEastAsia" w:hAnsiTheme="minorEastAsia"/>
          <w:color w:val="auto"/>
        </w:rPr>
        <w:t>11</w:t>
      </w:r>
      <w:r>
        <w:rPr>
          <w:rFonts w:hint="eastAsia" w:asciiTheme="minorEastAsia" w:hAnsiTheme="minorEastAsia"/>
          <w:color w:val="auto"/>
        </w:rPr>
        <w:t>ヶ所（安芸圏域１、中央東圏域２、中央西圏域５、幡多圏域３）あります。</w:t>
      </w:r>
    </w:p>
    <w:p>
      <w:pPr>
        <w:pStyle w:val="0"/>
        <w:ind w:left="360" w:hanging="360" w:hangingChars="15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 </w:t>
      </w:r>
      <w:r>
        <w:rPr>
          <w:rFonts w:hint="eastAsia" w:asciiTheme="minorEastAsia" w:hAnsiTheme="minorEastAsia"/>
          <w:color w:val="auto"/>
        </w:rPr>
        <w:t>主に重症心身障害児を支援する事業所（児童発達支援、放課後等デイサービス）については、４期計画期間中に３ヶ所整備され、平成</w:t>
      </w:r>
      <w:r>
        <w:rPr>
          <w:rFonts w:hint="eastAsia" w:asciiTheme="minorEastAsia" w:hAnsiTheme="minorEastAsia"/>
          <w:color w:val="auto"/>
        </w:rPr>
        <w:t>29</w:t>
      </w:r>
      <w:r>
        <w:rPr>
          <w:rFonts w:hint="eastAsia" w:asciiTheme="minorEastAsia" w:hAnsiTheme="minorEastAsia"/>
          <w:color w:val="auto"/>
        </w:rPr>
        <w:t>年７月末現在、児童発達支援は５ヶ所（中央東圏域１、中央西圏域３、幡多圏域１）、放課後等デイサービスは７ヶ所（中央東圏域１、中央西圏域５、幡多圏域１）あります。</w:t>
      </w:r>
    </w:p>
    <w:p>
      <w:pPr>
        <w:pStyle w:val="0"/>
        <w:ind w:left="360" w:hanging="360" w:hangingChars="150"/>
        <w:rPr>
          <w:rFonts w:hint="default" w:asciiTheme="minorEastAsia" w:hAnsiTheme="minorEastAsia"/>
        </w:rPr>
      </w:pPr>
    </w:p>
    <w:p>
      <w:pPr>
        <w:pStyle w:val="0"/>
        <w:ind w:left="360" w:hanging="360" w:hangingChars="150"/>
        <w:rPr>
          <w:rFonts w:hint="default" w:asciiTheme="minorEastAsia" w:hAnsiTheme="minorEastAsia"/>
        </w:rPr>
      </w:pPr>
      <w:r>
        <w:rPr>
          <w:rFonts w:hint="eastAsia" w:asciiTheme="minorEastAsia" w:hAnsiTheme="minorEastAsia"/>
        </w:rPr>
        <w:t>　　　</w:t>
      </w:r>
      <w:r>
        <w:rPr>
          <w:rFonts w:hint="eastAsia" w:ascii="ＭＳ ゴシック" w:hAnsi="ＭＳ ゴシック" w:eastAsia="ＭＳ ゴシック"/>
          <w:sz w:val="21"/>
        </w:rPr>
        <w:t>図Ⅲ－５－１　</w:t>
      </w:r>
      <w:r>
        <w:rPr>
          <w:rFonts w:hint="eastAsia" w:ascii="ＭＳ 明朝" w:hAnsi="ＭＳ 明朝" w:eastAsia="ＭＳ 明朝"/>
          <w:sz w:val="21"/>
        </w:rPr>
        <w:t>サービス実施事業所数の推移</w:t>
      </w:r>
    </w:p>
    <w:p>
      <w:pPr>
        <w:pStyle w:val="0"/>
        <w:jc w:val="center"/>
        <w:rPr>
          <w:rFonts w:hint="default" w:asciiTheme="minorEastAsia" w:hAnsiTheme="minorEastAsia"/>
        </w:rPr>
      </w:pPr>
      <w:r>
        <w:rPr>
          <w:rFonts w:hint="default"/>
        </w:rPr>
        <w:drawing>
          <wp:inline distT="0" distB="0" distL="0" distR="0">
            <wp:extent cx="5280025" cy="3158490"/>
            <wp:effectExtent l="0" t="0" r="0" b="0"/>
            <wp:docPr id="1034" name="Picture 1"/>
            <a:graphic xmlns:a="http://schemas.openxmlformats.org/drawingml/2006/main">
              <a:graphicData uri="http://schemas.openxmlformats.org/drawingml/2006/picture">
                <pic:pic xmlns:pic="http://schemas.openxmlformats.org/drawingml/2006/picture">
                  <pic:nvPicPr>
                    <pic:cNvPr id="1034" name="Picture 1"/>
                    <pic:cNvPicPr>
                      <a:picLocks noChangeAspect="1" noChangeArrowheads="1"/>
                    </pic:cNvPicPr>
                  </pic:nvPicPr>
                  <pic:blipFill>
                    <a:blip r:embed="rId10"/>
                    <a:stretch>
                      <a:fillRect/>
                    </a:stretch>
                  </pic:blipFill>
                  <pic:spPr>
                    <a:xfrm>
                      <a:off x="0" y="0"/>
                      <a:ext cx="5280025" cy="3158490"/>
                    </a:xfrm>
                    <a:prstGeom prst="rect">
                      <a:avLst/>
                    </a:prstGeom>
                    <a:noFill/>
                    <a:ln w="9525">
                      <a:noFill/>
                      <a:miter lim="800000"/>
                      <a:headEnd/>
                      <a:tailEnd/>
                    </a:ln>
                  </pic:spPr>
                </pic:pic>
              </a:graphicData>
            </a:graphic>
          </wp:inline>
        </w:drawing>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2</w:t>
      </w:r>
      <w:r>
        <w:rPr>
          <w:rFonts w:hint="eastAsia" w:asciiTheme="minorEastAsia" w:hAnsiTheme="minorEastAsia"/>
        </w:rPr>
        <w:t>）目標設定の考え方等</w:t>
      </w:r>
    </w:p>
    <w:p>
      <w:pPr>
        <w:pStyle w:val="0"/>
        <w:ind w:left="360" w:hanging="360" w:hangingChars="15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児童発達支援センターは、障害のある子どもやその家族に対する支援</w:t>
      </w:r>
      <w:r>
        <w:rPr>
          <w:rFonts w:hint="eastAsia" w:ascii="ＭＳ 明朝" w:hAnsi="ＭＳ 明朝"/>
        </w:rPr>
        <w:t>、関係機関への助言・技術支援を行う重要な役割を担</w:t>
      </w:r>
      <w:r>
        <w:rPr>
          <w:rFonts w:hint="eastAsia" w:asciiTheme="minorEastAsia" w:hAnsiTheme="minorEastAsia"/>
        </w:rPr>
        <w:t>う、地域における中核的な支援施設として、設置は必要です。ついては、現在、センターの無い高幡圏域をはじめ、圏域内にセンターの設置はあるものの近隣に無い地域、人口規模からさらに必要な地域等に新たに８カ所の設置（既存の児童発達支援事業所のセンター化を含む）を目標とします。</w:t>
      </w:r>
    </w:p>
    <w:p>
      <w:pPr>
        <w:pStyle w:val="0"/>
        <w:ind w:left="360" w:hanging="360" w:hangingChars="15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保育所等訪問支援については、平成</w:t>
      </w:r>
      <w:r>
        <w:rPr>
          <w:rFonts w:hint="eastAsia" w:asciiTheme="minorEastAsia" w:hAnsiTheme="minorEastAsia"/>
        </w:rPr>
        <w:t>32</w:t>
      </w:r>
      <w:r>
        <w:rPr>
          <w:rFonts w:hint="eastAsia" w:asciiTheme="minorEastAsia" w:hAnsiTheme="minorEastAsia"/>
        </w:rPr>
        <w:t>年度には、利用者が約２倍になる見込みであることから、事業所数も、平成</w:t>
      </w:r>
      <w:r>
        <w:rPr>
          <w:rFonts w:hint="eastAsia" w:asciiTheme="minorEastAsia" w:hAnsiTheme="minorEastAsia"/>
        </w:rPr>
        <w:t>29</w:t>
      </w:r>
      <w:r>
        <w:rPr>
          <w:rFonts w:hint="eastAsia" w:asciiTheme="minorEastAsia" w:hAnsiTheme="minorEastAsia"/>
        </w:rPr>
        <w:t>年７月末現在の</w:t>
      </w:r>
      <w:r>
        <w:rPr>
          <w:rFonts w:hint="eastAsia" w:asciiTheme="minorEastAsia" w:hAnsiTheme="minorEastAsia"/>
          <w:color w:val="auto"/>
        </w:rPr>
        <w:t>11</w:t>
      </w:r>
      <w:r>
        <w:rPr>
          <w:rFonts w:hint="eastAsia" w:asciiTheme="minorEastAsia" w:hAnsiTheme="minorEastAsia"/>
          <w:color w:val="auto"/>
        </w:rPr>
        <w:t>ヶ所から新たに</w:t>
      </w:r>
      <w:r>
        <w:rPr>
          <w:rFonts w:hint="eastAsia" w:asciiTheme="minorEastAsia" w:hAnsiTheme="minorEastAsia"/>
          <w:color w:val="auto"/>
        </w:rPr>
        <w:t>11</w:t>
      </w:r>
      <w:r>
        <w:rPr>
          <w:rFonts w:hint="eastAsia" w:asciiTheme="minorEastAsia" w:hAnsiTheme="minorEastAsia"/>
        </w:rPr>
        <w:t>ヶ所整備し、合計</w:t>
      </w:r>
      <w:r>
        <w:rPr>
          <w:rFonts w:hint="eastAsia" w:asciiTheme="minorEastAsia" w:hAnsiTheme="minorEastAsia"/>
          <w:color w:val="auto"/>
        </w:rPr>
        <w:t>22</w:t>
      </w:r>
      <w:r>
        <w:rPr>
          <w:rFonts w:hint="eastAsia" w:asciiTheme="minorEastAsia" w:hAnsiTheme="minorEastAsia"/>
        </w:rPr>
        <w:t>ヶ所にすることで、県内すべての市町村で保育所等訪問支援が利用できる体制を構築していきます。</w:t>
      </w:r>
    </w:p>
    <w:p>
      <w:pPr>
        <w:pStyle w:val="0"/>
        <w:ind w:left="360" w:hanging="360" w:hangingChars="15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主に重症心身障害児を支援する児童発達支援及び放課後等デイサービスについては、現在、事業所の無い安芸・高幡圏域で、既存の児童発達支援事業所や放課後デイサービス事業所での支援も含め、重症心身障害児を支援する体制を確保することを目標とします。</w:t>
      </w:r>
    </w:p>
    <w:p>
      <w:pPr>
        <w:pStyle w:val="0"/>
        <w:ind w:left="360" w:hanging="360" w:hangingChars="15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医療的ケア児支援の協議の場については、県、各圏域、各市町村において設置することになっているため、それぞれ協議の場を設けることとします。（市町村については、複数市町村による共同設置も含み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3</w:t>
      </w:r>
      <w:r>
        <w:rPr>
          <w:rFonts w:hint="eastAsia" w:asciiTheme="minorEastAsia" w:hAnsiTheme="minorEastAsia"/>
        </w:rPr>
        <w:t>）目標達成への取り組み</w:t>
      </w:r>
    </w:p>
    <w:p>
      <w:pPr>
        <w:pStyle w:val="0"/>
        <w:rPr>
          <w:rFonts w:hint="default" w:asciiTheme="minorEastAsia" w:hAnsiTheme="minorEastAsia"/>
        </w:rPr>
      </w:pPr>
    </w:p>
    <w:p>
      <w:pPr>
        <w:pStyle w:val="25"/>
        <w:numPr>
          <w:ilvl w:val="0"/>
          <w:numId w:val="1"/>
        </w:numPr>
        <w:ind w:leftChars="0"/>
        <w:rPr>
          <w:rFonts w:hint="default" w:asciiTheme="minorEastAsia" w:hAnsiTheme="minorEastAsia"/>
        </w:rPr>
      </w:pPr>
      <w:r>
        <w:rPr>
          <w:rFonts w:hint="eastAsia" w:asciiTheme="minorEastAsia" w:hAnsiTheme="minorEastAsia"/>
        </w:rPr>
        <w:t>障害のある子どもへの通所支援に加えて、その家族に対する家族支援、保育所等や地域の子育て支援の場に対する地域支援を行うことができる人材を養成していきます。</w:t>
      </w:r>
    </w:p>
    <w:p>
      <w:pPr>
        <w:pStyle w:val="0"/>
        <w:ind w:left="480" w:hanging="480" w:hangingChars="200"/>
        <w:rPr>
          <w:rFonts w:hint="default" w:asciiTheme="minorEastAsia" w:hAnsiTheme="minorEastAsia"/>
        </w:rPr>
      </w:pPr>
    </w:p>
    <w:p>
      <w:pPr>
        <w:pStyle w:val="0"/>
        <w:ind w:left="480" w:leftChars="100" w:hanging="240" w:hangingChars="100"/>
        <w:rPr>
          <w:rFonts w:hint="default" w:asciiTheme="minorEastAsia" w:hAnsiTheme="minorEastAsia"/>
        </w:rPr>
      </w:pPr>
      <w:r>
        <w:rPr>
          <w:rFonts w:hint="eastAsia" w:ascii="ＭＳ 明朝" w:hAnsi="ＭＳ 明朝"/>
        </w:rPr>
        <w:t>○　事業所の整備にあたっては、市町村とともに地域の障害者施設などに新たな事業展開を働き掛けるなど、必要な支援の確保に取り組みます。</w:t>
      </w:r>
    </w:p>
    <w:p>
      <w:pPr>
        <w:pStyle w:val="0"/>
        <w:ind w:left="480" w:leftChars="200"/>
        <w:rPr>
          <w:rFonts w:hint="default" w:ascii="ＭＳ 明朝" w:hAnsi="ＭＳ 明朝"/>
        </w:rPr>
      </w:pPr>
      <w:r>
        <w:rPr>
          <w:rFonts w:hint="eastAsia" w:asciiTheme="minorEastAsia" w:hAnsiTheme="minorEastAsia"/>
        </w:rPr>
        <w:t>　また、施設整備に対する助成を行うとともに、地域支援機能を有する</w:t>
      </w:r>
      <w:r>
        <w:rPr>
          <w:rFonts w:hint="eastAsia" w:ascii="ＭＳ 明朝" w:hAnsi="ＭＳ 明朝"/>
        </w:rPr>
        <w:t>児童発達支援事業所等の新規開設・機能強化に必要な経費に対する助成なども行います。</w:t>
      </w:r>
    </w:p>
    <w:p>
      <w:pPr>
        <w:pStyle w:val="0"/>
        <w:ind w:left="480" w:leftChars="100" w:hanging="240" w:hangingChars="100"/>
        <w:rPr>
          <w:rFonts w:hint="default" w:asciiTheme="minorEastAsia" w:hAnsiTheme="minorEastAsia"/>
        </w:rPr>
      </w:pPr>
    </w:p>
    <w:p>
      <w:pPr>
        <w:pStyle w:val="0"/>
        <w:ind w:left="480" w:leftChars="100" w:hanging="240" w:hangingChars="100"/>
        <w:rPr>
          <w:rFonts w:hint="default" w:asciiTheme="minorEastAsia" w:hAnsiTheme="minorEastAsia"/>
        </w:rPr>
      </w:pPr>
      <w:r>
        <w:rPr>
          <w:rFonts w:hint="eastAsia" w:asciiTheme="minorEastAsia" w:hAnsiTheme="minorEastAsia"/>
        </w:rPr>
        <w:t>○　基幹相談支援センターの設置を促進し、市町村や障害福祉サービス事業所と連携して相談支援体制の充実を図ります。</w:t>
      </w:r>
    </w:p>
    <w:p>
      <w:pPr>
        <w:pStyle w:val="0"/>
        <w:ind w:left="480" w:leftChars="100" w:hanging="240" w:hangingChars="100"/>
        <w:rPr>
          <w:rFonts w:hint="default" w:ascii="ＭＳ 明朝" w:hAnsi="ＭＳ 明朝"/>
        </w:rPr>
      </w:pPr>
    </w:p>
    <w:p>
      <w:pPr>
        <w:pStyle w:val="0"/>
        <w:ind w:left="480" w:leftChars="100" w:hanging="240" w:hangingChars="100"/>
        <w:rPr>
          <w:rFonts w:hint="default" w:ascii="ＭＳ 明朝" w:hAnsi="ＭＳ 明朝"/>
        </w:rPr>
      </w:pPr>
      <w:r>
        <w:rPr>
          <w:rFonts w:hint="eastAsia" w:ascii="ＭＳ 明朝" w:hAnsi="ＭＳ 明朝"/>
        </w:rPr>
        <w:t>○　中山間地域などにおいて、遠隔地にある保育所等に訪問支援を行う事業所に対して助成するなど、保育所や幼稚園などにおいても、障害のある子どもへの適切な支援が行われるよう、保育所等訪問支援の充実を図ります。</w:t>
      </w:r>
    </w:p>
    <w:p>
      <w:pPr>
        <w:pStyle w:val="0"/>
        <w:ind w:left="480" w:leftChars="100" w:hanging="240" w:hangingChars="100"/>
        <w:rPr>
          <w:rFonts w:hint="default" w:ascii="ＭＳ 明朝" w:hAnsi="ＭＳ 明朝"/>
          <w:color w:val="FF0000"/>
        </w:rPr>
      </w:pPr>
    </w:p>
    <w:p>
      <w:pPr>
        <w:pStyle w:val="0"/>
        <w:ind w:left="480" w:leftChars="100" w:hanging="240" w:hangingChars="100"/>
        <w:rPr>
          <w:rFonts w:hint="default" w:ascii="ＭＳ 明朝" w:hAnsi="ＭＳ 明朝"/>
          <w:color w:val="FF0000"/>
        </w:rPr>
      </w:pPr>
      <w:r>
        <w:rPr>
          <w:rFonts w:hint="eastAsia" w:ascii="ＭＳ 明朝" w:hAnsi="ＭＳ 明朝"/>
        </w:rPr>
        <w:t>○　重症心身障害児が身近なところで支援を受けられるよう、平成</w:t>
      </w:r>
      <w:r>
        <w:rPr>
          <w:rFonts w:hint="eastAsia" w:ascii="ＭＳ 明朝" w:hAnsi="ＭＳ 明朝"/>
        </w:rPr>
        <w:t>30</w:t>
      </w:r>
      <w:r>
        <w:rPr>
          <w:rFonts w:hint="eastAsia" w:ascii="ＭＳ 明朝" w:hAnsi="ＭＳ 明朝"/>
        </w:rPr>
        <w:t>年度より創設される居宅訪問型児童発達支援のサービス提供体制の充実を図るとともに、主に重症心身障害児を支援する通所支援事業所以外の事業所への受入れを促進していきます。</w:t>
      </w:r>
    </w:p>
    <w:p>
      <w:pPr>
        <w:pStyle w:val="0"/>
        <w:ind w:left="480" w:leftChars="100" w:hanging="240" w:hangingChars="100"/>
        <w:rPr>
          <w:rFonts w:hint="default" w:ascii="ＭＳ 明朝" w:hAnsi="ＭＳ 明朝"/>
          <w:color w:val="FF0000"/>
        </w:rPr>
      </w:pPr>
    </w:p>
    <w:p>
      <w:pPr>
        <w:pStyle w:val="0"/>
        <w:ind w:left="480" w:leftChars="100" w:hanging="240" w:hangingChars="100"/>
        <w:rPr>
          <w:rFonts w:hint="default" w:asciiTheme="minorEastAsia" w:hAnsiTheme="minorEastAsia"/>
        </w:rPr>
      </w:pPr>
      <w:r>
        <w:rPr>
          <w:rFonts w:hint="eastAsia" w:asciiTheme="minorEastAsia" w:hAnsiTheme="minorEastAsia"/>
        </w:rPr>
        <w:t>○　医療的ケア児に対する総合的な支援体制の構築に向けて、医療的ケア児支援の協議の場に参加をするとともに、関連分野の支援を調整するコーディネーターを各圏域に複数人配置するため、相談支援専門員等をコーディネーターとして養成していきます。</w:t>
      </w:r>
    </w:p>
    <w:p>
      <w:pPr>
        <w:pStyle w:val="0"/>
        <w:ind w:left="480" w:leftChars="100" w:hanging="240" w:hangingChars="100"/>
        <w:rPr>
          <w:rFonts w:hint="default" w:asciiTheme="minorEastAsia" w:hAnsiTheme="minorEastAsia"/>
        </w:rPr>
      </w:pPr>
    </w:p>
    <w:sectPr>
      <w:footerReference r:id="rId6" w:type="default"/>
      <w:pgSz w:w="11906" w:h="16838"/>
      <w:pgMar w:top="1134" w:right="1134" w:bottom="1134" w:left="1134" w:header="851" w:footer="340" w:gutter="0"/>
      <w:pgNumType w:fmt="numberInDash" w:start="17"/>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lock w:val="unlocked"/>
      <w:tag w:val=""/>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rPr>
          <w:t>- 21 -</w:t>
        </w:r>
        <w:r>
          <w:rPr>
            <w:rFonts w:hint="eastAsia"/>
          </w:rPr>
          <w:fldChar w:fldCharType="end"/>
        </w:r>
      </w:p>
    </w:sdtContent>
  </w:sdt>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EA4AA3BC"/>
    <w:lvl w:ilvl="0" w:tplc="C442B9E4">
      <w:numFmt w:val="bullet"/>
      <w:lvlText w:val="○"/>
      <w:lvlJc w:val="left"/>
      <w:pPr>
        <w:ind w:left="585" w:hanging="360"/>
      </w:pPr>
      <w:rPr>
        <w:rFonts w:hint="eastAsia" w:ascii="ＭＳ 明朝" w:hAnsi="ＭＳ 明朝" w:eastAsia="ＭＳ 明朝"/>
      </w:rPr>
    </w:lvl>
    <w:lvl w:ilvl="1" w:tplc="0409000B">
      <w:numFmt w:val="bullet"/>
      <w:lvlText w:val=""/>
      <w:lvlJc w:val="left"/>
      <w:pPr>
        <w:ind w:left="1065" w:hanging="420"/>
      </w:pPr>
      <w:rPr>
        <w:rFonts w:hint="default" w:ascii="Wingdings" w:hAnsi="Wingdings"/>
      </w:rPr>
    </w:lvl>
    <w:lvl w:ilvl="2" w:tplc="0409000D">
      <w:numFmt w:val="bullet"/>
      <w:lvlText w:val=""/>
      <w:lvlJc w:val="left"/>
      <w:pPr>
        <w:ind w:left="1485" w:hanging="420"/>
      </w:pPr>
      <w:rPr>
        <w:rFonts w:hint="default" w:ascii="Wingdings" w:hAnsi="Wingdings"/>
      </w:rPr>
    </w:lvl>
    <w:lvl w:ilvl="3" w:tplc="04090001">
      <w:numFmt w:val="bullet"/>
      <w:lvlText w:val=""/>
      <w:lvlJc w:val="left"/>
      <w:pPr>
        <w:ind w:left="1905" w:hanging="420"/>
      </w:pPr>
      <w:rPr>
        <w:rFonts w:hint="default" w:ascii="Wingdings" w:hAnsi="Wingdings"/>
      </w:rPr>
    </w:lvl>
    <w:lvl w:ilvl="4" w:tplc="0409000B">
      <w:numFmt w:val="bullet"/>
      <w:lvlText w:val=""/>
      <w:lvlJc w:val="left"/>
      <w:pPr>
        <w:ind w:left="2325" w:hanging="420"/>
      </w:pPr>
      <w:rPr>
        <w:rFonts w:hint="default" w:ascii="Wingdings" w:hAnsi="Wingdings"/>
      </w:rPr>
    </w:lvl>
    <w:lvl w:ilvl="5" w:tplc="0409000D">
      <w:numFmt w:val="bullet"/>
      <w:lvlText w:val=""/>
      <w:lvlJc w:val="left"/>
      <w:pPr>
        <w:ind w:left="2745" w:hanging="420"/>
      </w:pPr>
      <w:rPr>
        <w:rFonts w:hint="default" w:ascii="Wingdings" w:hAnsi="Wingdings"/>
      </w:rPr>
    </w:lvl>
    <w:lvl w:ilvl="6" w:tplc="04090001">
      <w:numFmt w:val="bullet"/>
      <w:lvlText w:val=""/>
      <w:lvlJc w:val="left"/>
      <w:pPr>
        <w:ind w:left="3165" w:hanging="420"/>
      </w:pPr>
      <w:rPr>
        <w:rFonts w:hint="default" w:ascii="Wingdings" w:hAnsi="Wingdings"/>
      </w:rPr>
    </w:lvl>
    <w:lvl w:ilvl="7" w:tplc="0409000B">
      <w:numFmt w:val="bullet"/>
      <w:lvlText w:val=""/>
      <w:lvlJc w:val="left"/>
      <w:pPr>
        <w:ind w:left="3585" w:hanging="420"/>
      </w:pPr>
      <w:rPr>
        <w:rFonts w:hint="default" w:ascii="Wingdings" w:hAnsi="Wingdings"/>
      </w:rPr>
    </w:lvl>
    <w:lvl w:ilvl="8" w:tplc="0409000D">
      <w:numFmt w:val="bullet"/>
      <w:lvlText w:val=""/>
      <w:lvlJc w:val="left"/>
      <w:pPr>
        <w:ind w:left="400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lock Text"/>
    <w:basedOn w:val="0"/>
    <w:next w:val="19"/>
    <w:link w:val="0"/>
    <w:uiPriority w:val="0"/>
    <w:pPr>
      <w:ind w:left="723" w:leftChars="200" w:right="-2" w:hanging="241" w:hangingChars="100"/>
      <w:jc w:val="left"/>
    </w:pPr>
    <w:rPr>
      <w:rFonts w:ascii="ＭＳ 明朝" w:hAnsi="ＭＳ 明朝"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List Paragraph"/>
    <w:basedOn w:val="0"/>
    <w:next w:val="25"/>
    <w:link w:val="0"/>
    <w:uiPriority w:val="0"/>
    <w:qFormat/>
    <w:pPr>
      <w:ind w:left="840" w:leftChars="400"/>
    </w:p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styles.xml" Id="rId3" Type="http://schemas.openxmlformats.org/officeDocument/2006/relationships/styles"/><Relationship Target="media/image1.png" Id="rId7" Type="http://schemas.openxmlformats.org/officeDocument/2006/relationships/image"/><Relationship Target="media/image4.emf" Id="rId10" Type="http://schemas.openxmlformats.org/officeDocument/2006/relationships/image"/><Relationship Target="numbering.xml" Id="rId2" Type="http://schemas.openxmlformats.org/officeDocument/2006/relationships/numbering"/><Relationship Target="settings.xml" Id="rId4" Type="http://schemas.openxmlformats.org/officeDocument/2006/relationships/settings"/><Relationship Target="footer1.xml" Id="rId6" Type="http://schemas.openxmlformats.org/officeDocument/2006/relationships/footer"/><Relationship Target="media/image2.png" Id="rId8" Type="http://schemas.openxmlformats.org/officeDocument/2006/relationships/image"/><Relationship Target="fontTable.xml" Id="rId1" Type="http://schemas.openxmlformats.org/officeDocument/2006/relationships/fontTable"/><Relationship Target="commentsExtended.xml" Id="rId11" Type="http://schemas.microsoft.com/office/2011/relationships/commentsExtended"/><Relationship Target="theme/theme1.xml" Id="rId5" Type="http://schemas.openxmlformats.org/officeDocument/2006/relationships/theme"/><Relationship Target="media/image3.emf" Id="rId9"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13</Pages>
  <Words>153</Words>
  <Characters>7752</Characters>
  <Application>JUST Note</Application>
  <Lines>432</Lines>
  <Paragraphs>186</Paragraphs>
  <CharactersWithSpaces>7881</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425083</cp:lastModifiedBy>
  <cp:lastPrinted>2018-01-16T06:34:00Z</cp:lastPrinted>
  <dcterms:created xsi:type="dcterms:W3CDTF">2018-01-21T02:16:00Z</dcterms:created>
  <dcterms:modified xsi:type="dcterms:W3CDTF">2018-01-30T01:23:31Z</dcterms:modified>
  <cp:revision>2</cp:revision>
</cp:coreProperties>
</file>