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pacing w:val="0"/>
        </w:rPr>
      </w:pPr>
      <w:bookmarkStart w:id="0" w:name="_GoBack"/>
      <w:bookmarkEnd w:id="0"/>
      <w:r>
        <w:rPr>
          <w:rFonts w:hint="eastAsia" w:asciiTheme="minorEastAsia" w:hAnsiTheme="minorEastAsia" w:eastAsiaTheme="minorEastAsia"/>
        </w:rPr>
        <w:t>様式１</w:t>
      </w:r>
    </w:p>
    <w:p>
      <w:pPr>
        <w:pStyle w:val="15"/>
        <w:rPr>
          <w:rFonts w:hint="default" w:asciiTheme="minorEastAsia" w:hAnsiTheme="minorEastAsia" w:eastAsiaTheme="minorEastAsia"/>
          <w:spacing w:val="0"/>
        </w:rPr>
      </w:pPr>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年度高知県農地流動化促進事業実施計画（変更）承認申請書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農地流動化促進事業実施計画につき、高知県農地流動化促進事業実施要綱第７条第１項の規定による承認を受けたいので別紙のとおり申請します。</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0"/>
        </w:rPr>
        <mc:AlternateContent>
          <mc:Choice Requires="wps">
            <w:drawing>
              <wp:anchor simplePos="0" relativeHeight="2" behindDoc="0" locked="0" layoutInCell="1" hidden="0" allowOverlap="1">
                <wp:simplePos x="0" y="0"/>
                <wp:positionH relativeFrom="column">
                  <wp:posOffset>-173355</wp:posOffset>
                </wp:positionH>
                <wp:positionV relativeFrom="paragraph">
                  <wp:posOffset>114935</wp:posOffset>
                </wp:positionV>
                <wp:extent cx="6211570" cy="13023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11570" cy="130238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9.0500000000000007pt;mso-position-vertical-relative:text;mso-position-horizontal-relative:text;position:absolute;height:102.55pt;width:489.1pt;margin-left:-13.65pt;z-index:2;"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　月　日付け　第　号で承認のあった農地流動化促進事業の実施計画を変更</w:t>
      </w:r>
    </w:p>
    <w:p>
      <w:pPr>
        <w:pStyle w:val="15"/>
        <w:rPr>
          <w:rFonts w:hint="default" w:asciiTheme="minorEastAsia" w:hAnsiTheme="minorEastAsia" w:eastAsiaTheme="minorEastAsia"/>
          <w:spacing w:val="0"/>
        </w:rPr>
      </w:pPr>
      <w:r>
        <w:rPr>
          <w:rFonts w:hint="eastAsia" w:asciiTheme="minorEastAsia" w:hAnsiTheme="minorEastAsia" w:eastAsiaTheme="minorEastAsia"/>
        </w:rPr>
        <w:t>　したいので、高知県農地流動化促進事業実施要綱第７条第２項の規定に基づき、別</w:t>
      </w:r>
    </w:p>
    <w:p>
      <w:pPr>
        <w:pStyle w:val="15"/>
        <w:rPr>
          <w:rFonts w:hint="default" w:asciiTheme="minorEastAsia" w:hAnsiTheme="minorEastAsia" w:eastAsiaTheme="minorEastAsia"/>
          <w:spacing w:val="0"/>
        </w:rPr>
      </w:pPr>
      <w:r>
        <w:rPr>
          <w:rFonts w:hint="eastAsia" w:asciiTheme="minorEastAsia" w:hAnsiTheme="minorEastAsia" w:eastAsiaTheme="minorEastAsia"/>
        </w:rPr>
        <w:t>　紙のとおり申請します。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rPr>
        <w:t>　</w:t>
      </w:r>
      <w:r>
        <w:rPr>
          <w:rFonts w:hint="eastAsia" w:asciiTheme="minorEastAsia" w:hAnsiTheme="minorEastAsia" w:eastAsiaTheme="minorEastAsia"/>
          <w:spacing w:val="0"/>
          <w:sz w:val="24"/>
        </w:rPr>
        <w:t>（別紙）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年度農地流動化促進事業実施計画</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0"/>
        <w:rPr>
          <w:rFonts w:hint="eastAsia"/>
        </w:rPr>
      </w:pPr>
    </w:p>
    <w:p>
      <w:pPr>
        <w:pStyle w:val="0"/>
        <w:rPr>
          <w:rFonts w:hint="eastAsia"/>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0"/>
        <w:rPr>
          <w:rFonts w:hint="eastAsia"/>
          <w:sz w:val="24"/>
          <w:u w:val="none" w:color="auto"/>
        </w:rPr>
      </w:pPr>
      <w:r>
        <w:rPr>
          <w:rFonts w:hint="eastAsia"/>
          <w:sz w:val="24"/>
          <w:u w:val="none" w:color="auto"/>
        </w:rPr>
        <w:t>　　　５　変更承認申請の場合には、変更理由及び変更前の実施計画の対照ができるよう</w:t>
      </w:r>
    </w:p>
    <w:p>
      <w:pPr>
        <w:pStyle w:val="0"/>
        <w:ind w:firstLine="960" w:firstLineChars="400"/>
        <w:rPr>
          <w:rFonts w:hint="eastAsia"/>
          <w:sz w:val="24"/>
          <w:u w:val="none" w:color="auto"/>
        </w:rPr>
      </w:pPr>
      <w:r>
        <w:rPr>
          <w:rFonts w:hint="eastAsia"/>
          <w:sz w:val="24"/>
          <w:u w:val="none" w:color="auto"/>
        </w:rPr>
        <w:t>記入してください。</w:t>
      </w:r>
    </w:p>
    <w:p>
      <w:pPr>
        <w:pStyle w:val="0"/>
        <w:rPr>
          <w:rFonts w:hint="eastAsia"/>
          <w:sz w:val="24"/>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様式２</w:t>
      </w:r>
    </w:p>
    <w:p>
      <w:pPr>
        <w:pStyle w:val="15"/>
        <w:rPr>
          <w:rFonts w:hint="default" w:asciiTheme="minorEastAsia" w:hAnsiTheme="minorEastAsia" w:eastAsiaTheme="minorEastAsia"/>
          <w:spacing w:val="0"/>
        </w:rPr>
      </w:pPr>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年度高知県農地流動化促進事業実績報告書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年度において別紙のとおり農地流動化促進事業を実施したので、高知県農地流動化促進事業実施要綱第</w:t>
      </w:r>
      <w:r>
        <w:rPr>
          <w:rFonts w:hint="eastAsia" w:asciiTheme="minorEastAsia" w:hAnsiTheme="minorEastAsia" w:eastAsiaTheme="minorEastAsia"/>
        </w:rPr>
        <w:t>10</w:t>
      </w:r>
      <w:r>
        <w:rPr>
          <w:rFonts w:hint="eastAsia" w:asciiTheme="minorEastAsia" w:hAnsiTheme="minorEastAsia" w:eastAsiaTheme="minorEastAsia"/>
        </w:rPr>
        <w:t>条に基づき、その実績を報告します。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年度農地流動化促進事業実績</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15"/>
        <w:rPr>
          <w:rFonts w:hint="default" w:asciiTheme="minorEastAsia" w:hAnsiTheme="minorEastAsia" w:eastAsiaTheme="minorEastAsia"/>
          <w:spacing w:val="0"/>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15"/>
        <w:rPr>
          <w:rFonts w:hint="default" w:asciiTheme="minorEastAsia" w:hAnsiTheme="minorEastAsia" w:eastAsiaTheme="minorEastAsia"/>
          <w:spacing w:val="0"/>
        </w:rPr>
      </w:pPr>
    </w:p>
    <w:sectPr>
      <w:pgSz w:w="11906" w:h="16838"/>
      <w:pgMar w:top="1417" w:right="1168" w:bottom="1417" w:left="116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7" w:lineRule="exact"/>
      <w:jc w:val="both"/>
    </w:pPr>
    <w:rPr>
      <w:rFonts w:ascii="Times New Roman" w:hAnsi="Times New Roman" w:eastAsia="ＭＳ 明朝"/>
      <w:spacing w:val="-2"/>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4</Pages>
  <Words>11</Words>
  <Characters>1201</Characters>
  <Application>JUST Note</Application>
  <Lines>863</Lines>
  <Paragraphs>137</Paragraphs>
  <Company>ioas</Company>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2019-05-27T07:40:10Z</cp:lastPrinted>
  <dcterms:created xsi:type="dcterms:W3CDTF">2017-05-02T01:12:00Z</dcterms:created>
  <dcterms:modified xsi:type="dcterms:W3CDTF">2021-09-08T04:33:43Z</dcterms:modified>
  <cp:revision>5</cp:revision>
</cp:coreProperties>
</file>