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r>
        <w:rPr>
          <w:rFonts w:hint="eastAsia"/>
          <w:sz w:val="24"/>
        </w:rPr>
        <w:t>若者の学びなおしと自立支援事業「若者はばたけネット」実施要綱</w:t>
      </w:r>
    </w:p>
    <w:p>
      <w:pPr>
        <w:pStyle w:val="0"/>
        <w:jc w:val="center"/>
        <w:rPr>
          <w:rFonts w:hint="eastAsia"/>
        </w:rPr>
      </w:pPr>
    </w:p>
    <w:p>
      <w:pPr>
        <w:pStyle w:val="0"/>
        <w:jc w:val="right"/>
        <w:rPr>
          <w:rFonts w:hint="eastAsia"/>
        </w:rPr>
      </w:pPr>
      <w:r>
        <w:rPr>
          <w:rFonts w:hint="eastAsia"/>
          <w:sz w:val="24"/>
        </w:rPr>
        <w:t>　　　　　　　　　　　　　　　　　　　　　　高知県教育委員会</w:t>
      </w:r>
    </w:p>
    <w:p>
      <w:pPr>
        <w:pStyle w:val="0"/>
        <w:rPr>
          <w:rFonts w:hint="eastAsia"/>
          <w:sz w:val="24"/>
        </w:rPr>
      </w:pPr>
    </w:p>
    <w:p>
      <w:pPr>
        <w:pStyle w:val="0"/>
        <w:rPr>
          <w:rFonts w:hint="eastAsia"/>
        </w:rPr>
      </w:pPr>
      <w:r>
        <w:rPr>
          <w:rFonts w:hint="eastAsia"/>
        </w:rPr>
        <w:t>１　目的</w:t>
      </w:r>
    </w:p>
    <w:p>
      <w:pPr>
        <w:pStyle w:val="0"/>
        <w:ind w:left="250" w:leftChars="119" w:firstLine="210" w:firstLineChars="100"/>
        <w:rPr>
          <w:rFonts w:hint="eastAsia"/>
          <w:color w:val="auto"/>
        </w:rPr>
      </w:pPr>
      <w:r>
        <w:rPr>
          <w:rFonts w:hint="eastAsia"/>
          <w:color w:val="auto"/>
        </w:rPr>
        <w:t>若者の学びなおしと自立支援事業</w:t>
      </w:r>
      <w:r>
        <w:rPr>
          <w:rFonts w:hint="eastAsia"/>
          <w:color w:val="auto"/>
          <w:u w:val="none" w:color="auto"/>
        </w:rPr>
        <w:t>（以下「自立支援事業」という。）</w:t>
      </w:r>
      <w:r>
        <w:rPr>
          <w:rFonts w:hint="eastAsia"/>
          <w:color w:val="auto"/>
        </w:rPr>
        <w:t>は、高知県教育委員会事務局生涯学習課（以下「生涯学習課」という。）が、市町村（学校組合を含む。以下同じ。）教育委員会、県立中学校、県立高等学校、県立特別支援学校、私立中学校、私立高等学校、</w:t>
      </w:r>
      <w:r>
        <w:rPr>
          <w:rFonts w:hint="eastAsia"/>
          <w:color w:val="auto"/>
          <w:u w:val="none" w:color="auto"/>
        </w:rPr>
        <w:t>私立特別支援学校、</w:t>
      </w:r>
      <w:r>
        <w:rPr>
          <w:rFonts w:hint="eastAsia"/>
          <w:color w:val="auto"/>
        </w:rPr>
        <w:t>国立中学校、</w:t>
      </w:r>
      <w:r>
        <w:rPr>
          <w:rFonts w:hint="eastAsia"/>
          <w:color w:val="auto"/>
          <w:u w:val="none" w:color="auto"/>
        </w:rPr>
        <w:t>国立特別支援学校、</w:t>
      </w:r>
      <w:r>
        <w:rPr>
          <w:rFonts w:hint="eastAsia"/>
          <w:color w:val="auto"/>
        </w:rPr>
        <w:t>国立高等専門学校から、義務教育学校及び中学校卒業時並びに高等学校等の中途退学時の進路未定者の個人情報を収集して若者サポートステーションに提供し、学校教育から切れ目のない修学及び就労に向けた自立支援を行うことで、対象者の社会的自立を促進することを目的とする。</w:t>
      </w:r>
    </w:p>
    <w:p>
      <w:pPr>
        <w:pStyle w:val="0"/>
        <w:ind w:left="210" w:hanging="210" w:hangingChars="100"/>
        <w:rPr>
          <w:rFonts w:hint="eastAsia"/>
        </w:rPr>
      </w:pPr>
    </w:p>
    <w:p>
      <w:pPr>
        <w:pStyle w:val="0"/>
        <w:ind w:left="210" w:hanging="210" w:hangingChars="100"/>
        <w:rPr>
          <w:rFonts w:hint="eastAsia"/>
        </w:rPr>
      </w:pPr>
      <w:r>
        <w:rPr>
          <w:rFonts w:hint="eastAsia"/>
        </w:rPr>
        <w:t>２　定義</w:t>
      </w:r>
    </w:p>
    <w:p>
      <w:pPr>
        <w:pStyle w:val="0"/>
        <w:ind w:left="210" w:hanging="210" w:hangingChars="100"/>
        <w:rPr>
          <w:rFonts w:hint="eastAsia"/>
          <w:color w:val="auto"/>
        </w:rPr>
      </w:pPr>
      <w:r>
        <w:rPr>
          <w:rFonts w:hint="eastAsia"/>
          <w:color w:val="auto"/>
        </w:rPr>
        <w:t>　　この要綱における用語の定義は、次に掲げるとおりとする。</w:t>
      </w:r>
    </w:p>
    <w:p>
      <w:pPr>
        <w:pStyle w:val="0"/>
        <w:ind w:left="864" w:leftChars="112" w:hanging="629" w:hangingChars="300"/>
        <w:rPr>
          <w:rFonts w:hint="eastAsia"/>
          <w:color w:val="auto"/>
        </w:rPr>
      </w:pPr>
      <w:r>
        <w:rPr>
          <w:rFonts w:hint="eastAsia"/>
          <w:color w:val="auto"/>
        </w:rPr>
        <w:t>（１）「若者はばたけネット」とは、自立支援事業の対象者に対する自立支援のための関係機関の情報ネットワーク組織をいう。</w:t>
      </w:r>
    </w:p>
    <w:p>
      <w:pPr>
        <w:pStyle w:val="0"/>
        <w:ind w:left="868" w:leftChars="116" w:hanging="625" w:hangingChars="298"/>
        <w:rPr>
          <w:rFonts w:hint="eastAsia"/>
          <w:color w:val="auto"/>
        </w:rPr>
      </w:pPr>
      <w:r>
        <w:rPr>
          <w:rFonts w:hint="eastAsia"/>
          <w:color w:val="auto"/>
        </w:rPr>
        <w:t>（２）「関係機関」とは、生涯学習課、市町村教育委員会、及び</w:t>
      </w:r>
      <w:r>
        <w:rPr>
          <w:rFonts w:hint="eastAsia"/>
          <w:color w:val="auto"/>
          <w:highlight w:val="none"/>
          <w:u w:val="none" w:color="auto"/>
        </w:rPr>
        <w:t>義務教育学校、</w:t>
      </w:r>
      <w:r>
        <w:rPr>
          <w:rFonts w:hint="eastAsia"/>
          <w:color w:val="auto"/>
          <w:u w:val="none" w:color="auto"/>
        </w:rPr>
        <w:t>中学校、高等学校、特別支援学校、高等専門学校（以下「各学校」という。）</w:t>
      </w:r>
      <w:r>
        <w:rPr>
          <w:rFonts w:hint="eastAsia"/>
          <w:color w:val="auto"/>
        </w:rPr>
        <w:t>並びに若者サポートステーションをいう。</w:t>
      </w:r>
    </w:p>
    <w:p>
      <w:pPr>
        <w:pStyle w:val="0"/>
        <w:ind w:left="868" w:leftChars="116" w:hanging="625" w:hangingChars="298"/>
        <w:rPr>
          <w:rFonts w:hint="eastAsia"/>
          <w:color w:val="auto"/>
        </w:rPr>
      </w:pPr>
      <w:r>
        <w:rPr>
          <w:rFonts w:hint="eastAsia"/>
          <w:color w:val="auto"/>
        </w:rPr>
        <w:t>（３）「若者サポートステーション」とは、生涯学習課が社会福祉法人高知県社会福祉協議会に委託しているこうち</w:t>
      </w:r>
      <w:r>
        <w:rPr>
          <w:rFonts w:hint="eastAsia"/>
          <w:color w:val="auto"/>
          <w:u w:val="none" w:color="auto"/>
        </w:rPr>
        <w:t>・なんこく</w:t>
      </w:r>
      <w:r>
        <w:rPr>
          <w:rFonts w:hint="eastAsia"/>
          <w:color w:val="auto"/>
        </w:rPr>
        <w:t>若者サポートステーション及び</w:t>
      </w:r>
      <w:r>
        <w:rPr>
          <w:rFonts w:hint="eastAsia"/>
          <w:strike w:val="0"/>
          <w:dstrike w:val="0"/>
          <w:color w:val="auto"/>
        </w:rPr>
        <w:t>ＮＰＯ</w:t>
      </w:r>
      <w:r>
        <w:rPr>
          <w:rFonts w:hint="eastAsia"/>
          <w:color w:val="auto"/>
        </w:rPr>
        <w:t>法人若者就労支援センターつながるねっとに委託しているはた若者サポートステーションをいう。</w:t>
      </w:r>
    </w:p>
    <w:p>
      <w:pPr>
        <w:pStyle w:val="0"/>
        <w:ind w:left="868" w:leftChars="116" w:hanging="625" w:hangingChars="298"/>
        <w:rPr>
          <w:rFonts w:hint="eastAsia"/>
          <w:color w:val="auto"/>
        </w:rPr>
      </w:pPr>
      <w:r>
        <w:rPr>
          <w:rFonts w:hint="eastAsia"/>
          <w:color w:val="auto"/>
        </w:rPr>
        <w:t>（４）「同意書」とは、義務教育学校及び中学校卒業時並びに高等学校等中途退学時の進路未定者が自立支援事業における「若者はばたけネット」を活用した支援を受けるために、自身の個人情報を関係機関に提供するとともに関係機関間において利用することに同意するための様式をいう。</w:t>
      </w:r>
    </w:p>
    <w:p>
      <w:pPr>
        <w:pStyle w:val="0"/>
        <w:ind w:left="210" w:hanging="210" w:hangingChars="100"/>
        <w:rPr>
          <w:rFonts w:hint="eastAsia"/>
        </w:rPr>
      </w:pPr>
    </w:p>
    <w:p>
      <w:pPr>
        <w:pStyle w:val="0"/>
        <w:ind w:left="210" w:hanging="210" w:hangingChars="100"/>
        <w:rPr>
          <w:rFonts w:hint="eastAsia"/>
        </w:rPr>
      </w:pPr>
      <w:r>
        <w:rPr>
          <w:rFonts w:hint="eastAsia"/>
        </w:rPr>
        <w:t>３　対象</w:t>
      </w:r>
    </w:p>
    <w:p>
      <w:pPr>
        <w:pStyle w:val="0"/>
        <w:ind w:left="210" w:hanging="210" w:hangingChars="100"/>
        <w:rPr>
          <w:rFonts w:hint="eastAsia"/>
          <w:color w:val="auto"/>
        </w:rPr>
      </w:pPr>
      <w:r>
        <w:rPr>
          <w:rFonts w:hint="eastAsia"/>
          <w:color w:val="auto"/>
        </w:rPr>
        <w:t>　　対象者は、次に掲げる者とする。</w:t>
      </w:r>
    </w:p>
    <w:p>
      <w:pPr>
        <w:pStyle w:val="0"/>
        <w:ind w:left="237" w:leftChars="113"/>
        <w:rPr>
          <w:rFonts w:hint="eastAsia"/>
        </w:rPr>
      </w:pPr>
      <w:r>
        <w:rPr>
          <w:rFonts w:hint="eastAsia"/>
          <w:color w:val="000000"/>
        </w:rPr>
        <w:t>（１）義務教育学校及び中学校を卒業するとき</w:t>
      </w:r>
      <w:r>
        <w:rPr>
          <w:rFonts w:hint="eastAsia"/>
        </w:rPr>
        <w:t>に修学又は就職が決定していない者</w:t>
      </w:r>
    </w:p>
    <w:p>
      <w:pPr>
        <w:pStyle w:val="0"/>
        <w:ind w:left="866" w:leftChars="113" w:hanging="629" w:hangingChars="300"/>
        <w:rPr>
          <w:rFonts w:hint="eastAsia"/>
          <w:color w:val="FF0000"/>
        </w:rPr>
      </w:pPr>
      <w:r>
        <w:rPr>
          <w:rFonts w:hint="eastAsia"/>
        </w:rPr>
        <w:t>（２）高等学校、特別支援学校及び高等専門学校を中途退学するときに修学又は就職が決定していない者</w:t>
      </w:r>
    </w:p>
    <w:p>
      <w:pPr>
        <w:pStyle w:val="0"/>
        <w:rPr>
          <w:rFonts w:hint="eastAsia"/>
        </w:rPr>
      </w:pPr>
    </w:p>
    <w:p>
      <w:pPr>
        <w:pStyle w:val="0"/>
        <w:rPr>
          <w:rFonts w:hint="eastAsia"/>
        </w:rPr>
      </w:pPr>
      <w:r>
        <w:rPr>
          <w:rFonts w:hint="eastAsia"/>
        </w:rPr>
        <w:t>４　個人情報の保護について</w:t>
      </w:r>
    </w:p>
    <w:p>
      <w:pPr>
        <w:pStyle w:val="0"/>
        <w:ind w:left="237" w:leftChars="113" w:firstLine="195" w:firstLineChars="93"/>
        <w:rPr>
          <w:rFonts w:hint="eastAsia"/>
        </w:rPr>
      </w:pPr>
      <w:r>
        <w:rPr>
          <w:rFonts w:hint="eastAsia"/>
          <w:color w:val="auto"/>
        </w:rPr>
        <w:t>対象者の個人情報は、個人情報の保護に関する法律</w:t>
      </w:r>
      <w:r>
        <w:rPr>
          <w:rFonts w:hint="eastAsia" w:ascii="ＭＳ 明朝" w:hAnsi="ＭＳ 明朝" w:eastAsia="ＭＳ 明朝"/>
          <w:color w:val="auto"/>
        </w:rPr>
        <w:t>第</w:t>
      </w:r>
      <w:r>
        <w:rPr>
          <w:rFonts w:hint="eastAsia" w:ascii="ＭＳ 明朝" w:hAnsi="ＭＳ 明朝" w:eastAsia="ＭＳ 明朝"/>
          <w:color w:val="auto"/>
        </w:rPr>
        <w:t>60</w:t>
      </w:r>
      <w:r>
        <w:rPr>
          <w:rFonts w:hint="eastAsia" w:ascii="ＭＳ 明朝" w:hAnsi="ＭＳ 明朝" w:eastAsia="ＭＳ 明朝"/>
          <w:color w:val="auto"/>
        </w:rPr>
        <w:t>条から第</w:t>
      </w:r>
      <w:r>
        <w:rPr>
          <w:rFonts w:hint="eastAsia" w:ascii="ＭＳ 明朝" w:hAnsi="ＭＳ 明朝" w:eastAsia="ＭＳ 明朝"/>
          <w:color w:val="auto"/>
        </w:rPr>
        <w:t>129</w:t>
      </w:r>
      <w:r>
        <w:rPr>
          <w:rFonts w:hint="eastAsia" w:ascii="ＭＳ 明朝" w:hAnsi="ＭＳ 明朝" w:eastAsia="ＭＳ 明朝"/>
          <w:color w:val="auto"/>
        </w:rPr>
        <w:t>条まで</w:t>
      </w:r>
      <w:r>
        <w:rPr>
          <w:rFonts w:hint="eastAsia"/>
          <w:color w:val="auto"/>
        </w:rPr>
        <w:t>に基づき、目的</w:t>
      </w:r>
      <w:r>
        <w:rPr>
          <w:rFonts w:hint="eastAsia"/>
        </w:rPr>
        <w:t>達成に必要な範囲でのみ利用されるものとする。</w:t>
      </w:r>
    </w:p>
    <w:p>
      <w:pPr>
        <w:pStyle w:val="0"/>
        <w:ind w:leftChars="0" w:firstLineChars="0"/>
        <w:rPr>
          <w:rFonts w:hint="eastAsia"/>
        </w:rPr>
      </w:pPr>
    </w:p>
    <w:p>
      <w:pPr>
        <w:pStyle w:val="0"/>
        <w:rPr>
          <w:rFonts w:hint="eastAsia"/>
        </w:rPr>
      </w:pPr>
      <w:r>
        <w:rPr>
          <w:rFonts w:hint="eastAsia"/>
        </w:rPr>
        <w:t>５　関係機関の役割</w:t>
      </w:r>
    </w:p>
    <w:p>
      <w:pPr>
        <w:pStyle w:val="0"/>
        <w:ind w:left="852" w:leftChars="100" w:hanging="642" w:hangingChars="306"/>
        <w:rPr>
          <w:rFonts w:hint="eastAsia"/>
          <w:color w:val="auto"/>
          <w:sz w:val="23"/>
        </w:rPr>
      </w:pPr>
      <w:r>
        <w:rPr>
          <w:rFonts w:hint="eastAsia"/>
          <w:color w:val="auto"/>
        </w:rPr>
        <w:t>（１）　各学校は、</w:t>
      </w:r>
      <w:r>
        <w:rPr>
          <w:rFonts w:hint="eastAsia"/>
          <w:color w:val="auto"/>
          <w:sz w:val="23"/>
        </w:rPr>
        <w:t>対象者及びその保護者等に対して、</w:t>
      </w:r>
      <w:r>
        <w:rPr>
          <w:rFonts w:hint="eastAsia"/>
          <w:color w:val="auto"/>
          <w:sz w:val="23"/>
          <w:u w:val="none" w:color="auto"/>
        </w:rPr>
        <w:t>若者はばたけネット</w:t>
      </w:r>
      <w:r>
        <w:rPr>
          <w:rFonts w:hint="eastAsia"/>
          <w:color w:val="auto"/>
          <w:sz w:val="23"/>
        </w:rPr>
        <w:t>及び若者サポートステーションについての説明並びに同意書が生涯学習課に提出され、若者サポートステーションに提供され、個人情報が目的のために利用されることの説明を行う。</w:t>
      </w:r>
    </w:p>
    <w:p>
      <w:pPr>
        <w:pStyle w:val="15"/>
        <w:tabs>
          <w:tab w:val="left" w:leader="none" w:pos="2160"/>
        </w:tabs>
        <w:ind w:left="852" w:leftChars="100" w:hanging="642" w:hangingChars="306"/>
        <w:rPr>
          <w:rFonts w:hint="eastAsia"/>
          <w:color w:val="auto"/>
          <w:sz w:val="23"/>
        </w:rPr>
      </w:pPr>
      <w:r>
        <w:rPr>
          <w:rFonts w:hint="eastAsia"/>
          <w:color w:val="auto"/>
          <w:sz w:val="23"/>
        </w:rPr>
        <w:t>（２）　市町村立学校（義務教育学校、中学校、高等学校、特別支援学校）は、対象者の同意書を受理し、市町村教育委員会に提出する。</w:t>
      </w:r>
    </w:p>
    <w:p>
      <w:pPr>
        <w:pStyle w:val="15"/>
        <w:tabs>
          <w:tab w:val="left" w:leader="none" w:pos="2160"/>
        </w:tabs>
        <w:ind w:left="852" w:leftChars="100" w:hanging="642" w:hangingChars="306"/>
        <w:rPr>
          <w:rFonts w:hint="eastAsia"/>
          <w:color w:val="auto"/>
          <w:sz w:val="23"/>
          <w:u w:val="none" w:color="auto"/>
        </w:rPr>
      </w:pPr>
      <w:r>
        <w:rPr>
          <w:rFonts w:hint="eastAsia"/>
          <w:color w:val="auto"/>
          <w:sz w:val="23"/>
          <w:u w:val="none" w:color="auto"/>
        </w:rPr>
        <w:t>（３）　</w:t>
      </w:r>
      <w:r>
        <w:rPr>
          <w:rFonts w:hint="eastAsia"/>
          <w:b w:val="0"/>
          <w:color w:val="auto"/>
          <w:sz w:val="23"/>
          <w:u w:val="none" w:color="auto"/>
        </w:rPr>
        <w:t>国立学校（中学校、特別支援学校、高等専門学校）、県立学校（中学校、高等学校、特別支援学校）及び</w:t>
      </w:r>
      <w:r>
        <w:rPr>
          <w:rFonts w:hint="eastAsia"/>
          <w:color w:val="auto"/>
          <w:sz w:val="23"/>
          <w:u w:val="none" w:color="auto"/>
        </w:rPr>
        <w:t>私立学校（中学校、高等学校、特別支援学校）は、対象者の同意書を受理し、生涯学習課に提出する。</w:t>
      </w:r>
    </w:p>
    <w:p>
      <w:pPr>
        <w:pStyle w:val="15"/>
        <w:ind w:left="852" w:leftChars="100" w:hanging="642" w:hangingChars="306"/>
        <w:rPr>
          <w:rFonts w:hint="eastAsia"/>
          <w:color w:val="auto"/>
          <w:sz w:val="23"/>
        </w:rPr>
      </w:pPr>
      <w:r>
        <w:rPr>
          <w:rFonts w:hint="eastAsia"/>
          <w:strike w:val="0"/>
          <w:dstrike w:val="0"/>
          <w:color w:val="auto"/>
          <w:sz w:val="23"/>
        </w:rPr>
        <w:t>（４）　各学校は、</w:t>
      </w:r>
      <w:r>
        <w:rPr>
          <w:rFonts w:hint="eastAsia"/>
          <w:color w:val="auto"/>
          <w:sz w:val="23"/>
        </w:rPr>
        <w:t>若者サポートステーションが行う対象者に対する自立支援に関し必要な協力を行う。</w:t>
      </w:r>
    </w:p>
    <w:p>
      <w:pPr>
        <w:pStyle w:val="0"/>
        <w:ind w:left="852" w:leftChars="100" w:hanging="642" w:hangingChars="306"/>
        <w:rPr>
          <w:rFonts w:hint="eastAsia"/>
        </w:rPr>
      </w:pPr>
      <w:r>
        <w:rPr>
          <w:rFonts w:hint="eastAsia"/>
          <w:color w:val="auto"/>
        </w:rPr>
        <w:t>（５）　市町村教育委員会は、市町村立学校（義務教育学校、中学校、高等学校、特別支援学校）</w:t>
      </w:r>
      <w:r>
        <w:rPr>
          <w:rFonts w:hint="eastAsia"/>
        </w:rPr>
        <w:t>から提出された同意書を受理し、生涯学習課に提出する。</w:t>
      </w:r>
    </w:p>
    <w:p>
      <w:pPr>
        <w:pStyle w:val="0"/>
        <w:ind w:left="852" w:leftChars="100" w:hanging="642" w:hangingChars="306"/>
        <w:rPr>
          <w:rFonts w:hint="eastAsia"/>
          <w:color w:val="auto"/>
        </w:rPr>
      </w:pPr>
      <w:r>
        <w:rPr>
          <w:rFonts w:hint="eastAsia"/>
          <w:color w:val="auto"/>
        </w:rPr>
        <w:t>（６）　生涯学習課は、各関係機関から提出された同意書を受理し、若者サポートステーション業務責任者に提供する。</w:t>
      </w:r>
      <w:bookmarkStart w:id="0" w:name="_GoBack"/>
      <w:bookmarkEnd w:id="0"/>
    </w:p>
    <w:p>
      <w:pPr>
        <w:pStyle w:val="0"/>
        <w:ind w:leftChars="0" w:firstLineChars="0"/>
        <w:rPr>
          <w:rFonts w:hint="eastAsia"/>
        </w:rPr>
      </w:pPr>
    </w:p>
    <w:p>
      <w:pPr>
        <w:pStyle w:val="0"/>
        <w:rPr>
          <w:rFonts w:hint="eastAsia"/>
        </w:rPr>
      </w:pPr>
      <w:r>
        <w:rPr>
          <w:rFonts w:hint="eastAsia"/>
        </w:rPr>
        <w:t>附　則</w:t>
      </w:r>
    </w:p>
    <w:p>
      <w:pPr>
        <w:pStyle w:val="0"/>
        <w:rPr>
          <w:rFonts w:hint="eastAsia"/>
        </w:rPr>
      </w:pPr>
      <w:r>
        <w:rPr>
          <w:rFonts w:hint="eastAsia"/>
        </w:rPr>
        <w:t>　この要綱は、平成１９年６月１２日から施行する。</w:t>
      </w:r>
    </w:p>
    <w:p>
      <w:pPr>
        <w:pStyle w:val="0"/>
        <w:rPr>
          <w:rFonts w:hint="eastAsia"/>
        </w:rPr>
      </w:pPr>
      <w:r>
        <w:rPr>
          <w:rFonts w:hint="eastAsia"/>
        </w:rPr>
        <w:t>附　則</w:t>
      </w:r>
    </w:p>
    <w:p>
      <w:pPr>
        <w:pStyle w:val="0"/>
        <w:rPr>
          <w:rFonts w:hint="eastAsia"/>
        </w:rPr>
      </w:pPr>
      <w:r>
        <w:rPr>
          <w:rFonts w:hint="eastAsia"/>
        </w:rPr>
        <w:t>　この要綱は、平成２０年２月１８日から施行する。</w:t>
      </w:r>
    </w:p>
    <w:p>
      <w:pPr>
        <w:pStyle w:val="0"/>
        <w:rPr>
          <w:rFonts w:hint="eastAsia"/>
        </w:rPr>
      </w:pPr>
      <w:r>
        <w:rPr>
          <w:rFonts w:hint="eastAsia"/>
        </w:rPr>
        <w:t>附　則</w:t>
      </w:r>
    </w:p>
    <w:p>
      <w:pPr>
        <w:pStyle w:val="0"/>
        <w:rPr>
          <w:rFonts w:hint="eastAsia"/>
        </w:rPr>
      </w:pPr>
      <w:r>
        <w:rPr>
          <w:rFonts w:hint="eastAsia"/>
        </w:rPr>
        <w:t>　この要綱は、平成２０年８月４日から施行する。</w:t>
      </w:r>
    </w:p>
    <w:p>
      <w:pPr>
        <w:pStyle w:val="0"/>
        <w:rPr>
          <w:rFonts w:hint="eastAsia"/>
        </w:rPr>
      </w:pPr>
      <w:r>
        <w:rPr>
          <w:rFonts w:hint="eastAsia"/>
        </w:rPr>
        <w:t>附　則</w:t>
      </w:r>
    </w:p>
    <w:p>
      <w:pPr>
        <w:pStyle w:val="0"/>
        <w:rPr>
          <w:rFonts w:hint="eastAsia"/>
          <w:color w:val="000000"/>
        </w:rPr>
      </w:pPr>
      <w:r>
        <w:rPr>
          <w:rFonts w:hint="eastAsia"/>
        </w:rPr>
        <w:t>　この要綱は、</w:t>
      </w:r>
      <w:r>
        <w:rPr>
          <w:rFonts w:hint="eastAsia"/>
          <w:color w:val="000000"/>
        </w:rPr>
        <w:t>平成２１年９月１日から施行する。</w:t>
      </w:r>
    </w:p>
    <w:p>
      <w:pPr>
        <w:pStyle w:val="0"/>
        <w:rPr>
          <w:rFonts w:hint="eastAsia"/>
        </w:rPr>
      </w:pPr>
      <w:r>
        <w:rPr>
          <w:rFonts w:hint="eastAsia"/>
        </w:rPr>
        <w:t>附　則</w:t>
      </w:r>
    </w:p>
    <w:p>
      <w:pPr>
        <w:pStyle w:val="0"/>
        <w:rPr>
          <w:rFonts w:hint="eastAsia"/>
          <w:color w:val="000000"/>
        </w:rPr>
      </w:pPr>
      <w:r>
        <w:rPr>
          <w:rFonts w:hint="eastAsia"/>
        </w:rPr>
        <w:t>　この要綱は、</w:t>
      </w:r>
      <w:r>
        <w:rPr>
          <w:rFonts w:hint="eastAsia"/>
          <w:color w:val="000000"/>
        </w:rPr>
        <w:t>平成２２年９月１日から施行する。</w:t>
      </w:r>
    </w:p>
    <w:p>
      <w:pPr>
        <w:pStyle w:val="0"/>
        <w:rPr>
          <w:rFonts w:hint="eastAsia"/>
        </w:rPr>
      </w:pPr>
      <w:r>
        <w:rPr>
          <w:rFonts w:hint="eastAsia"/>
        </w:rPr>
        <w:t>附</w:t>
      </w:r>
      <w:r>
        <w:rPr>
          <w:rFonts w:hint="eastAsia"/>
        </w:rPr>
        <w:t xml:space="preserve">  </w:t>
      </w:r>
      <w:r>
        <w:rPr>
          <w:rFonts w:hint="eastAsia"/>
        </w:rPr>
        <w:t>則</w:t>
      </w:r>
    </w:p>
    <w:p>
      <w:pPr>
        <w:pStyle w:val="0"/>
        <w:rPr>
          <w:rFonts w:hint="eastAsia"/>
        </w:rPr>
      </w:pPr>
      <w:r>
        <w:rPr>
          <w:rFonts w:hint="eastAsia"/>
        </w:rPr>
        <w:t xml:space="preserve">  </w:t>
      </w:r>
      <w:r>
        <w:rPr>
          <w:rFonts w:hint="eastAsia"/>
        </w:rPr>
        <w:t>この要綱は、平成２４年１０月２２日から施行する。</w:t>
      </w:r>
    </w:p>
    <w:p>
      <w:pPr>
        <w:pStyle w:val="0"/>
        <w:rPr>
          <w:rFonts w:hint="eastAsia"/>
        </w:rPr>
      </w:pPr>
      <w:r>
        <w:rPr>
          <w:rFonts w:hint="eastAsia"/>
        </w:rPr>
        <w:t>附　則</w:t>
      </w:r>
    </w:p>
    <w:p>
      <w:pPr>
        <w:pStyle w:val="0"/>
        <w:rPr>
          <w:rFonts w:hint="eastAsia"/>
        </w:rPr>
      </w:pPr>
      <w:r>
        <w:rPr>
          <w:rFonts w:hint="eastAsia"/>
        </w:rPr>
        <w:t>　この要綱は、平成２６年４月１日から施行する。</w:t>
      </w:r>
    </w:p>
    <w:p>
      <w:pPr>
        <w:pStyle w:val="0"/>
        <w:rPr>
          <w:rFonts w:hint="eastAsia"/>
        </w:rPr>
      </w:pPr>
      <w:r>
        <w:rPr>
          <w:rFonts w:hint="eastAsia"/>
        </w:rPr>
        <w:t>附　則</w:t>
      </w:r>
    </w:p>
    <w:p>
      <w:pPr>
        <w:pStyle w:val="0"/>
        <w:rPr>
          <w:rFonts w:hint="eastAsia"/>
        </w:rPr>
      </w:pPr>
      <w:r>
        <w:rPr>
          <w:rFonts w:hint="eastAsia"/>
        </w:rPr>
        <w:t>　この要綱は、平成２９年４月１日から施行する。</w:t>
      </w:r>
    </w:p>
    <w:p>
      <w:pPr>
        <w:pStyle w:val="0"/>
        <w:rPr>
          <w:rFonts w:hint="eastAsia"/>
        </w:rPr>
      </w:pPr>
      <w:r>
        <w:rPr>
          <w:rFonts w:hint="eastAsia"/>
        </w:rPr>
        <w:t>附　則</w:t>
      </w:r>
    </w:p>
    <w:p>
      <w:pPr>
        <w:pStyle w:val="0"/>
        <w:rPr>
          <w:rFonts w:hint="eastAsia"/>
        </w:rPr>
      </w:pPr>
      <w:r>
        <w:rPr>
          <w:rFonts w:hint="eastAsia"/>
        </w:rPr>
        <w:t>　この要綱は、令和２年５月１日から施行する。</w:t>
      </w:r>
    </w:p>
    <w:p>
      <w:pPr>
        <w:pStyle w:val="0"/>
        <w:rPr>
          <w:rFonts w:hint="eastAsia"/>
        </w:rPr>
      </w:pPr>
      <w:r>
        <w:rPr>
          <w:rFonts w:hint="eastAsia"/>
        </w:rPr>
        <w:t>附　則</w:t>
      </w:r>
    </w:p>
    <w:p>
      <w:pPr>
        <w:pStyle w:val="0"/>
        <w:rPr>
          <w:rFonts w:hint="eastAsia"/>
        </w:rPr>
      </w:pPr>
      <w:r>
        <w:rPr>
          <w:rFonts w:hint="eastAsia"/>
        </w:rPr>
        <w:t>　この要綱は、令和３年１１月１日から施行する。</w:t>
      </w:r>
    </w:p>
    <w:p>
      <w:pPr>
        <w:pStyle w:val="0"/>
        <w:rPr>
          <w:rFonts w:hint="eastAsia"/>
          <w:color w:val="auto"/>
        </w:rPr>
      </w:pPr>
      <w:r>
        <w:rPr>
          <w:rFonts w:hint="eastAsia"/>
          <w:color w:val="auto"/>
        </w:rPr>
        <w:t>附　則</w:t>
      </w:r>
    </w:p>
    <w:p>
      <w:pPr>
        <w:pStyle w:val="0"/>
        <w:rPr>
          <w:rFonts w:hint="eastAsia"/>
          <w:color w:val="auto"/>
        </w:rPr>
      </w:pPr>
      <w:r>
        <w:rPr>
          <w:rFonts w:hint="eastAsia"/>
          <w:color w:val="auto"/>
        </w:rPr>
        <w:t>　この要綱は、令和４年４月１日から施行する。</w:t>
      </w:r>
    </w:p>
    <w:p>
      <w:pPr>
        <w:pStyle w:val="0"/>
        <w:rPr>
          <w:rFonts w:hint="eastAsia"/>
          <w:color w:val="auto"/>
        </w:rPr>
      </w:pPr>
      <w:r>
        <w:rPr>
          <w:rFonts w:hint="eastAsia"/>
          <w:color w:val="auto"/>
        </w:rPr>
        <w:t>附　則</w:t>
      </w:r>
    </w:p>
    <w:p>
      <w:pPr>
        <w:pStyle w:val="0"/>
        <w:rPr>
          <w:rFonts w:hint="eastAsia"/>
          <w:color w:val="auto"/>
        </w:rPr>
      </w:pPr>
      <w:r>
        <w:rPr>
          <w:rFonts w:hint="eastAsia"/>
          <w:color w:val="auto"/>
        </w:rPr>
        <w:t>　この要綱は、令和５年４月３日から施行する。</w:t>
      </w:r>
    </w:p>
    <w:p>
      <w:pPr>
        <w:pStyle w:val="0"/>
        <w:rPr>
          <w:rFonts w:hint="eastAsia"/>
        </w:rPr>
      </w:pPr>
    </w:p>
    <w:sectPr>
      <w:pgSz w:w="11906" w:h="16838"/>
      <w:pgMar w:top="1418" w:right="1361" w:bottom="1418" w:left="1361" w:header="851" w:footer="992" w:gutter="0"/>
      <w:cols w:space="720"/>
      <w:textDirection w:val="lrTb"/>
      <w:docGrid w:type="linesAndChars" w:linePitch="341" w:charSpace="-41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rawingGridHorizontalSpacing w:val="95"/>
  <w:drawingGridVerticalSpacing w:val="34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3"/>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1620" w:leftChars="543" w:hanging="480" w:hangingChars="200"/>
    </w:pPr>
    <w:rPr>
      <w:sz w:val="24"/>
    </w:rPr>
  </w:style>
  <w:style w:type="paragraph" w:styleId="16">
    <w:name w:val="Body Text Indent 2"/>
    <w:basedOn w:val="0"/>
    <w:next w:val="16"/>
    <w:link w:val="0"/>
    <w:uiPriority w:val="0"/>
    <w:pPr>
      <w:ind w:firstLine="240" w:firstLineChars="100"/>
    </w:pPr>
    <w:rPr>
      <w:sz w:val="24"/>
    </w:rPr>
  </w:style>
  <w:style w:type="paragraph" w:styleId="17">
    <w:name w:val="Body Text Indent 3"/>
    <w:basedOn w:val="0"/>
    <w:next w:val="17"/>
    <w:link w:val="0"/>
    <w:uiPriority w:val="0"/>
    <w:pPr>
      <w:ind w:left="718" w:leftChars="342" w:firstLine="240" w:firstLineChars="100"/>
    </w:pPr>
    <w:rPr>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3"/>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3"/>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297</TotalTime>
  <Pages>2</Pages>
  <Words>2</Words>
  <Characters>1641</Characters>
  <Application>JUST Note</Application>
  <Lines>76</Lines>
  <Paragraphs>47</Paragraphs>
  <CharactersWithSpaces>1704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「若者の学びなおしと自立支援事業」教育委員会連絡会設置要綱</dc:title>
  <dc:creator>高知県</dc:creator>
  <cp:lastModifiedBy>432942</cp:lastModifiedBy>
  <cp:lastPrinted>2023-04-20T03:19:29Z</cp:lastPrinted>
  <dcterms:created xsi:type="dcterms:W3CDTF">2017-03-15T02:50:00Z</dcterms:created>
  <dcterms:modified xsi:type="dcterms:W3CDTF">2023-04-24T09:17:18Z</dcterms:modified>
  <cp:revision>22</cp:revision>
</cp:coreProperties>
</file>