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600" w:lineRule="exact"/>
        <w:jc w:val="center"/>
        <w:rPr>
          <w:rFonts w:hint="default" w:ascii="ＭＳ 明朝" w:hAnsi="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5287645</wp:posOffset>
                </wp:positionH>
                <wp:positionV relativeFrom="paragraph">
                  <wp:posOffset>-366395</wp:posOffset>
                </wp:positionV>
                <wp:extent cx="611505" cy="285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11505" cy="2857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別記３</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8.85pt;mso-position-vertical-relative:text;mso-position-horizontal-relative:text;position:absolute;height:22.5pt;mso-wrap-distance-top:0pt;width:48.15pt;mso-wrap-distance-left:5.65pt;margin-left:416.3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別記３</w:t>
                      </w:r>
                    </w:p>
                  </w:txbxContent>
                </v:textbox>
                <v:imagedata o:title=""/>
                <w10:wrap type="none" anchorx="text" anchory="text"/>
              </v:shape>
            </w:pict>
          </mc:Fallback>
        </mc:AlternateContent>
      </w:r>
      <w:r>
        <w:rPr>
          <w:rFonts w:hint="eastAsia" w:ascii="ＭＳ 明朝" w:hAnsi="ＭＳ 明朝" w:eastAsia="ＭＳ ゴシック"/>
          <w:sz w:val="44"/>
        </w:rPr>
        <w:t>令和５年</w:t>
      </w:r>
    </w:p>
    <w:p>
      <w:pPr>
        <w:pStyle w:val="0"/>
        <w:adjustRightInd w:val="1"/>
        <w:spacing w:line="200" w:lineRule="exact"/>
        <w:rPr>
          <w:rFonts w:hint="default" w:ascii="ＭＳ 明朝" w:hAnsi="ＭＳ 明朝"/>
        </w:rPr>
      </w:pPr>
      <w:r>
        <w:rPr>
          <w:rFonts w:hint="eastAsia" w:ascii="ＭＳ 明朝" w:hAnsi="ＭＳ 明朝" w:eastAsia="ＭＳ ゴシック"/>
        </w:rPr>
        <w:t>　　　　　　　　　　　　　　</w:t>
      </w:r>
    </w:p>
    <w:p>
      <w:pPr>
        <w:pStyle w:val="0"/>
        <w:adjustRightInd w:val="1"/>
        <w:jc w:val="center"/>
        <w:rPr>
          <w:rFonts w:hint="default" w:ascii="ＭＳ 明朝" w:hAnsi="ＭＳ 明朝" w:eastAsia="ＭＳ ゴシック"/>
          <w:sz w:val="52"/>
        </w:rPr>
      </w:pPr>
      <w:r>
        <w:rPr>
          <w:rFonts w:hint="eastAsia" w:ascii="ＭＳ 明朝" w:hAnsi="ＭＳ 明朝" w:eastAsia="ＭＳ ゴシック"/>
          <w:sz w:val="52"/>
        </w:rPr>
        <w:t>秋の全国交通安全運動実施要綱</w:t>
      </w:r>
    </w:p>
    <w:p>
      <w:pPr>
        <w:pStyle w:val="0"/>
        <w:adjustRightInd w:val="1"/>
        <w:jc w:val="right"/>
        <w:rPr>
          <w:rFonts w:hint="default" w:ascii="ＭＳ 明朝" w:hAnsi="ＭＳ 明朝"/>
          <w:b w:val="1"/>
          <w:sz w:val="28"/>
        </w:rPr>
      </w:pPr>
      <w:r>
        <w:rPr>
          <w:rFonts w:hint="eastAsia" w:ascii="ＭＳ 明朝" w:hAnsi="ＭＳ 明朝" w:eastAsia="ＭＳ ゴシック"/>
          <w:b w:val="1"/>
          <w:sz w:val="28"/>
        </w:rPr>
        <w:t>高知県交通安全推進県民会議</w:t>
      </w:r>
    </w:p>
    <w:p>
      <w:pPr>
        <w:pStyle w:val="0"/>
        <w:adjustRightInd w:val="1"/>
        <w:spacing w:line="200" w:lineRule="exact"/>
        <w:rPr>
          <w:rFonts w:hint="default" w:ascii="ＭＳ 明朝" w:hAnsi="ＭＳ 明朝"/>
        </w:rPr>
      </w:pPr>
    </w:p>
    <w:p>
      <w:pPr>
        <w:pStyle w:val="0"/>
        <w:adjustRightInd w:val="1"/>
        <w:spacing w:line="440" w:lineRule="exact"/>
        <w:rPr>
          <w:rFonts w:hint="default" w:ascii="ＭＳ 明朝" w:hAnsi="ＭＳ 明朝"/>
        </w:rPr>
      </w:pPr>
      <w:r>
        <w:rPr>
          <w:rFonts w:hint="default"/>
        </w:rPr>
        <w:t xml:space="preserve">           </w:t>
      </w:r>
      <w:r>
        <w:rPr>
          <w:rFonts w:hint="default"/>
          <w:sz w:val="28"/>
        </w:rPr>
        <w:t xml:space="preserve"> </w:t>
      </w:r>
      <w:r>
        <w:rPr>
          <w:rFonts w:hint="eastAsia" w:ascii="ＭＳ ゴシック" w:hAnsi="ＭＳ ゴシック" w:eastAsia="ＭＳ ゴシック"/>
          <w:sz w:val="28"/>
        </w:rPr>
        <w:t>実施期間　　</w:t>
      </w:r>
      <w:r>
        <w:rPr>
          <w:rFonts w:hint="eastAsia" w:ascii="ＭＳ ゴシック" w:hAnsi="ＭＳ ゴシック" w:eastAsia="ＭＳ ゴシック"/>
          <w:sz w:val="28"/>
          <w:u w:val="single" w:color="auto"/>
        </w:rPr>
        <w:t>９月</w:t>
      </w:r>
      <w:r>
        <w:rPr>
          <w:rFonts w:hint="eastAsia" w:ascii="ＭＳ ゴシック" w:hAnsi="ＭＳ ゴシック" w:eastAsia="ＭＳ ゴシック"/>
          <w:sz w:val="28"/>
          <w:u w:val="single" w:color="auto"/>
        </w:rPr>
        <w:t>21</w:t>
      </w:r>
      <w:r>
        <w:rPr>
          <w:rFonts w:hint="eastAsia" w:ascii="ＭＳ ゴシック" w:hAnsi="ＭＳ ゴシック" w:eastAsia="ＭＳ ゴシック"/>
          <w:sz w:val="28"/>
          <w:u w:val="single" w:color="auto"/>
        </w:rPr>
        <w:t>日（木）～　９月</w:t>
      </w:r>
      <w:r>
        <w:rPr>
          <w:rFonts w:hint="eastAsia" w:ascii="ＭＳ ゴシック" w:hAnsi="ＭＳ ゴシック" w:eastAsia="ＭＳ ゴシック"/>
          <w:sz w:val="28"/>
          <w:u w:val="single" w:color="auto"/>
        </w:rPr>
        <w:t>30</w:t>
      </w:r>
      <w:r>
        <w:rPr>
          <w:rFonts w:hint="eastAsia" w:ascii="ＭＳ ゴシック" w:hAnsi="ＭＳ ゴシック" w:eastAsia="ＭＳ ゴシック"/>
          <w:sz w:val="28"/>
          <w:u w:val="single" w:color="auto"/>
        </w:rPr>
        <w:t>日（土）</w:t>
      </w:r>
    </w:p>
    <w:p>
      <w:pPr>
        <w:pStyle w:val="0"/>
        <w:adjustRightInd w:val="1"/>
        <w:rPr>
          <w:rFonts w:hint="default" w:ascii="ＭＳ 明朝" w:hAnsi="ＭＳ 明朝"/>
        </w:rPr>
      </w:pPr>
    </w:p>
    <w:p>
      <w:pPr>
        <w:pStyle w:val="0"/>
        <w:adjustRightInd w:val="1"/>
        <w:spacing w:line="440" w:lineRule="exact"/>
        <w:rPr>
          <w:rFonts w:hint="default" w:ascii="ＭＳ 明朝" w:hAnsi="ＭＳ 明朝"/>
        </w:rPr>
      </w:pPr>
      <w:r>
        <w:rPr>
          <w:rFonts w:hint="eastAsia" w:ascii="ＭＳ 明朝" w:hAnsi="ＭＳ 明朝" w:eastAsia="ＭＳ ゴシック"/>
          <w:sz w:val="28"/>
        </w:rPr>
        <w:t>【重点目標】</w:t>
      </w:r>
    </w:p>
    <w:p>
      <w:pPr>
        <w:pStyle w:val="0"/>
        <w:adjustRightInd w:val="1"/>
        <w:rPr>
          <w:rFonts w:hint="default"/>
          <w:b w:val="1"/>
          <w:sz w:val="28"/>
        </w:rPr>
      </w:pPr>
      <w:r>
        <w:rPr>
          <w:rFonts w:hint="eastAsia"/>
          <w:b w:val="1"/>
          <w:sz w:val="28"/>
        </w:rPr>
        <w:t>　１</w:t>
      </w:r>
      <w:r>
        <w:rPr>
          <w:rFonts w:hint="eastAsia"/>
          <w:b w:val="1"/>
          <w:sz w:val="28"/>
        </w:rPr>
        <w:t xml:space="preserve"> </w:t>
      </w:r>
      <w:r>
        <w:rPr>
          <w:rFonts w:hint="eastAsia"/>
          <w:b w:val="1"/>
          <w:sz w:val="28"/>
        </w:rPr>
        <w:t>こどもと高齢者を始めとする歩行者の安全の確保</w:t>
      </w:r>
    </w:p>
    <w:p>
      <w:pPr>
        <w:pStyle w:val="0"/>
        <w:adjustRightInd w:val="1"/>
        <w:ind w:firstLine="552" w:firstLineChars="200"/>
        <w:rPr>
          <w:rFonts w:hint="default"/>
          <w:b w:val="1"/>
          <w:sz w:val="28"/>
        </w:rPr>
      </w:pPr>
    </w:p>
    <w:p>
      <w:pPr>
        <w:pStyle w:val="0"/>
        <w:adjustRightInd w:val="1"/>
        <w:ind w:firstLine="276" w:firstLineChars="100"/>
        <w:rPr>
          <w:rFonts w:hint="default"/>
          <w:b w:val="1"/>
          <w:sz w:val="28"/>
        </w:rPr>
      </w:pPr>
      <w:r>
        <w:rPr>
          <w:rFonts w:hint="eastAsia"/>
          <w:b w:val="1"/>
          <w:sz w:val="28"/>
        </w:rPr>
        <w:t>２</w:t>
      </w:r>
      <w:r>
        <w:rPr>
          <w:rFonts w:hint="eastAsia"/>
          <w:b w:val="1"/>
          <w:sz w:val="28"/>
        </w:rPr>
        <w:t xml:space="preserve"> </w:t>
      </w:r>
      <w:r>
        <w:rPr>
          <w:rFonts w:hint="eastAsia"/>
          <w:b w:val="1"/>
          <w:sz w:val="28"/>
        </w:rPr>
        <w:t>夕暮れ時と夜間の交通事故防止及び飲酒運転等の根絶</w:t>
      </w:r>
    </w:p>
    <w:p>
      <w:pPr>
        <w:pStyle w:val="0"/>
        <w:adjustRightInd w:val="1"/>
        <w:rPr>
          <w:rFonts w:hint="default"/>
          <w:b w:val="1"/>
          <w:sz w:val="28"/>
        </w:rPr>
      </w:pPr>
      <w:r>
        <w:rPr>
          <w:rFonts w:hint="eastAsia"/>
          <w:b w:val="1"/>
          <w:sz w:val="28"/>
        </w:rPr>
        <w:t>　</w:t>
      </w:r>
    </w:p>
    <w:p>
      <w:pPr>
        <w:pStyle w:val="0"/>
        <w:adjustRightInd w:val="1"/>
        <w:ind w:firstLine="276" w:firstLineChars="100"/>
        <w:rPr>
          <w:rFonts w:hint="default" w:ascii="ＭＳ 明朝" w:hAnsi="ＭＳ 明朝"/>
        </w:rPr>
      </w:pPr>
      <w:r>
        <w:rPr>
          <w:rFonts w:hint="eastAsia"/>
          <w:b w:val="1"/>
          <w:sz w:val="28"/>
        </w:rPr>
        <w:t>３</w:t>
      </w:r>
      <w:r>
        <w:rPr>
          <w:rFonts w:hint="eastAsia"/>
          <w:b w:val="1"/>
          <w:sz w:val="28"/>
        </w:rPr>
        <w:t xml:space="preserve"> </w:t>
      </w:r>
      <w:r>
        <w:rPr>
          <w:rFonts w:hint="eastAsia"/>
          <w:b w:val="1"/>
          <w:sz w:val="28"/>
        </w:rPr>
        <w:t>自転車等のヘルメット着用と交通ルール遵守の徹底</w:t>
      </w:r>
    </w:p>
    <w:p>
      <w:pPr>
        <w:pStyle w:val="0"/>
        <w:adjustRightInd w:val="1"/>
        <w:rPr>
          <w:rFonts w:hint="default" w:ascii="ＭＳ 明朝" w:hAnsi="ＭＳ 明朝"/>
        </w:rPr>
      </w:pPr>
    </w:p>
    <w:p>
      <w:pPr>
        <w:pStyle w:val="0"/>
        <w:adjustRightInd w:val="1"/>
        <w:spacing w:line="266" w:lineRule="exact"/>
        <w:rPr>
          <w:rFonts w:hint="default" w:ascii="ＭＳ 明朝" w:hAnsi="ＭＳ 明朝"/>
        </w:rPr>
      </w:pPr>
    </w:p>
    <w:p>
      <w:pPr>
        <w:pStyle w:val="0"/>
        <w:adjustRightInd w:val="1"/>
        <w:rPr>
          <w:rFonts w:hint="default" w:ascii="ＭＳ 明朝" w:hAnsi="ＭＳ 明朝"/>
        </w:rPr>
      </w:pPr>
      <w:r>
        <w:rPr>
          <w:rFonts w:hint="eastAsia" w:ascii="ＭＳ 明朝" w:hAnsi="ＭＳ 明朝" w:eastAsia="ＭＳ ゴシック"/>
        </w:rPr>
        <w:t>　《運動の目的》</w:t>
      </w:r>
    </w:p>
    <w:p>
      <w:pPr>
        <w:pStyle w:val="0"/>
        <w:adjustRightInd w:val="1"/>
        <w:ind w:left="470" w:hanging="470" w:hangingChars="200"/>
        <w:rPr>
          <w:rFonts w:hint="default" w:ascii="ＭＳ 明朝" w:hAnsi="ＭＳ 明朝"/>
        </w:rPr>
      </w:pPr>
      <w:r>
        <w:rPr>
          <w:rFonts w:hint="eastAsia"/>
        </w:rPr>
        <w:t>　　　この運動は、県民一人一人が交通安全に対する意識を高め、交通ルールを守り、交通マナーの向上に努めるとともに、安全で安心な人にやさしい交通環境の改善に向</w:t>
      </w:r>
      <w:bookmarkStart w:id="0" w:name="_GoBack"/>
      <w:bookmarkEnd w:id="0"/>
      <w:r>
        <w:rPr>
          <w:rFonts w:hint="eastAsia"/>
        </w:rPr>
        <w:t>けた取組を推進することにより、交通事故を防止することを目的とします。</w:t>
      </w:r>
    </w:p>
    <w:p>
      <w:pPr>
        <w:pStyle w:val="0"/>
        <w:adjustRightInd w:val="1"/>
        <w:rPr>
          <w:rFonts w:hint="default" w:ascii="ＭＳ 明朝" w:hAnsi="ＭＳ 明朝"/>
        </w:rPr>
      </w:pPr>
    </w:p>
    <w:p>
      <w:pPr>
        <w:pStyle w:val="0"/>
        <w:adjustRightInd w:val="1"/>
        <w:rPr>
          <w:rFonts w:hint="default" w:ascii="ＭＳ 明朝" w:hAnsi="ＭＳ 明朝"/>
        </w:rPr>
      </w:pPr>
      <w:r>
        <w:rPr>
          <w:rFonts w:hint="eastAsia" w:ascii="ＭＳ 明朝" w:hAnsi="ＭＳ 明朝" w:eastAsia="ＭＳ ゴシック"/>
        </w:rPr>
        <w:t>　《運動の進め方》</w:t>
      </w:r>
    </w:p>
    <w:p>
      <w:pPr>
        <w:pStyle w:val="0"/>
        <w:adjustRightInd w:val="1"/>
        <w:ind w:left="470" w:hanging="470" w:hangingChars="200"/>
        <w:rPr>
          <w:rFonts w:hint="default" w:ascii="ＭＳ 明朝" w:hAnsi="ＭＳ 明朝"/>
        </w:rPr>
      </w:pPr>
      <w:r>
        <w:rPr>
          <w:rFonts w:hint="default"/>
        </w:rPr>
        <w:t xml:space="preserve">  </w:t>
      </w:r>
      <w:r>
        <w:rPr>
          <w:rFonts w:hint="eastAsia"/>
        </w:rPr>
        <w:t>　</w:t>
      </w:r>
      <w:r>
        <w:rPr>
          <w:rFonts w:hint="default"/>
        </w:rPr>
        <w:t xml:space="preserve">  </w:t>
      </w:r>
      <w:r>
        <w:rPr>
          <w:rFonts w:hint="eastAsia"/>
        </w:rPr>
        <w:t>関係機関・団体は、相互の連携を密にして、地域の実情に応じた実効性のある運動、　</w:t>
      </w:r>
      <w:r>
        <w:rPr>
          <w:rFonts w:hint="default"/>
        </w:rPr>
        <w:t xml:space="preserve">  </w:t>
      </w:r>
      <w:r>
        <w:rPr>
          <w:rFonts w:hint="eastAsia"/>
        </w:rPr>
        <w:t>住民参加型の運動を実施するとともに、その効果が本運動終了後も持続できるように　</w:t>
      </w:r>
      <w:r>
        <w:rPr>
          <w:rFonts w:hint="default"/>
        </w:rPr>
        <w:t xml:space="preserve">  </w:t>
      </w:r>
      <w:r>
        <w:rPr>
          <w:rFonts w:hint="eastAsia"/>
        </w:rPr>
        <w:t>努めます。</w:t>
      </w:r>
    </w:p>
    <w:p>
      <w:pPr>
        <w:pStyle w:val="0"/>
        <w:adjustRightInd w:val="1"/>
        <w:ind w:left="470" w:hanging="470" w:hangingChars="200"/>
        <w:rPr>
          <w:rFonts w:hint="default" w:ascii="ＭＳ 明朝" w:hAnsi="ＭＳ 明朝"/>
        </w:rPr>
      </w:pPr>
      <w:r>
        <w:rPr>
          <w:rFonts w:hint="eastAsia"/>
        </w:rPr>
        <w:t>　</w:t>
      </w:r>
      <w:r>
        <w:rPr>
          <w:rFonts w:hint="default"/>
        </w:rPr>
        <w:t xml:space="preserve">  </w:t>
      </w:r>
      <w:r>
        <w:rPr>
          <w:rFonts w:hint="eastAsia"/>
        </w:rPr>
        <w:t>　また、各種広報啓発活動を通じて、この運動が県民総ぐるみの運動として、幅広い</w:t>
      </w:r>
      <w:r>
        <w:rPr>
          <w:rFonts w:hint="default"/>
        </w:rPr>
        <w:t xml:space="preserve">    </w:t>
      </w:r>
      <w:r>
        <w:rPr>
          <w:rFonts w:hint="eastAsia"/>
        </w:rPr>
        <w:t>層に浸透し、実践されるように努めます。</w:t>
      </w:r>
    </w:p>
    <w:p>
      <w:pPr>
        <w:pStyle w:val="0"/>
        <w:adjustRightInd w:val="1"/>
        <w:ind w:left="470" w:hanging="470" w:hangingChars="200"/>
        <w:rPr>
          <w:rFonts w:hint="default" w:ascii="ＭＳ 明朝" w:hAnsi="ＭＳ 明朝"/>
        </w:rPr>
      </w:pPr>
    </w:p>
    <w:p>
      <w:pPr>
        <w:pStyle w:val="0"/>
        <w:adjustRightInd w:val="1"/>
        <w:ind w:left="470" w:hanging="470" w:hangingChars="200"/>
        <w:rPr>
          <w:rFonts w:hint="default" w:ascii="ＭＳ 明朝" w:hAnsi="ＭＳ 明朝"/>
        </w:rPr>
        <w:sectPr>
          <w:headerReference r:id="rId5" w:type="default"/>
          <w:footerReference r:id="rId6" w:type="default"/>
          <w:type w:val="continuous"/>
          <w:pgSz w:w="11906" w:h="16838"/>
          <w:pgMar w:top="1588" w:right="1134" w:bottom="1248" w:left="1134" w:header="720" w:footer="720" w:gutter="0"/>
          <w:pgNumType w:start="13"/>
          <w:cols w:space="720"/>
          <w:noEndnote w:val="1"/>
          <w:titlePg w:val="1"/>
          <w:textDirection w:val="lrTb"/>
          <w:docGrid w:type="linesAndChars" w:linePitch="399" w:charSpace="-1010"/>
        </w:sectPr>
      </w:pPr>
      <w:r>
        <w:rPr>
          <w:rFonts w:hint="eastAsia"/>
        </w:rPr>
        <w:t xml:space="preserve">  </w:t>
      </w:r>
    </w:p>
    <w:tbl>
      <w:tblPr>
        <w:tblStyle w:val="24"/>
        <w:tblpPr w:leftFromText="0" w:rightFromText="0" w:topFromText="0" w:bottomFromText="0" w:vertAnchor="text" w:horzAnchor="margin" w:tblpX="-297" w:tblpY="-410"/>
        <w:tblOverlap w:val="never"/>
        <w:tblW w:w="10395"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firstRow="1" w:lastRow="0" w:firstColumn="1" w:lastColumn="0" w:noHBand="0" w:noVBand="1" w:val="04A0"/>
      </w:tblPr>
      <w:tblGrid>
        <w:gridCol w:w="525"/>
        <w:gridCol w:w="705"/>
        <w:gridCol w:w="3006"/>
        <w:gridCol w:w="3104"/>
        <w:gridCol w:w="3055"/>
      </w:tblGrid>
      <w:tr>
        <w:trPr>
          <w:trHeight w:val="806" w:hRule="atLeast"/>
        </w:trPr>
        <w:tc>
          <w:tcPr>
            <w:tcW w:w="1230" w:type="dxa"/>
            <w:gridSpan w:val="2"/>
            <w:vMerge w:val="restart"/>
            <w:tcBorders>
              <w:top w:val="single" w:color="000000" w:themeColor="text1" w:sz="8" w:space="0"/>
              <w:left w:val="single" w:color="000000" w:themeColor="text1" w:sz="8" w:space="0"/>
              <w:bottom w:val="nil"/>
              <w:right w:val="single" w:color="000000" w:themeColor="text1" w:sz="8" w:space="0"/>
              <w:tl2br w:val="single" w:color="000000" w:themeColor="text1" w:sz="8" w:space="0"/>
              <w:tr2bl w:val="nil"/>
            </w:tcBorders>
            <w:vAlign w:val="center"/>
          </w:tcPr>
          <w:p>
            <w:pPr>
              <w:pStyle w:val="0"/>
              <w:jc w:val="center"/>
              <w:rPr>
                <w:rFonts w:hint="eastAsia"/>
              </w:rPr>
            </w:pPr>
          </w:p>
        </w:tc>
        <w:tc>
          <w:tcPr>
            <w:tcW w:w="9165" w:type="dxa"/>
            <w:gridSpan w:val="3"/>
            <w:tcBorders>
              <w:top w:val="none" w:color="auto" w:sz="0" w:space="0"/>
              <w:left w:val="single" w:color="000000" w:themeColor="text1" w:sz="8" w:space="0"/>
              <w:bottom w:val="none" w:color="auto" w:sz="0" w:space="0"/>
              <w:right w:val="none" w:color="auto" w:sz="0" w:space="0"/>
              <w:tl2br w:val="nil"/>
              <w:tr2bl w:val="nil"/>
            </w:tcBorders>
            <w:vAlign w:val="center"/>
          </w:tcPr>
          <w:p>
            <w:pPr>
              <w:pStyle w:val="0"/>
              <w:tabs>
                <w:tab w:val="left" w:leader="none" w:pos="5841"/>
              </w:tabs>
              <w:ind w:right="2141" w:rightChars="892"/>
              <w:jc w:val="center"/>
              <w:rPr>
                <w:rFonts w:hint="eastAsia"/>
                <w:b w:val="1"/>
                <w:color w:val="000000" w:themeColor="text1"/>
                <w:sz w:val="22"/>
              </w:rPr>
            </w:pPr>
            <w:r>
              <w:rPr>
                <w:rFonts w:hint="eastAsia"/>
                <w:b w:val="1"/>
                <w:color w:val="000000" w:themeColor="text1"/>
                <w:sz w:val="22"/>
              </w:rPr>
              <w:t>　　</w:t>
            </w:r>
            <w:r>
              <w:rPr>
                <w:rFonts w:hint="eastAsia"/>
                <w:b w:val="1"/>
                <w:color w:val="000000" w:themeColor="text1"/>
                <w:sz w:val="24"/>
              </w:rPr>
              <w:t>　　　</w:t>
            </w:r>
            <w:r>
              <w:rPr>
                <w:rFonts w:hint="eastAsia"/>
                <w:b w:val="1"/>
                <w:color w:val="000000" w:themeColor="text1"/>
                <w:sz w:val="28"/>
              </w:rPr>
              <w:t>　重　　　点　　　目　　　標　　　</w:t>
            </w:r>
            <w:r>
              <w:rPr>
                <w:rFonts w:hint="eastAsia"/>
                <w:b w:val="1"/>
                <w:color w:val="000000" w:themeColor="text1"/>
                <w:sz w:val="24"/>
              </w:rPr>
              <w:t>　　　</w:t>
            </w:r>
            <w:r>
              <w:rPr>
                <w:rFonts w:hint="eastAsia"/>
                <w:b w:val="1"/>
                <w:color w:val="000000" w:themeColor="text1"/>
                <w:sz w:val="22"/>
              </w:rPr>
              <w:t>　　　　　　　　　　</w:t>
            </w:r>
          </w:p>
        </w:tc>
      </w:tr>
      <w:tr>
        <w:trPr>
          <w:trHeight w:val="1070" w:hRule="atLeast"/>
        </w:trPr>
        <w:tc>
          <w:tcPr>
            <w:tcW w:w="1230" w:type="dxa"/>
            <w:gridSpan w:val="2"/>
            <w:vMerge w:val="continue"/>
            <w:tcBorders>
              <w:top w:val="nil"/>
              <w:left w:val="single" w:color="000000" w:themeColor="text1" w:sz="8" w:space="0"/>
              <w:bottom w:val="single" w:color="000000" w:themeColor="text1" w:sz="8" w:space="0"/>
              <w:right w:val="single" w:color="000000" w:themeColor="text1" w:sz="8" w:space="0"/>
              <w:tl2br w:val="single" w:color="000000" w:themeColor="text1" w:sz="8" w:space="0"/>
              <w:tr2bl w:val="nil"/>
            </w:tcBorders>
            <w:vAlign w:val="center"/>
          </w:tcPr>
          <w:p>
            <w:pPr>
              <w:pStyle w:val="0"/>
              <w:rPr>
                <w:rFonts w:hint="eastAsia"/>
              </w:rPr>
            </w:pPr>
          </w:p>
        </w:tc>
        <w:tc>
          <w:tcPr>
            <w:tcW w:w="3006" w:type="dxa"/>
            <w:tcBorders>
              <w:top w:val="none" w:color="auto" w:sz="0" w:space="0"/>
              <w:left w:val="single" w:color="000000" w:themeColor="text1" w:sz="8" w:space="0"/>
              <w:bottom w:val="none" w:color="auto" w:sz="0" w:space="0"/>
              <w:right w:val="none" w:color="auto" w:sz="0" w:space="0"/>
              <w:tl2br w:val="nil"/>
              <w:tr2bl w:val="nil"/>
            </w:tcBorders>
            <w:vAlign w:val="center"/>
          </w:tcPr>
          <w:p>
            <w:pPr>
              <w:pStyle w:val="0"/>
              <w:jc w:val="center"/>
              <w:rPr>
                <w:rFonts w:hint="eastAsia"/>
                <w:b w:val="1"/>
                <w:color w:val="000000" w:themeColor="text1"/>
                <w:sz w:val="22"/>
              </w:rPr>
            </w:pPr>
            <w:r>
              <w:rPr>
                <w:rFonts w:hint="eastAsia"/>
                <w:b w:val="1"/>
                <w:color w:val="000000" w:themeColor="text1"/>
                <w:spacing w:val="0"/>
                <w:w w:val="95"/>
                <w:sz w:val="22"/>
                <w:fitText w:val="2750" w:id="1"/>
              </w:rPr>
              <w:t>こどもと高齢者を始めとす</w:t>
            </w:r>
            <w:r>
              <w:rPr>
                <w:rFonts w:hint="eastAsia"/>
                <w:b w:val="1"/>
                <w:color w:val="000000" w:themeColor="text1"/>
                <w:spacing w:val="6"/>
                <w:w w:val="95"/>
                <w:sz w:val="22"/>
                <w:fitText w:val="2750" w:id="1"/>
              </w:rPr>
              <w:t>る</w:t>
            </w:r>
          </w:p>
          <w:p>
            <w:pPr>
              <w:pStyle w:val="0"/>
              <w:jc w:val="center"/>
              <w:rPr>
                <w:rFonts w:hint="eastAsia"/>
                <w:b w:val="1"/>
                <w:color w:val="000000" w:themeColor="text1"/>
                <w:sz w:val="22"/>
              </w:rPr>
            </w:pPr>
            <w:r>
              <w:rPr>
                <w:rFonts w:hint="eastAsia"/>
                <w:b w:val="1"/>
                <w:color w:val="000000" w:themeColor="text1"/>
                <w:sz w:val="22"/>
              </w:rPr>
              <w:t>歩行者の安全の確保</w:t>
            </w:r>
          </w:p>
        </w:tc>
        <w:tc>
          <w:tcPr>
            <w:tcW w:w="310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b w:val="1"/>
                <w:color w:val="000000" w:themeColor="text1"/>
                <w:sz w:val="22"/>
              </w:rPr>
            </w:pPr>
            <w:r>
              <w:rPr>
                <w:rFonts w:hint="eastAsia"/>
                <w:b w:val="1"/>
                <w:color w:val="000000" w:themeColor="text1"/>
                <w:spacing w:val="0"/>
                <w:w w:val="96"/>
                <w:sz w:val="22"/>
                <w:fitText w:val="2988" w:id="2"/>
              </w:rPr>
              <w:t>夕暮れ時と夜間の交通事故防</w:t>
            </w:r>
            <w:r>
              <w:rPr>
                <w:rFonts w:hint="eastAsia"/>
                <w:b w:val="1"/>
                <w:color w:val="000000" w:themeColor="text1"/>
                <w:spacing w:val="8"/>
                <w:w w:val="96"/>
                <w:sz w:val="22"/>
                <w:fitText w:val="2988" w:id="2"/>
              </w:rPr>
              <w:t>止</w:t>
            </w:r>
            <w:r>
              <w:rPr>
                <w:rFonts w:hint="eastAsia"/>
                <w:b w:val="1"/>
                <w:color w:val="000000" w:themeColor="text1"/>
                <w:sz w:val="22"/>
              </w:rPr>
              <w:t>及び飲酒運転等の根絶</w:t>
            </w:r>
          </w:p>
        </w:tc>
        <w:tc>
          <w:tcPr>
            <w:tcW w:w="3055"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b w:val="1"/>
                <w:color w:val="000000" w:themeColor="text1"/>
                <w:sz w:val="22"/>
              </w:rPr>
            </w:pPr>
            <w:r>
              <w:rPr>
                <w:rFonts w:hint="eastAsia"/>
                <w:b w:val="1"/>
                <w:color w:val="000000" w:themeColor="text1"/>
                <w:sz w:val="22"/>
              </w:rPr>
              <w:t>自転車等のヘルメット着用と交通ルール遵守の徹底</w:t>
            </w:r>
          </w:p>
        </w:tc>
      </w:tr>
      <w:tr>
        <w:trPr>
          <w:trHeight w:val="4875" w:hRule="atLeast"/>
        </w:trPr>
        <w:tc>
          <w:tcPr>
            <w:tcW w:w="525" w:type="dxa"/>
            <w:vMerge w:val="restart"/>
            <w:tcBorders>
              <w:top w:val="single" w:color="000000" w:themeColor="text1" w:sz="8" w:space="0"/>
              <w:left w:val="none" w:color="auto" w:sz="0" w:space="0"/>
              <w:bottom w:val="none" w:color="auto" w:sz="0" w:space="0"/>
              <w:right w:val="none" w:color="auto" w:sz="0" w:space="0"/>
              <w:tl2br w:val="nil"/>
              <w:tr2bl w:val="nil"/>
            </w:tcBorders>
            <w:vAlign w:val="center"/>
          </w:tcPr>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r>
              <w:rPr>
                <w:rFonts w:hint="eastAsia" w:asciiTheme="minorEastAsia" w:hAnsiTheme="minorEastAsia" w:eastAsiaTheme="minorEastAsia"/>
                <w:b w:val="1"/>
                <w:color w:val="000000" w:themeColor="text1"/>
                <w:sz w:val="28"/>
              </w:rPr>
              <w:t>実</w:t>
            </w:r>
          </w:p>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p>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p>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p>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p>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p>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r>
              <w:rPr>
                <w:rFonts w:hint="eastAsia" w:asciiTheme="minorEastAsia" w:hAnsiTheme="minorEastAsia" w:eastAsiaTheme="minorEastAsia"/>
                <w:b w:val="1"/>
                <w:color w:val="000000" w:themeColor="text1"/>
                <w:sz w:val="28"/>
              </w:rPr>
              <w:t>施</w:t>
            </w:r>
          </w:p>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p>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p>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p>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p>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p>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r>
              <w:rPr>
                <w:rFonts w:hint="eastAsia" w:asciiTheme="minorEastAsia" w:hAnsiTheme="minorEastAsia" w:eastAsiaTheme="minorEastAsia"/>
                <w:b w:val="1"/>
                <w:color w:val="000000" w:themeColor="text1"/>
                <w:sz w:val="28"/>
              </w:rPr>
              <w:t>事</w:t>
            </w:r>
          </w:p>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p>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p>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p>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p>
          <w:p>
            <w:pPr>
              <w:pStyle w:val="0"/>
              <w:widowControl w:val="1"/>
              <w:overflowPunct w:val="1"/>
              <w:adjustRightInd w:val="1"/>
              <w:jc w:val="distribute"/>
              <w:textAlignment w:val="auto"/>
              <w:rPr>
                <w:rFonts w:hint="eastAsia" w:asciiTheme="minorEastAsia" w:hAnsiTheme="minorEastAsia" w:eastAsiaTheme="minorEastAsia"/>
                <w:b w:val="1"/>
                <w:color w:val="000000" w:themeColor="text1"/>
                <w:sz w:val="28"/>
              </w:rPr>
            </w:pPr>
          </w:p>
          <w:p>
            <w:pPr>
              <w:pStyle w:val="0"/>
              <w:widowControl w:val="1"/>
              <w:overflowPunct w:val="1"/>
              <w:adjustRightInd w:val="1"/>
              <w:jc w:val="distribute"/>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b w:val="1"/>
                <w:color w:val="000000" w:themeColor="text1"/>
                <w:sz w:val="28"/>
              </w:rPr>
              <w:t>項</w:t>
            </w:r>
          </w:p>
        </w:tc>
        <w:tc>
          <w:tcPr>
            <w:tcW w:w="705" w:type="dxa"/>
            <w:tcBorders>
              <w:top w:val="single" w:color="000000" w:themeColor="text1" w:sz="8" w:space="0"/>
              <w:left w:val="none" w:color="auto" w:sz="0" w:space="0"/>
              <w:bottom w:val="none" w:color="auto" w:sz="0" w:space="0"/>
              <w:right w:val="none" w:color="auto" w:sz="0" w:space="0"/>
              <w:tl2br w:val="nil"/>
              <w:tr2bl w:val="nil"/>
            </w:tcBorders>
            <w:vAlign w:val="center"/>
          </w:tcPr>
          <w:p>
            <w:pPr>
              <w:pStyle w:val="0"/>
              <w:jc w:val="center"/>
              <w:rPr>
                <w:rFonts w:hint="eastAsia"/>
                <w:b w:val="1"/>
                <w:color w:val="000000" w:themeColor="text1"/>
                <w:sz w:val="24"/>
              </w:rPr>
            </w:pPr>
            <w:r>
              <w:rPr>
                <w:rFonts w:hint="eastAsia"/>
                <w:b w:val="1"/>
                <w:color w:val="000000" w:themeColor="text1"/>
                <w:sz w:val="24"/>
              </w:rPr>
              <w:t>運</w:t>
            </w:r>
          </w:p>
          <w:p>
            <w:pPr>
              <w:pStyle w:val="0"/>
              <w:jc w:val="center"/>
              <w:rPr>
                <w:rFonts w:hint="eastAsia"/>
                <w:b w:val="1"/>
                <w:color w:val="000000" w:themeColor="text1"/>
                <w:sz w:val="24"/>
              </w:rPr>
            </w:pPr>
            <w:r>
              <w:rPr>
                <w:rFonts w:hint="eastAsia"/>
                <w:b w:val="1"/>
                <w:color w:val="000000" w:themeColor="text1"/>
                <w:sz w:val="24"/>
              </w:rPr>
              <w:t>転</w:t>
            </w:r>
          </w:p>
          <w:p>
            <w:pPr>
              <w:pStyle w:val="0"/>
              <w:jc w:val="center"/>
              <w:rPr>
                <w:rFonts w:hint="eastAsia"/>
                <w:b w:val="1"/>
                <w:color w:val="000000" w:themeColor="text1"/>
                <w:sz w:val="28"/>
              </w:rPr>
            </w:pPr>
            <w:r>
              <w:rPr>
                <w:rFonts w:hint="eastAsia"/>
                <w:b w:val="1"/>
                <w:color w:val="000000" w:themeColor="text1"/>
                <w:sz w:val="24"/>
              </w:rPr>
              <w:t>者</w:t>
            </w:r>
          </w:p>
          <w:p>
            <w:pPr>
              <w:pStyle w:val="0"/>
              <w:jc w:val="center"/>
              <w:rPr>
                <w:rFonts w:hint="eastAsia"/>
                <w:b w:val="1"/>
                <w:color w:val="000000" w:themeColor="text1"/>
                <w:sz w:val="28"/>
              </w:rPr>
            </w:pPr>
            <w:r>
              <w:rPr>
                <w:rFonts w:hint="eastAsia"/>
                <w:b w:val="1"/>
                <w:color w:val="000000" w:themeColor="text1"/>
                <w:sz w:val="28"/>
              </w:rPr>
              <w:t>・</w:t>
            </w:r>
          </w:p>
          <w:p>
            <w:pPr>
              <w:pStyle w:val="0"/>
              <w:jc w:val="center"/>
              <w:rPr>
                <w:rFonts w:hint="eastAsia"/>
                <w:b w:val="1"/>
                <w:color w:val="000000" w:themeColor="text1"/>
                <w:sz w:val="24"/>
              </w:rPr>
            </w:pPr>
            <w:r>
              <w:rPr>
                <w:rFonts w:hint="eastAsia"/>
                <w:b w:val="1"/>
                <w:color w:val="000000" w:themeColor="text1"/>
                <w:sz w:val="24"/>
              </w:rPr>
              <w:t>家</w:t>
            </w:r>
          </w:p>
          <w:p>
            <w:pPr>
              <w:pStyle w:val="0"/>
              <w:jc w:val="center"/>
              <w:rPr>
                <w:rFonts w:hint="eastAsia"/>
                <w:b w:val="1"/>
                <w:color w:val="000000" w:themeColor="text1"/>
                <w:sz w:val="22"/>
              </w:rPr>
            </w:pPr>
            <w:r>
              <w:rPr>
                <w:rFonts w:hint="eastAsia"/>
                <w:b w:val="1"/>
                <w:color w:val="000000" w:themeColor="text1"/>
                <w:sz w:val="24"/>
              </w:rPr>
              <w:t>庭</w:t>
            </w:r>
          </w:p>
          <w:p>
            <w:pPr>
              <w:pStyle w:val="0"/>
              <w:rPr>
                <w:rFonts w:hint="eastAsia"/>
                <w:b w:val="1"/>
                <w:color w:val="000000" w:themeColor="text1"/>
                <w:sz w:val="24"/>
              </w:rPr>
            </w:pPr>
          </w:p>
        </w:tc>
        <w:tc>
          <w:tcPr>
            <w:tcW w:w="3006" w:type="dxa"/>
            <w:tcBorders>
              <w:top w:val="none" w:color="auto" w:sz="0" w:space="0"/>
              <w:left w:val="none" w:color="auto" w:sz="0" w:space="0"/>
              <w:bottom w:val="none" w:color="auto" w:sz="0" w:space="0"/>
              <w:right w:val="none" w:color="auto" w:sz="0" w:space="0"/>
              <w:tl2br w:val="nil"/>
              <w:tr2bl w:val="nil"/>
            </w:tcBorders>
            <w:vAlign w:val="top"/>
          </w:tcPr>
          <w:p>
            <w:pPr>
              <w:pStyle w:val="0"/>
              <w:widowControl w:val="1"/>
              <w:overflowPunct w:val="1"/>
              <w:adjustRightInd w:val="1"/>
              <w:spacing w:line="270" w:lineRule="exact"/>
              <w:ind w:firstLine="240" w:firstLineChars="100"/>
              <w:jc w:val="both"/>
              <w:textAlignment w:val="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運転者は、こどもと高齢者を始めとする「交通弱者」に対して、思いやりのある運転を心がける。</w:t>
            </w:r>
          </w:p>
          <w:p>
            <w:pPr>
              <w:pStyle w:val="0"/>
              <w:widowControl w:val="1"/>
              <w:overflowPunct w:val="1"/>
              <w:adjustRightInd w:val="1"/>
              <w:spacing w:line="270" w:lineRule="exact"/>
              <w:ind w:firstLine="240" w:firstLineChars="100"/>
              <w:jc w:val="both"/>
              <w:textAlignment w:val="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歩行者は、信号機のある横断歩道を横断する時は、信号に従い横断歩道を渡る。また、運転者に対して横断する意思を明確に伝え、安全を確認してから横断を始める。</w:t>
            </w:r>
          </w:p>
          <w:p>
            <w:pPr>
              <w:pStyle w:val="0"/>
              <w:widowControl w:val="1"/>
              <w:overflowPunct w:val="1"/>
              <w:adjustRightInd w:val="1"/>
              <w:spacing w:line="270" w:lineRule="exact"/>
              <w:ind w:firstLine="240" w:firstLineChars="100"/>
              <w:jc w:val="both"/>
              <w:textAlignment w:val="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家庭で交通ルール、マナーについて話し合い、こどもに規範意識や他人への思いやりの心を養わせる。</w:t>
            </w:r>
          </w:p>
          <w:p>
            <w:pPr>
              <w:pStyle w:val="0"/>
              <w:widowControl w:val="1"/>
              <w:overflowPunct w:val="1"/>
              <w:adjustRightInd w:val="1"/>
              <w:spacing w:line="270" w:lineRule="exact"/>
              <w:ind w:firstLine="240" w:firstLineChars="100"/>
              <w:jc w:val="both"/>
              <w:textAlignment w:val="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高齢者は、自己の身体機能の変化を理解し、安全な交通行動を心がける。</w:t>
            </w:r>
          </w:p>
        </w:tc>
        <w:tc>
          <w:tcPr>
            <w:tcW w:w="3104" w:type="dxa"/>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wordWrap w:val="0"/>
              <w:autoSpaceDE w:val="0"/>
              <w:autoSpaceDN w:val="0"/>
              <w:spacing w:line="270" w:lineRule="exact"/>
              <w:ind w:left="0" w:leftChars="0" w:firstLine="220" w:firstLineChars="100"/>
              <w:jc w:val="both"/>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運転者は、夕暮れ時は早めにライトを点灯し、夜間はハイビームを活用するよう心がける。</w:t>
            </w:r>
          </w:p>
          <w:p>
            <w:pPr>
              <w:pStyle w:val="0"/>
              <w:suppressAutoHyphens w:val="1"/>
              <w:kinsoku w:val="0"/>
              <w:wordWrap w:val="0"/>
              <w:autoSpaceDE w:val="0"/>
              <w:autoSpaceDN w:val="0"/>
              <w:spacing w:line="270" w:lineRule="exact"/>
              <w:ind w:left="0" w:leftChars="0" w:firstLine="240" w:firstLineChars="100"/>
              <w:jc w:val="both"/>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歩行者は、明るい色の服や反射材を着用して、運転者から見えやすくする。</w:t>
            </w:r>
          </w:p>
          <w:p>
            <w:pPr>
              <w:pStyle w:val="0"/>
              <w:suppressAutoHyphens w:val="1"/>
              <w:kinsoku w:val="0"/>
              <w:wordWrap w:val="0"/>
              <w:autoSpaceDE w:val="0"/>
              <w:autoSpaceDN w:val="0"/>
              <w:spacing w:line="270" w:lineRule="exact"/>
              <w:ind w:firstLine="240" w:firstLineChars="100"/>
              <w:jc w:val="both"/>
              <w:textAlignment w:val="top"/>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飲酒・妨害運転の危険性・反社会性を自覚する。</w:t>
            </w:r>
          </w:p>
          <w:p>
            <w:pPr>
              <w:pStyle w:val="0"/>
              <w:suppressAutoHyphens w:val="1"/>
              <w:kinsoku w:val="0"/>
              <w:wordWrap w:val="0"/>
              <w:autoSpaceDE w:val="0"/>
              <w:autoSpaceDN w:val="0"/>
              <w:spacing w:line="270" w:lineRule="exact"/>
              <w:jc w:val="both"/>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飲酒した翌日は、二日酔い状態での運転にならないように、家族で注意する。</w:t>
            </w:r>
          </w:p>
          <w:p>
            <w:pPr>
              <w:pStyle w:val="0"/>
              <w:suppressAutoHyphens w:val="1"/>
              <w:kinsoku w:val="0"/>
              <w:wordWrap w:val="0"/>
              <w:autoSpaceDE w:val="0"/>
              <w:autoSpaceDN w:val="0"/>
              <w:spacing w:line="270" w:lineRule="exact"/>
              <w:jc w:val="both"/>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全ての座席においてシートベルトを正しく着用する。また、幼児を同乗させる時には、体格にあったチャイルドシートを正しく着用させる。</w:t>
            </w:r>
          </w:p>
        </w:tc>
        <w:tc>
          <w:tcPr>
            <w:tcW w:w="3055" w:type="dxa"/>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wordWrap w:val="0"/>
              <w:autoSpaceDE w:val="0"/>
              <w:autoSpaceDN w:val="0"/>
              <w:spacing w:line="270" w:lineRule="exact"/>
              <w:ind w:left="0" w:leftChars="0" w:firstLine="220" w:firstLineChars="100"/>
              <w:jc w:val="both"/>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自転車や特定小型原動機付自転車（いわゆる電動キックボード等）を利用する時には、ヘルメットを着用するよう努める。自転車利用時には「自転車安全利用五則」を活用するなどして交通ルールを遵守する。</w:t>
            </w:r>
          </w:p>
          <w:p>
            <w:pPr>
              <w:pStyle w:val="0"/>
              <w:suppressAutoHyphens w:val="1"/>
              <w:kinsoku w:val="0"/>
              <w:wordWrap w:val="0"/>
              <w:autoSpaceDE w:val="0"/>
              <w:autoSpaceDN w:val="0"/>
              <w:spacing w:line="270" w:lineRule="exact"/>
              <w:ind w:left="0" w:leftChars="0" w:firstLine="220" w:firstLineChars="100"/>
              <w:jc w:val="both"/>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夕暮れ時は早めに灯火を点灯し、反射材用品等を取り付けて視認性を向上させる。</w:t>
            </w:r>
          </w:p>
          <w:p>
            <w:pPr>
              <w:pStyle w:val="0"/>
              <w:suppressAutoHyphens w:val="1"/>
              <w:kinsoku w:val="0"/>
              <w:wordWrap w:val="0"/>
              <w:autoSpaceDE w:val="0"/>
              <w:autoSpaceDN w:val="0"/>
              <w:spacing w:line="270" w:lineRule="exact"/>
              <w:ind w:left="0" w:leftChars="0" w:firstLine="220" w:firstLineChars="100"/>
              <w:jc w:val="both"/>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自転車を安全に利用するため、定期的に点検整備を行う。</w:t>
            </w:r>
          </w:p>
          <w:p>
            <w:pPr>
              <w:pStyle w:val="0"/>
              <w:suppressAutoHyphens w:val="1"/>
              <w:kinsoku w:val="0"/>
              <w:wordWrap w:val="0"/>
              <w:autoSpaceDE w:val="0"/>
              <w:autoSpaceDN w:val="0"/>
              <w:spacing w:line="270" w:lineRule="exact"/>
              <w:ind w:left="0" w:leftChars="0" w:firstLine="220" w:firstLineChars="100"/>
              <w:jc w:val="both"/>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自転車事故被害者の救済に資する損害賠償責任保険等への加入に努める。</w:t>
            </w:r>
          </w:p>
          <w:p>
            <w:pPr>
              <w:pStyle w:val="0"/>
              <w:rPr>
                <w:rFonts w:hint="eastAsia"/>
                <w:color w:val="000000" w:themeColor="text1"/>
                <w:sz w:val="22"/>
              </w:rPr>
            </w:pPr>
            <w:r>
              <w:rPr>
                <w:rFonts w:hint="eastAsia"/>
                <w:color w:val="000000" w:themeColor="text1"/>
                <w:sz w:val="22"/>
              </w:rPr>
              <w:t>　</w:t>
            </w:r>
          </w:p>
        </w:tc>
      </w:tr>
      <w:tr>
        <w:trPr>
          <w:trHeight w:val="4369" w:hRule="atLeast"/>
        </w:trPr>
        <w:tc>
          <w:tcPr>
            <w:tcW w:w="52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Theme="minorEastAsia" w:hAnsiTheme="minorEastAsia" w:eastAsiaTheme="minorEastAsia"/>
                <w:sz w:val="22"/>
              </w:rPr>
            </w:pPr>
          </w:p>
        </w:tc>
        <w:tc>
          <w:tcPr>
            <w:tcW w:w="705"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b w:val="1"/>
                <w:color w:val="000000" w:themeColor="text1"/>
                <w:sz w:val="24"/>
              </w:rPr>
            </w:pPr>
            <w:r>
              <w:rPr>
                <w:rFonts w:hint="eastAsia"/>
                <w:b w:val="1"/>
                <w:color w:val="000000" w:themeColor="text1"/>
                <w:sz w:val="24"/>
              </w:rPr>
              <w:t>地</w:t>
            </w:r>
          </w:p>
          <w:p>
            <w:pPr>
              <w:pStyle w:val="0"/>
              <w:jc w:val="center"/>
              <w:rPr>
                <w:rFonts w:hint="eastAsia"/>
                <w:b w:val="1"/>
                <w:color w:val="000000" w:themeColor="text1"/>
                <w:sz w:val="24"/>
              </w:rPr>
            </w:pPr>
            <w:r>
              <w:rPr>
                <w:rFonts w:hint="eastAsia"/>
                <w:b w:val="1"/>
                <w:color w:val="000000" w:themeColor="text1"/>
                <w:sz w:val="24"/>
              </w:rPr>
              <w:t>域</w:t>
            </w:r>
          </w:p>
          <w:p>
            <w:pPr>
              <w:pStyle w:val="0"/>
              <w:jc w:val="center"/>
              <w:rPr>
                <w:rFonts w:hint="eastAsia"/>
                <w:b w:val="1"/>
                <w:color w:val="000000" w:themeColor="text1"/>
                <w:sz w:val="24"/>
              </w:rPr>
            </w:pPr>
            <w:r>
              <w:rPr>
                <w:rFonts w:hint="eastAsia"/>
                <w:b w:val="1"/>
                <w:color w:val="000000" w:themeColor="text1"/>
                <w:sz w:val="24"/>
              </w:rPr>
              <w:t>・</w:t>
            </w:r>
          </w:p>
          <w:p>
            <w:pPr>
              <w:pStyle w:val="0"/>
              <w:jc w:val="center"/>
              <w:rPr>
                <w:rFonts w:hint="eastAsia"/>
                <w:b w:val="1"/>
                <w:color w:val="000000" w:themeColor="text1"/>
                <w:sz w:val="24"/>
              </w:rPr>
            </w:pPr>
            <w:r>
              <w:rPr>
                <w:rFonts w:hint="eastAsia"/>
                <w:b w:val="1"/>
                <w:color w:val="000000" w:themeColor="text1"/>
                <w:sz w:val="24"/>
              </w:rPr>
              <w:t>職</w:t>
            </w:r>
          </w:p>
          <w:p>
            <w:pPr>
              <w:pStyle w:val="0"/>
              <w:jc w:val="center"/>
              <w:rPr>
                <w:rFonts w:hint="eastAsia"/>
                <w:b w:val="1"/>
                <w:color w:val="000000" w:themeColor="text1"/>
                <w:sz w:val="22"/>
              </w:rPr>
            </w:pPr>
            <w:r>
              <w:rPr>
                <w:rFonts w:hint="eastAsia"/>
                <w:b w:val="1"/>
                <w:color w:val="000000" w:themeColor="text1"/>
                <w:sz w:val="24"/>
              </w:rPr>
              <w:t>場</w:t>
            </w:r>
          </w:p>
        </w:tc>
        <w:tc>
          <w:tcPr>
            <w:tcW w:w="3006" w:type="dxa"/>
            <w:tcBorders>
              <w:top w:val="none" w:color="auto" w:sz="0" w:space="0"/>
              <w:left w:val="none" w:color="auto" w:sz="0" w:space="0"/>
              <w:bottom w:val="none" w:color="auto" w:sz="0" w:space="0"/>
              <w:right w:val="none" w:color="auto" w:sz="0" w:space="0"/>
              <w:tl2br w:val="nil"/>
              <w:tr2bl w:val="nil"/>
            </w:tcBorders>
            <w:vAlign w:val="top"/>
          </w:tcPr>
          <w:p>
            <w:pPr>
              <w:pStyle w:val="0"/>
              <w:adjustRightInd w:val="1"/>
              <w:spacing w:line="270" w:lineRule="exact"/>
              <w:ind w:firstLine="240" w:firstLineChars="100"/>
              <w:jc w:val="both"/>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歩行中のこどもや高齢者の交通事故の特徴等を踏まえた交通安全教育を行う。</w:t>
            </w:r>
          </w:p>
          <w:p>
            <w:pPr>
              <w:pStyle w:val="0"/>
              <w:widowControl w:val="1"/>
              <w:overflowPunct w:val="1"/>
              <w:adjustRightInd w:val="1"/>
              <w:spacing w:line="270" w:lineRule="exact"/>
              <w:ind w:leftChars="0" w:firstLine="0" w:firstLineChars="0"/>
              <w:jc w:val="both"/>
              <w:textAlignment w:val="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こどもや高齢者に対する街頭での保護・誘導活動を積極的に推進する。</w:t>
            </w:r>
          </w:p>
          <w:p>
            <w:pPr>
              <w:pStyle w:val="0"/>
              <w:widowControl w:val="1"/>
              <w:overflowPunct w:val="1"/>
              <w:adjustRightInd w:val="1"/>
              <w:spacing w:line="270" w:lineRule="exact"/>
              <w:ind w:leftChars="0" w:firstLine="0" w:firstLineChars="0"/>
              <w:jc w:val="both"/>
              <w:textAlignment w:val="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交通安全ボランティアによる高齢者世帯訪問を積極的に推進する。</w:t>
            </w:r>
          </w:p>
          <w:p>
            <w:pPr>
              <w:pStyle w:val="0"/>
              <w:widowControl w:val="1"/>
              <w:overflowPunct w:val="1"/>
              <w:adjustRightInd w:val="1"/>
              <w:spacing w:line="270" w:lineRule="exact"/>
              <w:ind w:left="0" w:leftChars="0" w:firstLine="220" w:firstLineChars="100"/>
              <w:jc w:val="both"/>
              <w:textAlignment w:val="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道路横断時に、停止した車両の運転者に対して、歩行者から感謝の意を示す「あいさつ県民運動」を推進する。</w:t>
            </w:r>
          </w:p>
        </w:tc>
        <w:tc>
          <w:tcPr>
            <w:tcW w:w="3104" w:type="dxa"/>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wordWrap w:val="0"/>
              <w:autoSpaceDE w:val="0"/>
              <w:autoSpaceDN w:val="0"/>
              <w:spacing w:line="270" w:lineRule="exact"/>
              <w:ind w:left="0" w:leftChars="0" w:firstLine="220" w:firstLineChars="100"/>
              <w:jc w:val="both"/>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夕暮れ時と夜間における死亡事故の特徴を踏まえた交通安全教育を行う。</w:t>
            </w:r>
          </w:p>
          <w:p>
            <w:pPr>
              <w:pStyle w:val="0"/>
              <w:suppressAutoHyphens w:val="1"/>
              <w:kinsoku w:val="0"/>
              <w:wordWrap w:val="0"/>
              <w:autoSpaceDE w:val="0"/>
              <w:autoSpaceDN w:val="0"/>
              <w:spacing w:line="270" w:lineRule="exact"/>
              <w:ind w:leftChars="0" w:firstLine="0" w:firstLineChars="0"/>
              <w:jc w:val="both"/>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歩行者の保護など安全に運転しようとする意識及び態度を向上させるための交通安全教育を行う。</w:t>
            </w:r>
          </w:p>
          <w:p>
            <w:pPr>
              <w:pStyle w:val="0"/>
              <w:suppressAutoHyphens w:val="1"/>
              <w:kinsoku w:val="0"/>
              <w:wordWrap w:val="0"/>
              <w:autoSpaceDE w:val="0"/>
              <w:autoSpaceDN w:val="0"/>
              <w:spacing w:line="270" w:lineRule="exact"/>
              <w:ind w:leftChars="0" w:firstLine="0" w:firstLineChars="0"/>
              <w:jc w:val="both"/>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飲食店等における運転者への酒類提供禁止の徹底など、飲酒運転を根絶する取組を推進する。　　　　　　　　　　</w:t>
            </w:r>
          </w:p>
          <w:p>
            <w:pPr>
              <w:pStyle w:val="0"/>
              <w:suppressAutoHyphens w:val="1"/>
              <w:kinsoku w:val="0"/>
              <w:wordWrap w:val="0"/>
              <w:autoSpaceDE w:val="0"/>
              <w:autoSpaceDN w:val="0"/>
              <w:spacing w:line="270" w:lineRule="exact"/>
              <w:ind w:left="0" w:leftChars="0" w:firstLine="210" w:firstLineChars="100"/>
              <w:jc w:val="both"/>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運転者の酒気帯び有無の確認など、安全運転管理者や運行管理者等による交通安全指導を徹底する。</w:t>
            </w:r>
          </w:p>
        </w:tc>
        <w:tc>
          <w:tcPr>
            <w:tcW w:w="3055" w:type="dxa"/>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wordWrap w:val="0"/>
              <w:autoSpaceDE w:val="0"/>
              <w:autoSpaceDN w:val="0"/>
              <w:spacing w:line="270" w:lineRule="exact"/>
              <w:ind w:left="0" w:leftChars="0" w:firstLine="220" w:firstLineChars="100"/>
              <w:jc w:val="both"/>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自転車や特定小型原動機付自転車（いわゆる電動キックボード等）を利用する時には、ヘルメットを着用するよう努める。自転車利用時には「自転車安全利用五則」を活用するなどして交通ルールを遵守する。</w:t>
            </w:r>
          </w:p>
          <w:p>
            <w:pPr>
              <w:pStyle w:val="0"/>
              <w:suppressAutoHyphens w:val="1"/>
              <w:kinsoku w:val="0"/>
              <w:wordWrap w:val="0"/>
              <w:autoSpaceDE w:val="0"/>
              <w:autoSpaceDN w:val="0"/>
              <w:spacing w:line="270" w:lineRule="exact"/>
              <w:ind w:left="0" w:leftChars="0" w:firstLine="220" w:firstLineChars="100"/>
              <w:jc w:val="both"/>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自転車を安全に利用するための点検整備を行う。</w:t>
            </w:r>
          </w:p>
          <w:p>
            <w:pPr>
              <w:pStyle w:val="0"/>
              <w:suppressAutoHyphens w:val="1"/>
              <w:kinsoku w:val="0"/>
              <w:wordWrap w:val="0"/>
              <w:autoSpaceDE w:val="0"/>
              <w:autoSpaceDN w:val="0"/>
              <w:spacing w:line="270" w:lineRule="exact"/>
              <w:ind w:left="0" w:leftChars="0" w:firstLine="220" w:firstLineChars="100"/>
              <w:jc w:val="both"/>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自転車事故被害者の救済に資する損害賠償責任保険等への加入に努める。</w:t>
            </w:r>
          </w:p>
        </w:tc>
      </w:tr>
      <w:tr>
        <w:trPr>
          <w:trHeight w:val="3112" w:hRule="atLeast"/>
        </w:trPr>
        <w:tc>
          <w:tcPr>
            <w:tcW w:w="52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05"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b w:val="1"/>
                <w:color w:val="000000" w:themeColor="text1"/>
                <w:sz w:val="24"/>
              </w:rPr>
            </w:pPr>
            <w:r>
              <w:rPr>
                <w:rFonts w:hint="eastAsia"/>
                <w:b w:val="1"/>
                <w:color w:val="000000" w:themeColor="text1"/>
                <w:sz w:val="24"/>
              </w:rPr>
              <w:t>関</w:t>
            </w:r>
          </w:p>
          <w:p>
            <w:pPr>
              <w:pStyle w:val="0"/>
              <w:jc w:val="center"/>
              <w:rPr>
                <w:rFonts w:hint="eastAsia"/>
                <w:b w:val="1"/>
                <w:color w:val="000000" w:themeColor="text1"/>
                <w:sz w:val="24"/>
              </w:rPr>
            </w:pPr>
            <w:r>
              <w:rPr>
                <w:rFonts w:hint="eastAsia"/>
                <w:b w:val="1"/>
                <w:color w:val="000000" w:themeColor="text1"/>
                <w:sz w:val="24"/>
              </w:rPr>
              <w:t>係</w:t>
            </w:r>
          </w:p>
          <w:p>
            <w:pPr>
              <w:pStyle w:val="0"/>
              <w:jc w:val="center"/>
              <w:rPr>
                <w:rFonts w:hint="eastAsia"/>
                <w:b w:val="1"/>
                <w:color w:val="000000" w:themeColor="text1"/>
                <w:sz w:val="24"/>
              </w:rPr>
            </w:pPr>
            <w:r>
              <w:rPr>
                <w:rFonts w:hint="eastAsia"/>
                <w:b w:val="1"/>
                <w:color w:val="000000" w:themeColor="text1"/>
                <w:sz w:val="24"/>
              </w:rPr>
              <w:t>機</w:t>
            </w:r>
          </w:p>
          <w:p>
            <w:pPr>
              <w:pStyle w:val="0"/>
              <w:jc w:val="center"/>
              <w:rPr>
                <w:rFonts w:hint="eastAsia"/>
                <w:b w:val="1"/>
                <w:color w:val="000000" w:themeColor="text1"/>
                <w:sz w:val="24"/>
              </w:rPr>
            </w:pPr>
            <w:r>
              <w:rPr>
                <w:rFonts w:hint="eastAsia"/>
                <w:b w:val="1"/>
                <w:color w:val="000000" w:themeColor="text1"/>
                <w:sz w:val="24"/>
              </w:rPr>
              <w:t>関</w:t>
            </w:r>
          </w:p>
          <w:p>
            <w:pPr>
              <w:pStyle w:val="0"/>
              <w:jc w:val="center"/>
              <w:rPr>
                <w:rFonts w:hint="eastAsia"/>
                <w:b w:val="1"/>
                <w:color w:val="000000" w:themeColor="text1"/>
                <w:sz w:val="24"/>
              </w:rPr>
            </w:pPr>
            <w:r>
              <w:rPr>
                <w:rFonts w:hint="eastAsia"/>
                <w:b w:val="1"/>
                <w:color w:val="000000" w:themeColor="text1"/>
                <w:sz w:val="24"/>
              </w:rPr>
              <w:t>・</w:t>
            </w:r>
          </w:p>
          <w:p>
            <w:pPr>
              <w:pStyle w:val="0"/>
              <w:jc w:val="center"/>
              <w:rPr>
                <w:rFonts w:hint="eastAsia"/>
                <w:b w:val="1"/>
                <w:color w:val="000000" w:themeColor="text1"/>
                <w:sz w:val="24"/>
              </w:rPr>
            </w:pPr>
            <w:r>
              <w:rPr>
                <w:rFonts w:hint="eastAsia"/>
                <w:b w:val="1"/>
                <w:color w:val="000000" w:themeColor="text1"/>
                <w:sz w:val="24"/>
              </w:rPr>
              <w:t>団</w:t>
            </w:r>
          </w:p>
          <w:p>
            <w:pPr>
              <w:pStyle w:val="0"/>
              <w:jc w:val="center"/>
              <w:rPr>
                <w:rFonts w:hint="eastAsia"/>
                <w:b w:val="1"/>
                <w:color w:val="000000" w:themeColor="text1"/>
                <w:sz w:val="22"/>
              </w:rPr>
            </w:pPr>
            <w:r>
              <w:rPr>
                <w:rFonts w:hint="eastAsia"/>
                <w:b w:val="1"/>
                <w:color w:val="000000" w:themeColor="text1"/>
                <w:sz w:val="24"/>
              </w:rPr>
              <w:t>体</w:t>
            </w:r>
          </w:p>
        </w:tc>
        <w:tc>
          <w:tcPr>
            <w:tcW w:w="9165"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wordWrap w:val="0"/>
              <w:autoSpaceDE w:val="0"/>
              <w:autoSpaceDN w:val="0"/>
              <w:spacing w:line="270" w:lineRule="exact"/>
              <w:jc w:val="left"/>
              <w:rPr>
                <w:rFonts w:hint="eastAsia" w:asciiTheme="minorEastAsia" w:hAnsiTheme="minorEastAsia" w:eastAsiaTheme="minorEastAsia"/>
                <w:sz w:val="21"/>
              </w:rPr>
            </w:pPr>
            <w:r>
              <w:rPr>
                <w:rFonts w:hint="eastAsia" w:asciiTheme="minorEastAsia" w:hAnsiTheme="minorEastAsia" w:eastAsiaTheme="minorEastAsia"/>
                <w:b w:val="1"/>
                <w:sz w:val="21"/>
              </w:rPr>
              <w:t>《県及び市町村》</w:t>
            </w:r>
          </w:p>
          <w:p>
            <w:pPr>
              <w:pStyle w:val="0"/>
              <w:suppressAutoHyphens w:val="1"/>
              <w:kinsoku w:val="0"/>
              <w:wordWrap w:val="0"/>
              <w:autoSpaceDE w:val="0"/>
              <w:autoSpaceDN w:val="0"/>
              <w:spacing w:line="270" w:lineRule="exact"/>
              <w:ind w:firstLine="213" w:firstLineChars="100"/>
              <w:jc w:val="left"/>
              <w:rPr>
                <w:rFonts w:hint="eastAsia" w:asciiTheme="minorEastAsia" w:hAnsiTheme="minorEastAsia" w:eastAsiaTheme="minorEastAsia"/>
                <w:b w:val="1"/>
                <w:sz w:val="20"/>
              </w:rPr>
            </w:pPr>
            <w:r>
              <w:rPr>
                <w:rFonts w:hint="eastAsia" w:asciiTheme="minorEastAsia" w:hAnsiTheme="minorEastAsia" w:eastAsiaTheme="minorEastAsia"/>
                <w:b w:val="0"/>
                <w:sz w:val="20"/>
              </w:rPr>
              <w:t>チラシ、テレビ、ラジオ、広報紙等、各種広報媒体を活用して広報啓発活動を推進する。</w:t>
            </w:r>
          </w:p>
          <w:p>
            <w:pPr>
              <w:pStyle w:val="0"/>
              <w:suppressAutoHyphens w:val="1"/>
              <w:kinsoku w:val="0"/>
              <w:wordWrap w:val="0"/>
              <w:autoSpaceDE w:val="0"/>
              <w:autoSpaceDN w:val="0"/>
              <w:spacing w:line="270" w:lineRule="exact"/>
              <w:jc w:val="left"/>
              <w:rPr>
                <w:rFonts w:hint="eastAsia" w:asciiTheme="minorEastAsia" w:hAnsiTheme="minorEastAsia" w:eastAsiaTheme="minorEastAsia"/>
                <w:sz w:val="20"/>
              </w:rPr>
            </w:pPr>
            <w:r>
              <w:rPr>
                <w:rFonts w:hint="eastAsia" w:asciiTheme="minorEastAsia" w:hAnsiTheme="minorEastAsia" w:eastAsiaTheme="minorEastAsia"/>
                <w:b w:val="1"/>
                <w:sz w:val="20"/>
              </w:rPr>
              <w:t>《警察》</w:t>
            </w:r>
          </w:p>
          <w:p>
            <w:pPr>
              <w:pStyle w:val="0"/>
              <w:suppressAutoHyphens w:val="1"/>
              <w:kinsoku w:val="0"/>
              <w:wordWrap w:val="0"/>
              <w:autoSpaceDE w:val="0"/>
              <w:autoSpaceDN w:val="0"/>
              <w:spacing w:line="270" w:lineRule="exact"/>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sz w:val="21"/>
              </w:rPr>
              <w:t>関係機関に交通事故情報等を提供し、交通指導取締りなど交通事故防止活動を推進する。</w:t>
            </w:r>
          </w:p>
          <w:p>
            <w:pPr>
              <w:pStyle w:val="0"/>
              <w:suppressAutoHyphens w:val="1"/>
              <w:kinsoku w:val="0"/>
              <w:wordWrap w:val="0"/>
              <w:autoSpaceDE w:val="0"/>
              <w:autoSpaceDN w:val="0"/>
              <w:spacing w:line="270" w:lineRule="exact"/>
              <w:jc w:val="left"/>
              <w:rPr>
                <w:rFonts w:hint="eastAsia" w:asciiTheme="minorEastAsia" w:hAnsiTheme="minorEastAsia" w:eastAsiaTheme="minorEastAsia"/>
                <w:sz w:val="21"/>
              </w:rPr>
            </w:pPr>
            <w:r>
              <w:rPr>
                <w:rFonts w:hint="eastAsia" w:asciiTheme="minorEastAsia" w:hAnsiTheme="minorEastAsia" w:eastAsiaTheme="minorEastAsia"/>
                <w:b w:val="1"/>
                <w:sz w:val="21"/>
              </w:rPr>
              <w:t>《教育委員会》</w:t>
            </w:r>
          </w:p>
          <w:p>
            <w:pPr>
              <w:pStyle w:val="0"/>
              <w:suppressAutoHyphens w:val="1"/>
              <w:kinsoku w:val="0"/>
              <w:wordWrap w:val="0"/>
              <w:autoSpaceDE w:val="0"/>
              <w:autoSpaceDN w:val="0"/>
              <w:spacing w:line="270" w:lineRule="exact"/>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sz w:val="21"/>
              </w:rPr>
              <w:t>児童、生徒等への交通安全教育を推進する。</w:t>
            </w:r>
          </w:p>
          <w:p>
            <w:pPr>
              <w:pStyle w:val="0"/>
              <w:suppressAutoHyphens w:val="1"/>
              <w:kinsoku w:val="0"/>
              <w:wordWrap w:val="0"/>
              <w:autoSpaceDE w:val="0"/>
              <w:autoSpaceDN w:val="0"/>
              <w:spacing w:line="270" w:lineRule="exact"/>
              <w:jc w:val="left"/>
              <w:rPr>
                <w:rFonts w:hint="eastAsia" w:asciiTheme="minorEastAsia" w:hAnsiTheme="minorEastAsia" w:eastAsiaTheme="minorEastAsia"/>
                <w:sz w:val="21"/>
              </w:rPr>
            </w:pPr>
            <w:r>
              <w:rPr>
                <w:rFonts w:hint="eastAsia" w:asciiTheme="minorEastAsia" w:hAnsiTheme="minorEastAsia" w:eastAsiaTheme="minorEastAsia"/>
                <w:b w:val="1"/>
                <w:sz w:val="21"/>
              </w:rPr>
              <w:t>《道路管理者》</w:t>
            </w:r>
          </w:p>
          <w:p>
            <w:pPr>
              <w:pStyle w:val="0"/>
              <w:suppressAutoHyphens w:val="1"/>
              <w:kinsoku w:val="0"/>
              <w:wordWrap w:val="0"/>
              <w:autoSpaceDE w:val="0"/>
              <w:autoSpaceDN w:val="0"/>
              <w:spacing w:line="270" w:lineRule="exact"/>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sz w:val="21"/>
              </w:rPr>
              <w:t>交通安全施設の点検を行い、道路情報板等を活用して広報啓発活動を推進する。</w:t>
            </w:r>
          </w:p>
          <w:p>
            <w:pPr>
              <w:pStyle w:val="0"/>
              <w:suppressAutoHyphens w:val="1"/>
              <w:kinsoku w:val="0"/>
              <w:wordWrap w:val="0"/>
              <w:autoSpaceDE w:val="0"/>
              <w:autoSpaceDN w:val="0"/>
              <w:spacing w:line="270" w:lineRule="exact"/>
              <w:jc w:val="left"/>
              <w:rPr>
                <w:rFonts w:hint="eastAsia" w:asciiTheme="minorEastAsia" w:hAnsiTheme="minorEastAsia" w:eastAsiaTheme="minorEastAsia"/>
                <w:sz w:val="21"/>
              </w:rPr>
            </w:pPr>
            <w:r>
              <w:rPr>
                <w:rFonts w:hint="eastAsia" w:asciiTheme="minorEastAsia" w:hAnsiTheme="minorEastAsia" w:eastAsiaTheme="minorEastAsia"/>
                <w:b w:val="1"/>
                <w:sz w:val="21"/>
              </w:rPr>
              <w:t>《県民会議構成団体》</w:t>
            </w:r>
          </w:p>
          <w:p>
            <w:pPr>
              <w:pStyle w:val="0"/>
              <w:tabs>
                <w:tab w:val="left" w:leader="none" w:pos="5991"/>
              </w:tabs>
              <w:adjustRightInd w:val="1"/>
              <w:spacing w:line="270" w:lineRule="exact"/>
              <w:rPr>
                <w:rFonts w:hint="eastAsia"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sz w:val="21"/>
              </w:rPr>
              <w:t>街頭啓発活動や広報活動を推進する。</w:t>
            </w:r>
          </w:p>
        </w:tc>
      </w:tr>
    </w:tbl>
    <w:p>
      <w:pPr>
        <w:pStyle w:val="0"/>
        <w:ind w:firstLine="240" w:firstLineChars="100"/>
        <w:jc w:val="left"/>
        <w:rPr>
          <w:rFonts w:hint="default"/>
        </w:rPr>
      </w:pPr>
    </w:p>
    <w:sectPr>
      <w:headerReference r:id="rId7" w:type="default"/>
      <w:pgSz w:w="11906" w:h="16838"/>
      <w:pgMar w:top="851" w:right="1134" w:bottom="1248" w:left="1134" w:header="720" w:footer="720" w:gutter="0"/>
      <w:cols w:space="720"/>
      <w:noEndnote w:val="1"/>
      <w:textDirection w:val="lrTb"/>
      <w:docGrid w:type="linesAndChars" w:linePitch="3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sz w:val="36"/>
        <w:bdr w:val="single" w:color="auto" w:sz="4" w:space="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36"/>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4"/>
  <w:bordersDoNotSurroundHeader/>
  <w:bordersDoNotSurroundFooter/>
  <w:defaultTabStop w:val="720"/>
  <w:hyphenationZone w:val="0"/>
  <w:doNotHyphenateCaps/>
  <w:drawingGridHorizontalSpacing w:val="235"/>
  <w:drawingGridVerticalSpacing w:val="399"/>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imes New Roman" w:hAnsi="Times New Roman"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imes New Roman" w:hAnsi="Times New Roman" w:eastAsia="ＭＳ 明朝"/>
      <w:kern w:val="0"/>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No Spacing"/>
    <w:next w:val="23"/>
    <w:link w:val="0"/>
    <w:uiPriority w:val="0"/>
    <w:qFormat/>
    <w:pPr>
      <w:widowControl w:val="0"/>
      <w:jc w:val="both"/>
    </w:pPr>
    <w:rPr/>
  </w:style>
  <w:style w:type="table" w:styleId="24">
    <w:name w:val="Table Grid"/>
    <w:basedOn w:val="11"/>
    <w:next w:val="24"/>
    <w:link w:val="0"/>
    <w:uiPriority w:val="0"/>
    <w:rPr>
      <w:rFonts w:asciiTheme="minorHAnsi" w:hAnsiTheme="minorHAnsi" w:eastAsiaTheme="minorEastAsia"/>
      <w:sz w:val="22"/>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878</TotalTime>
  <Pages>2</Pages>
  <Words>2</Words>
  <Characters>1717</Characters>
  <Application>JUST Note</Application>
  <Lines>264</Lines>
  <Paragraphs>78</Paragraphs>
  <CharactersWithSpaces>1833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要綱決定</dc:title>
  <dc:creator>一太郎</dc:creator>
  <cp:lastModifiedBy>509075</cp:lastModifiedBy>
  <cp:lastPrinted>2023-07-25T05:00:57Z</cp:lastPrinted>
  <dcterms:created xsi:type="dcterms:W3CDTF">2015-07-08T06:34:00Z</dcterms:created>
  <dcterms:modified xsi:type="dcterms:W3CDTF">2023-08-02T04:13:18Z</dcterms:modified>
  <cp:revision>53</cp:revision>
</cp:coreProperties>
</file>